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media/image1.png" ContentType="image/jpeg"/>
  <Override PartName="/word/media/image4.png" ContentType="image/jpeg"/>
  <Override PartName="/word/media/image5.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54F82"/>
          <w:sz w:val="36"/>
        </w:rPr>
        <w:t>CARS24</w:t>
      </w:r>
    </w:p>
    <w:p>
      <w:pPr>
        <w:pStyle w:val="Title"/>
      </w:pPr>
      <w:r>
        <w:t>MSME Financial Health Card</w:t>
      </w:r>
    </w:p>
    <w:p>
      <w:r>
        <w:rPr>
          <w:b/>
          <w:color w:val="E53935"/>
          <w:sz w:val="32"/>
        </w:rPr>
        <w:t>Submission report</w:t>
      </w:r>
    </w:p>
    <w:p>
      <w:r>
        <w:rPr>
          <w:b/>
        </w:rPr>
        <w:t>Prepared by Abhishek Rai</w:t>
      </w:r>
    </w:p>
    <w:p>
      <w:r>
        <w:t>Explainable credit intelligence from synthetic alternative financial data</w:t>
      </w:r>
    </w:p>
    <w:p>
      <w:pPr>
        <w:pStyle w:val="Callout"/>
      </w:pPr>
      <w:r>
        <w:t xml:space="preserve">Working deliverables: </w:t>
      </w:r>
      <w:hyperlink r:id="rId10">
        <w:r>
          <w:rPr>
            <w:color w:val="0563C1"/>
            <w:u w:val="single"/>
          </w:rPr>
          <w:t>Live Streamlit demo</w:t>
        </w:r>
      </w:hyperlink>
      <w:r>
        <w:t xml:space="preserve">  |  </w:t>
      </w:r>
      <w:hyperlink r:id="rId11">
        <w:r>
          <w:rPr>
            <w:color w:val="0563C1"/>
            <w:u w:val="single"/>
          </w:rPr>
          <w:t>GitHub repository</w:t>
        </w:r>
      </w:hyperlink>
    </w:p>
    <w:p>
      <w:r>
        <w:drawing>
          <wp:inline xmlns:a="http://schemas.openxmlformats.org/drawingml/2006/main" xmlns:pic="http://schemas.openxmlformats.org/drawingml/2006/picture">
            <wp:extent cx="6172200" cy="3667112"/>
            <wp:docPr id="1" name="Picture 1"/>
            <wp:cNvGraphicFramePr>
              <a:graphicFrameLocks noChangeAspect="1"/>
            </wp:cNvGraphicFramePr>
            <a:graphic>
              <a:graphicData uri="http://schemas.openxmlformats.org/drawingml/2006/picture">
                <pic:pic>
                  <pic:nvPicPr>
                    <pic:cNvPr id="0" name="dashboard_portfolio.png"/>
                    <pic:cNvPicPr/>
                  </pic:nvPicPr>
                  <pic:blipFill>
                    <a:blip r:embed="rId12"/>
                    <a:stretch>
                      <a:fillRect/>
                    </a:stretch>
                  </pic:blipFill>
                  <pic:spPr>
                    <a:xfrm>
                      <a:off x="0" y="0"/>
                      <a:ext cx="6172200" cy="3667112"/>
                    </a:xfrm>
                    <a:prstGeom prst="rect"/>
                  </pic:spPr>
                </pic:pic>
              </a:graphicData>
            </a:graphic>
          </wp:inline>
        </w:drawing>
      </w:r>
    </w:p>
    <w:p>
      <w:pPr>
        <w:jc w:val="center"/>
      </w:pPr>
      <w:r>
        <w:rPr>
          <w:i/>
          <w:sz w:val="16"/>
        </w:rPr>
        <w:t>Figure 1  Portfolio workspace with segment, risk and anomaly-review evidence</w:t>
      </w:r>
    </w:p>
    <w:p>
      <w:pPr>
        <w:pStyle w:val="Heading1"/>
      </w:pPr>
      <w:r>
        <w:t>Executive summary</w:t>
      </w:r>
    </w:p>
    <w:p>
      <w:r>
        <w:t>This solution converts 33 MSME profile, GST, UPI, banking, credit, payroll and business-behaviour inputs into seven health scores, an eligibility recommendation, a risk category, an indicative credit limit and an unusual-profile review signal. The implementation combines executed notebooks, held-out evaluation, SHAP explanations, validated REST interfaces, versioned assessments and a deployed dashboard.</w:t>
      </w:r>
    </w:p>
    <w:p>
      <w:r>
        <w:t>The supplied dataset is synthetic and contains no observed defaults or dated transaction histories. Results demonstrate a complete technical workflow; they do not establish real lending accuracy, fairness or production readiness.</w:t>
      </w:r>
    </w:p>
    <w:p>
      <w:r>
        <w:br w:type="page"/>
      </w:r>
    </w:p>
    <w:p>
      <w:pPr>
        <w:pStyle w:val="Heading1"/>
      </w:pPr>
      <w:r>
        <w:t>Evaluation criteria coverage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2459"/>
        <w:gridCol w:w="2459"/>
        <w:gridCol w:w="2459"/>
        <w:gridCol w:w="2459"/>
      </w:tblGrid>
      <w:tr>
        <w:trPr>
          <w:cantSplit/>
        </w:trPr>
        <w:tc>
          <w:tcPr>
            <w:tcW w:type="dxa" w:w="2232"/>
            <w:shd w:fill="154F82"/>
            <w:vAlign w:val="center"/>
          </w:tcPr>
          <w:p>
            <w:r>
              <w:rPr>
                <w:b/>
                <w:color w:val="FFFFFF"/>
                <w:sz w:val="18"/>
              </w:rPr>
              <w:t>Criterion</w:t>
            </w:r>
          </w:p>
        </w:tc>
        <w:tc>
          <w:tcPr>
            <w:tcW w:type="dxa" w:w="792"/>
            <w:shd w:fill="154F82"/>
            <w:vAlign w:val="center"/>
          </w:tcPr>
          <w:p>
            <w:r>
              <w:rPr>
                <w:b/>
                <w:color w:val="FFFFFF"/>
                <w:sz w:val="18"/>
              </w:rPr>
              <w:t>Weight</w:t>
            </w:r>
          </w:p>
        </w:tc>
        <w:tc>
          <w:tcPr>
            <w:tcW w:type="dxa" w:w="4608"/>
            <w:shd w:fill="154F82"/>
            <w:vAlign w:val="center"/>
          </w:tcPr>
          <w:p>
            <w:r>
              <w:rPr>
                <w:b/>
                <w:color w:val="FFFFFF"/>
                <w:sz w:val="18"/>
              </w:rPr>
              <w:t>Evidence demonstrated</w:t>
            </w:r>
          </w:p>
        </w:tc>
        <w:tc>
          <w:tcPr>
            <w:tcW w:type="dxa" w:w="1944"/>
            <w:shd w:fill="154F82"/>
            <w:vAlign w:val="center"/>
          </w:tcPr>
          <w:p>
            <w:r>
              <w:rPr>
                <w:b/>
                <w:color w:val="FFFFFF"/>
                <w:sz w:val="18"/>
              </w:rPr>
              <w:t>Primary location</w:t>
            </w:r>
          </w:p>
        </w:tc>
      </w:tr>
      <w:tr>
        <w:trPr>
          <w:cantSplit/>
        </w:trPr>
        <w:tc>
          <w:tcPr>
            <w:tcW w:type="dxa" w:w="2232"/>
            <w:vAlign w:val="center"/>
          </w:tcPr>
          <w:p>
            <w:pPr>
              <w:spacing w:after="40"/>
            </w:pPr>
            <w:r>
              <w:rPr>
                <w:sz w:val="17"/>
              </w:rPr>
              <w:t>Problem understanding</w:t>
            </w:r>
          </w:p>
        </w:tc>
        <w:tc>
          <w:tcPr>
            <w:tcW w:type="dxa" w:w="792"/>
            <w:vAlign w:val="center"/>
          </w:tcPr>
          <w:p>
            <w:pPr>
              <w:spacing w:after="40"/>
            </w:pPr>
            <w:r>
              <w:rPr>
                <w:sz w:val="17"/>
              </w:rPr>
              <w:t>10%</w:t>
            </w:r>
          </w:p>
        </w:tc>
        <w:tc>
          <w:tcPr>
            <w:tcW w:type="dxa" w:w="4608"/>
            <w:vAlign w:val="center"/>
          </w:tcPr>
          <w:p>
            <w:pPr>
              <w:spacing w:after="40"/>
            </w:pPr>
            <w:r>
              <w:rPr>
                <w:sz w:val="17"/>
              </w:rPr>
              <w:t>Problem framing, NTB/NTC use cases and explicit production boundary</w:t>
            </w:r>
          </w:p>
        </w:tc>
        <w:tc>
          <w:tcPr>
            <w:tcW w:type="dxa" w:w="1944"/>
            <w:vAlign w:val="center"/>
          </w:tcPr>
          <w:p>
            <w:pPr>
              <w:spacing w:after="40"/>
            </w:pPr>
            <w:r>
              <w:rPr>
                <w:sz w:val="17"/>
              </w:rPr>
              <w:t>README; this report</w:t>
            </w:r>
          </w:p>
        </w:tc>
      </w:tr>
      <w:tr>
        <w:trPr>
          <w:cantSplit/>
        </w:trPr>
        <w:tc>
          <w:tcPr>
            <w:tcW w:type="dxa" w:w="2232"/>
            <w:vAlign w:val="center"/>
            <w:shd w:fill="F3F7FA"/>
          </w:tcPr>
          <w:p>
            <w:pPr>
              <w:spacing w:after="40"/>
            </w:pPr>
            <w:r>
              <w:rPr>
                <w:sz w:val="17"/>
              </w:rPr>
              <w:t>Data engineering and feature design</w:t>
            </w:r>
          </w:p>
        </w:tc>
        <w:tc>
          <w:tcPr>
            <w:tcW w:type="dxa" w:w="792"/>
            <w:vAlign w:val="center"/>
            <w:shd w:fill="F3F7FA"/>
          </w:tcPr>
          <w:p>
            <w:pPr>
              <w:spacing w:after="40"/>
            </w:pPr>
            <w:r>
              <w:rPr>
                <w:sz w:val="17"/>
              </w:rPr>
              <w:t>15%</w:t>
            </w:r>
          </w:p>
        </w:tc>
        <w:tc>
          <w:tcPr>
            <w:tcW w:type="dxa" w:w="4608"/>
            <w:vAlign w:val="center"/>
            <w:shd w:fill="F3F7FA"/>
          </w:tcPr>
          <w:p>
            <w:pPr>
              <w:spacing w:after="40"/>
            </w:pPr>
            <w:r>
              <w:rPr>
                <w:sz w:val="17"/>
              </w:rPr>
              <w:t>Quality checks, structural missingness, signed ratios and compact features</w:t>
            </w:r>
          </w:p>
        </w:tc>
        <w:tc>
          <w:tcPr>
            <w:tcW w:type="dxa" w:w="1944"/>
            <w:vAlign w:val="center"/>
            <w:shd w:fill="F3F7FA"/>
          </w:tcPr>
          <w:p>
            <w:pPr>
              <w:spacing w:after="40"/>
            </w:pPr>
            <w:r>
              <w:rPr>
                <w:sz w:val="17"/>
              </w:rPr>
              <w:t>data_analysis.ipynb; scoring.py</w:t>
            </w:r>
          </w:p>
        </w:tc>
      </w:tr>
      <w:tr>
        <w:trPr>
          <w:cantSplit/>
        </w:trPr>
        <w:tc>
          <w:tcPr>
            <w:tcW w:type="dxa" w:w="2232"/>
            <w:vAlign w:val="center"/>
          </w:tcPr>
          <w:p>
            <w:pPr>
              <w:spacing w:after="40"/>
            </w:pPr>
            <w:r>
              <w:rPr>
                <w:sz w:val="17"/>
              </w:rPr>
              <w:t>AI and ML model quality</w:t>
            </w:r>
          </w:p>
        </w:tc>
        <w:tc>
          <w:tcPr>
            <w:tcW w:type="dxa" w:w="792"/>
            <w:vAlign w:val="center"/>
          </w:tcPr>
          <w:p>
            <w:pPr>
              <w:spacing w:after="40"/>
            </w:pPr>
            <w:r>
              <w:rPr>
                <w:sz w:val="17"/>
              </w:rPr>
              <w:t>20%</w:t>
            </w:r>
          </w:p>
        </w:tc>
        <w:tc>
          <w:tcPr>
            <w:tcW w:type="dxa" w:w="4608"/>
            <w:vAlign w:val="center"/>
          </w:tcPr>
          <w:p>
            <w:pPr>
              <w:spacing w:after="40"/>
            </w:pPr>
            <w:r>
              <w:rPr>
                <w:sz w:val="17"/>
              </w:rPr>
              <w:t>Baselines, validation selection and untouched test evaluation</w:t>
            </w:r>
          </w:p>
        </w:tc>
        <w:tc>
          <w:tcPr>
            <w:tcW w:type="dxa" w:w="1944"/>
            <w:vAlign w:val="center"/>
          </w:tcPr>
          <w:p>
            <w:pPr>
              <w:spacing w:after="40"/>
            </w:pPr>
            <w:r>
              <w:rPr>
                <w:sz w:val="17"/>
              </w:rPr>
              <w:t>modeling.ipynb; test metrics</w:t>
            </w:r>
          </w:p>
        </w:tc>
      </w:tr>
      <w:tr>
        <w:trPr>
          <w:cantSplit/>
        </w:trPr>
        <w:tc>
          <w:tcPr>
            <w:tcW w:type="dxa" w:w="2232"/>
            <w:vAlign w:val="center"/>
            <w:shd w:fill="F3F7FA"/>
          </w:tcPr>
          <w:p>
            <w:pPr>
              <w:spacing w:after="40"/>
            </w:pPr>
            <w:r>
              <w:rPr>
                <w:sz w:val="17"/>
              </w:rPr>
              <w:t>Explainability and interpretability</w:t>
            </w:r>
          </w:p>
        </w:tc>
        <w:tc>
          <w:tcPr>
            <w:tcW w:type="dxa" w:w="792"/>
            <w:vAlign w:val="center"/>
            <w:shd w:fill="F3F7FA"/>
          </w:tcPr>
          <w:p>
            <w:pPr>
              <w:spacing w:after="40"/>
            </w:pPr>
            <w:r>
              <w:rPr>
                <w:sz w:val="17"/>
              </w:rPr>
              <w:t>10%</w:t>
            </w:r>
          </w:p>
        </w:tc>
        <w:tc>
          <w:tcPr>
            <w:tcW w:type="dxa" w:w="4608"/>
            <w:vAlign w:val="center"/>
            <w:shd w:fill="F3F7FA"/>
          </w:tcPr>
          <w:p>
            <w:pPr>
              <w:spacing w:after="40"/>
            </w:pPr>
            <w:r>
              <w:rPr>
                <w:sz w:val="17"/>
              </w:rPr>
              <w:t>SHAP reconstruction, grouped sources and deterministic actions</w:t>
            </w:r>
          </w:p>
        </w:tc>
        <w:tc>
          <w:tcPr>
            <w:tcW w:type="dxa" w:w="1944"/>
            <w:vAlign w:val="center"/>
            <w:shd w:fill="F3F7FA"/>
          </w:tcPr>
          <w:p>
            <w:pPr>
              <w:spacing w:after="40"/>
            </w:pPr>
            <w:r>
              <w:rPr>
                <w:sz w:val="17"/>
              </w:rPr>
              <w:t>Dashboard; scoring.py</w:t>
            </w:r>
          </w:p>
        </w:tc>
      </w:tr>
      <w:tr>
        <w:trPr>
          <w:cantSplit/>
        </w:trPr>
        <w:tc>
          <w:tcPr>
            <w:tcW w:type="dxa" w:w="2232"/>
            <w:vAlign w:val="center"/>
          </w:tcPr>
          <w:p>
            <w:pPr>
              <w:spacing w:after="40"/>
            </w:pPr>
            <w:r>
              <w:rPr>
                <w:sz w:val="17"/>
              </w:rPr>
              <w:t>Financial Health Card design</w:t>
            </w:r>
          </w:p>
        </w:tc>
        <w:tc>
          <w:tcPr>
            <w:tcW w:type="dxa" w:w="792"/>
            <w:vAlign w:val="center"/>
          </w:tcPr>
          <w:p>
            <w:pPr>
              <w:spacing w:after="40"/>
            </w:pPr>
            <w:r>
              <w:rPr>
                <w:sz w:val="17"/>
              </w:rPr>
              <w:t>15%</w:t>
            </w:r>
          </w:p>
        </w:tc>
        <w:tc>
          <w:tcPr>
            <w:tcW w:type="dxa" w:w="4608"/>
            <w:vAlign w:val="center"/>
          </w:tcPr>
          <w:p>
            <w:pPr>
              <w:spacing w:after="40"/>
            </w:pPr>
            <w:r>
              <w:rPr>
                <w:sz w:val="17"/>
              </w:rPr>
              <w:t>Seven dimensions, eligibility, risk, limit, evidence and printable card</w:t>
            </w:r>
          </w:p>
        </w:tc>
        <w:tc>
          <w:tcPr>
            <w:tcW w:type="dxa" w:w="1944"/>
            <w:vAlign w:val="center"/>
          </w:tcPr>
          <w:p>
            <w:pPr>
              <w:spacing w:after="40"/>
            </w:pPr>
            <w:r>
              <w:rPr>
                <w:sz w:val="17"/>
              </w:rPr>
              <w:t>Live demo; printable HTML</w:t>
            </w:r>
          </w:p>
        </w:tc>
      </w:tr>
      <w:tr>
        <w:trPr>
          <w:cantSplit/>
        </w:trPr>
        <w:tc>
          <w:tcPr>
            <w:tcW w:type="dxa" w:w="2232"/>
            <w:vAlign w:val="center"/>
            <w:shd w:fill="F3F7FA"/>
          </w:tcPr>
          <w:p>
            <w:pPr>
              <w:spacing w:after="40"/>
            </w:pPr>
            <w:r>
              <w:rPr>
                <w:sz w:val="17"/>
              </w:rPr>
              <w:t>Dashboard and user experience</w:t>
            </w:r>
          </w:p>
        </w:tc>
        <w:tc>
          <w:tcPr>
            <w:tcW w:type="dxa" w:w="792"/>
            <w:vAlign w:val="center"/>
            <w:shd w:fill="F3F7FA"/>
          </w:tcPr>
          <w:p>
            <w:pPr>
              <w:spacing w:after="40"/>
            </w:pPr>
            <w:r>
              <w:rPr>
                <w:sz w:val="17"/>
              </w:rPr>
              <w:t>10%</w:t>
            </w:r>
          </w:p>
        </w:tc>
        <w:tc>
          <w:tcPr>
            <w:tcW w:type="dxa" w:w="4608"/>
            <w:vAlign w:val="center"/>
            <w:shd w:fill="F3F7FA"/>
          </w:tcPr>
          <w:p>
            <w:pPr>
              <w:spacing w:after="40"/>
            </w:pPr>
            <w:r>
              <w:rPr>
                <w:sz w:val="17"/>
              </w:rPr>
              <w:t>Portfolio filters, card journey, evidence, downloads and ingestion</w:t>
            </w:r>
          </w:p>
        </w:tc>
        <w:tc>
          <w:tcPr>
            <w:tcW w:type="dxa" w:w="1944"/>
            <w:vAlign w:val="center"/>
            <w:shd w:fill="F3F7FA"/>
          </w:tcPr>
          <w:p>
            <w:pPr>
              <w:spacing w:after="40"/>
            </w:pPr>
            <w:r>
              <w:rPr>
                <w:sz w:val="17"/>
              </w:rPr>
              <w:t>Live Streamlit app</w:t>
            </w:r>
          </w:p>
        </w:tc>
      </w:tr>
      <w:tr>
        <w:trPr>
          <w:cantSplit/>
        </w:trPr>
        <w:tc>
          <w:tcPr>
            <w:tcW w:type="dxa" w:w="2232"/>
            <w:vAlign w:val="center"/>
          </w:tcPr>
          <w:p>
            <w:pPr>
              <w:spacing w:after="40"/>
            </w:pPr>
            <w:r>
              <w:rPr>
                <w:sz w:val="17"/>
              </w:rPr>
              <w:t>Scalability and architecture</w:t>
            </w:r>
          </w:p>
        </w:tc>
        <w:tc>
          <w:tcPr>
            <w:tcW w:type="dxa" w:w="792"/>
            <w:vAlign w:val="center"/>
          </w:tcPr>
          <w:p>
            <w:pPr>
              <w:spacing w:after="40"/>
            </w:pPr>
            <w:r>
              <w:rPr>
                <w:sz w:val="17"/>
              </w:rPr>
              <w:t>10%</w:t>
            </w:r>
          </w:p>
        </w:tc>
        <w:tc>
          <w:tcPr>
            <w:tcW w:type="dxa" w:w="4608"/>
            <w:vAlign w:val="center"/>
          </w:tcPr>
          <w:p>
            <w:pPr>
              <w:spacing w:after="40"/>
            </w:pPr>
            <w:r>
              <w:rPr>
                <w:sz w:val="17"/>
              </w:rPr>
              <w:t>Shared inference boundary, API, persistence and production roadmap</w:t>
            </w:r>
          </w:p>
        </w:tc>
        <w:tc>
          <w:tcPr>
            <w:tcW w:type="dxa" w:w="1944"/>
            <w:vAlign w:val="center"/>
          </w:tcPr>
          <w:p>
            <w:pPr>
              <w:spacing w:after="40"/>
            </w:pPr>
            <w:r>
              <w:rPr>
                <w:sz w:val="17"/>
              </w:rPr>
              <w:t>ARCHITECTURE.md</w:t>
            </w:r>
          </w:p>
        </w:tc>
      </w:tr>
      <w:tr>
        <w:trPr>
          <w:cantSplit/>
        </w:trPr>
        <w:tc>
          <w:tcPr>
            <w:tcW w:type="dxa" w:w="2232"/>
            <w:vAlign w:val="center"/>
            <w:shd w:fill="F3F7FA"/>
          </w:tcPr>
          <w:p>
            <w:pPr>
              <w:spacing w:after="40"/>
            </w:pPr>
            <w:r>
              <w:rPr>
                <w:sz w:val="17"/>
              </w:rPr>
              <w:t>Innovation and practicality</w:t>
            </w:r>
          </w:p>
        </w:tc>
        <w:tc>
          <w:tcPr>
            <w:tcW w:type="dxa" w:w="792"/>
            <w:vAlign w:val="center"/>
            <w:shd w:fill="F3F7FA"/>
          </w:tcPr>
          <w:p>
            <w:pPr>
              <w:spacing w:after="40"/>
            </w:pPr>
            <w:r>
              <w:rPr>
                <w:sz w:val="17"/>
              </w:rPr>
              <w:t>10%</w:t>
            </w:r>
          </w:p>
        </w:tc>
        <w:tc>
          <w:tcPr>
            <w:tcW w:type="dxa" w:w="4608"/>
            <w:vAlign w:val="center"/>
            <w:shd w:fill="F3F7FA"/>
          </w:tcPr>
          <w:p>
            <w:pPr>
              <w:spacing w:after="40"/>
            </w:pPr>
            <w:r>
              <w:rPr>
                <w:sz w:val="17"/>
              </w:rPr>
              <w:t>Eligibility-limit separation, anomaly review and snapshot history</w:t>
            </w:r>
          </w:p>
        </w:tc>
        <w:tc>
          <w:tcPr>
            <w:tcW w:type="dxa" w:w="1944"/>
            <w:vAlign w:val="center"/>
            <w:shd w:fill="F3F7FA"/>
          </w:tcPr>
          <w:p>
            <w:pPr>
              <w:spacing w:after="40"/>
            </w:pPr>
            <w:r>
              <w:rPr>
                <w:sz w:val="17"/>
              </w:rPr>
              <w:t>API; dashboard</w:t>
            </w:r>
          </w:p>
        </w:tc>
      </w:tr>
    </w:tbl>
    <w:p>
      <w:pPr>
        <w:spacing w:after="20"/>
      </w:pPr>
    </w:p>
    <w:p>
      <w:pPr>
        <w:pStyle w:val="Heading1"/>
      </w:pPr>
      <w:r>
        <w:t>Expected outcomes</w:t>
      </w:r>
    </w:p>
    <w:p>
      <w:pPr>
        <w:pStyle w:val="ListBullet"/>
        <w:spacing w:after="60"/>
      </w:pPr>
      <w:r>
        <w:t>Assess businesses with limited formal history using consent-compatible alternative-data fields and explicit missing-history handling.</w:t>
      </w:r>
    </w:p>
    <w:p>
      <w:pPr>
        <w:pStyle w:val="ListBullet"/>
        <w:spacing w:after="60"/>
      </w:pPr>
      <w:r>
        <w:t>Reduce manual review time through one validated scoring request, reusable inference and downloadable evidence.</w:t>
      </w:r>
    </w:p>
    <w:p>
      <w:pPr>
        <w:pStyle w:val="ListBullet"/>
        <w:spacing w:after="60"/>
      </w:pPr>
      <w:r>
        <w:t>Identify potentially creditworthy NTB and NTC businesses without equating segment membership with approval.</w:t>
      </w:r>
    </w:p>
    <w:p>
      <w:pPr>
        <w:pStyle w:val="ListBullet"/>
        <w:spacing w:after="60"/>
      </w:pPr>
      <w:r>
        <w:t>Support portfolio review with filters, subgroup metrics and unusual-profile flags.</w:t>
      </w:r>
    </w:p>
    <w:p>
      <w:pPr>
        <w:pStyle w:val="ListBullet"/>
        <w:spacing w:after="60"/>
      </w:pPr>
      <w:r>
        <w:t>Return transparent recommendations with model version, evidence, SHAP drivers and review indicators.</w:t>
      </w:r>
    </w:p>
    <w:p>
      <w:r>
        <w:br w:type="page"/>
      </w:r>
    </w:p>
    <w:p>
      <w:pPr>
        <w:pStyle w:val="Heading1"/>
      </w:pPr>
      <w:r>
        <w:t>Problem understanding and data design</w:t>
      </w:r>
    </w:p>
    <w:p>
      <w:r>
        <w:t>Traditional underwriting can underserve businesses with short or missing bureau histories. The task requires a useful financial-health view from alternative signals while preserving prudent risk review. The design therefore separates descriptive health, eligibility, risk category and credit amount instead of compressing every decision into one opaque score.</w:t>
      </w:r>
    </w:p>
    <w:p>
      <w:pPr>
        <w:pStyle w:val="Heading2"/>
      </w:pPr>
      <w:r>
        <w:t>Dataset and quality findings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cantSplit/>
        </w:trPr>
        <w:tc>
          <w:tcPr>
            <w:tcW w:type="dxa" w:w="1944"/>
            <w:shd w:fill="154F82"/>
            <w:vAlign w:val="center"/>
          </w:tcPr>
          <w:p>
            <w:r>
              <w:rPr>
                <w:b/>
                <w:color w:val="FFFFFF"/>
                <w:sz w:val="18"/>
              </w:rPr>
              <w:t>Item</w:t>
            </w:r>
          </w:p>
        </w:tc>
        <w:tc>
          <w:tcPr>
            <w:tcW w:type="dxa" w:w="3168"/>
            <w:shd w:fill="154F82"/>
            <w:vAlign w:val="center"/>
          </w:tcPr>
          <w:p>
            <w:r>
              <w:rPr>
                <w:b/>
                <w:color w:val="FFFFFF"/>
                <w:sz w:val="18"/>
              </w:rPr>
              <w:t>Finding</w:t>
            </w:r>
          </w:p>
        </w:tc>
        <w:tc>
          <w:tcPr>
            <w:tcW w:type="dxa" w:w="4536"/>
            <w:shd w:fill="154F82"/>
            <w:vAlign w:val="center"/>
          </w:tcPr>
          <w:p>
            <w:r>
              <w:rPr>
                <w:b/>
                <w:color w:val="FFFFFF"/>
                <w:sz w:val="18"/>
              </w:rPr>
              <w:t>Treatment</w:t>
            </w:r>
          </w:p>
        </w:tc>
      </w:tr>
      <w:tr>
        <w:trPr>
          <w:cantSplit/>
        </w:trPr>
        <w:tc>
          <w:tcPr>
            <w:tcW w:type="dxa" w:w="1944"/>
            <w:vAlign w:val="center"/>
          </w:tcPr>
          <w:p>
            <w:pPr>
              <w:spacing w:after="40"/>
            </w:pPr>
            <w:r>
              <w:rPr>
                <w:sz w:val="17"/>
              </w:rPr>
              <w:t>Dataset</w:t>
            </w:r>
          </w:p>
        </w:tc>
        <w:tc>
          <w:tcPr>
            <w:tcW w:type="dxa" w:w="3168"/>
            <w:vAlign w:val="center"/>
          </w:tcPr>
          <w:p>
            <w:pPr>
              <w:spacing w:after="40"/>
            </w:pPr>
            <w:r>
              <w:rPr>
                <w:sz w:val="17"/>
              </w:rPr>
              <w:t>50,000 businesses; 45 columns</w:t>
            </w:r>
          </w:p>
        </w:tc>
        <w:tc>
          <w:tcPr>
            <w:tcW w:type="dxa" w:w="4536"/>
            <w:vAlign w:val="center"/>
          </w:tcPr>
          <w:p>
            <w:pPr>
              <w:spacing w:after="40"/>
            </w:pPr>
            <w:r>
              <w:rPr>
                <w:sz w:val="17"/>
              </w:rPr>
              <w:t>33 inputs, one ID and 11 supplied outcomes separated</w:t>
            </w:r>
          </w:p>
        </w:tc>
      </w:tr>
      <w:tr>
        <w:trPr>
          <w:cantSplit/>
        </w:trPr>
        <w:tc>
          <w:tcPr>
            <w:tcW w:type="dxa" w:w="1944"/>
            <w:vAlign w:val="center"/>
            <w:shd w:fill="F3F7FA"/>
          </w:tcPr>
          <w:p>
            <w:pPr>
              <w:spacing w:after="40"/>
            </w:pPr>
            <w:r>
              <w:rPr>
                <w:sz w:val="17"/>
              </w:rPr>
              <w:t>EMI timeliness</w:t>
            </w:r>
          </w:p>
        </w:tc>
        <w:tc>
          <w:tcPr>
            <w:tcW w:type="dxa" w:w="3168"/>
            <w:vAlign w:val="center"/>
            <w:shd w:fill="F3F7FA"/>
          </w:tcPr>
          <w:p>
            <w:pPr>
              <w:spacing w:after="40"/>
            </w:pPr>
            <w:r>
              <w:rPr>
                <w:sz w:val="17"/>
              </w:rPr>
              <w:t>65.112% missing; exactly no-loan businesses</w:t>
            </w:r>
          </w:p>
        </w:tc>
        <w:tc>
          <w:tcPr>
            <w:tcW w:type="dxa" w:w="4536"/>
            <w:vAlign w:val="center"/>
            <w:shd w:fill="F3F7FA"/>
          </w:tcPr>
          <w:p>
            <w:pPr>
              <w:spacing w:after="40"/>
            </w:pPr>
            <w:r>
              <w:rPr>
                <w:sz w:val="17"/>
              </w:rPr>
              <w:t>Preserved as not applicable with missing indicator</w:t>
            </w:r>
          </w:p>
        </w:tc>
      </w:tr>
      <w:tr>
        <w:trPr>
          <w:cantSplit/>
        </w:trPr>
        <w:tc>
          <w:tcPr>
            <w:tcW w:type="dxa" w:w="1944"/>
            <w:vAlign w:val="center"/>
          </w:tcPr>
          <w:p>
            <w:pPr>
              <w:spacing w:after="40"/>
            </w:pPr>
            <w:r>
              <w:rPr>
                <w:sz w:val="17"/>
              </w:rPr>
              <w:t>Financial amounts</w:t>
            </w:r>
          </w:p>
        </w:tc>
        <w:tc>
          <w:tcPr>
            <w:tcW w:type="dxa" w:w="3168"/>
            <w:vAlign w:val="center"/>
          </w:tcPr>
          <w:p>
            <w:pPr>
              <w:spacing w:after="40"/>
            </w:pPr>
            <w:r>
              <w:rPr>
                <w:sz w:val="17"/>
              </w:rPr>
              <w:t>Strong right tails and valid large businesses</w:t>
            </w:r>
          </w:p>
        </w:tc>
        <w:tc>
          <w:tcPr>
            <w:tcW w:type="dxa" w:w="4536"/>
            <w:vAlign w:val="center"/>
          </w:tcPr>
          <w:p>
            <w:pPr>
              <w:spacing w:after="40"/>
            </w:pPr>
            <w:r>
              <w:rPr>
                <w:sz w:val="17"/>
              </w:rPr>
              <w:t>Log-transform for linear models; raw values for CatBoost</w:t>
            </w:r>
          </w:p>
        </w:tc>
      </w:tr>
      <w:tr>
        <w:trPr>
          <w:cantSplit/>
        </w:trPr>
        <w:tc>
          <w:tcPr>
            <w:tcW w:type="dxa" w:w="1944"/>
            <w:vAlign w:val="center"/>
            <w:shd w:fill="F3F7FA"/>
          </w:tcPr>
          <w:p>
            <w:pPr>
              <w:spacing w:after="40"/>
            </w:pPr>
            <w:r>
              <w:rPr>
                <w:sz w:val="17"/>
              </w:rPr>
              <w:t>Bank surplus</w:t>
            </w:r>
          </w:p>
        </w:tc>
        <w:tc>
          <w:tcPr>
            <w:tcW w:type="dxa" w:w="3168"/>
            <w:vAlign w:val="center"/>
            <w:shd w:fill="F3F7FA"/>
          </w:tcPr>
          <w:p>
            <w:pPr>
              <w:spacing w:after="40"/>
            </w:pPr>
            <w:r>
              <w:rPr>
                <w:sz w:val="17"/>
              </w:rPr>
              <w:t>865 businesses have debits above credits</w:t>
            </w:r>
          </w:p>
        </w:tc>
        <w:tc>
          <w:tcPr>
            <w:tcW w:type="dxa" w:w="4536"/>
            <w:vAlign w:val="center"/>
            <w:shd w:fill="F3F7FA"/>
          </w:tcPr>
          <w:p>
            <w:pPr>
              <w:spacing w:after="40"/>
            </w:pPr>
            <w:r>
              <w:rPr>
                <w:sz w:val="17"/>
              </w:rPr>
              <w:t>Signed surplus preserved as risk information</w:t>
            </w:r>
          </w:p>
        </w:tc>
      </w:tr>
      <w:tr>
        <w:trPr>
          <w:cantSplit/>
        </w:trPr>
        <w:tc>
          <w:tcPr>
            <w:tcW w:type="dxa" w:w="1944"/>
            <w:vAlign w:val="center"/>
          </w:tcPr>
          <w:p>
            <w:pPr>
              <w:spacing w:after="40"/>
            </w:pPr>
            <w:r>
              <w:rPr>
                <w:sz w:val="17"/>
              </w:rPr>
              <w:t>Redundancy</w:t>
            </w:r>
          </w:p>
        </w:tc>
        <w:tc>
          <w:tcPr>
            <w:tcW w:type="dxa" w:w="3168"/>
            <w:vAlign w:val="center"/>
          </w:tcPr>
          <w:p>
            <w:pPr>
              <w:spacing w:after="40"/>
            </w:pPr>
            <w:r>
              <w:rPr>
                <w:sz w:val="17"/>
              </w:rPr>
              <w:t>16 unique input pairs have absolute r at least 0.90</w:t>
            </w:r>
          </w:p>
        </w:tc>
        <w:tc>
          <w:tcPr>
            <w:tcW w:type="dxa" w:w="4536"/>
            <w:vAlign w:val="center"/>
          </w:tcPr>
          <w:p>
            <w:pPr>
              <w:spacing w:after="40"/>
            </w:pPr>
            <w:r>
              <w:rPr>
                <w:sz w:val="17"/>
              </w:rPr>
              <w:t>Full and compact feature sets compared</w:t>
            </w:r>
          </w:p>
        </w:tc>
      </w:tr>
      <w:tr>
        <w:trPr>
          <w:cantSplit/>
        </w:trPr>
        <w:tc>
          <w:tcPr>
            <w:tcW w:type="dxa" w:w="1944"/>
            <w:vAlign w:val="center"/>
            <w:shd w:fill="F3F7FA"/>
          </w:tcPr>
          <w:p>
            <w:pPr>
              <w:spacing w:after="40"/>
            </w:pPr>
            <w:r>
              <w:rPr>
                <w:sz w:val="17"/>
              </w:rPr>
              <w:t>History</w:t>
            </w:r>
          </w:p>
        </w:tc>
        <w:tc>
          <w:tcPr>
            <w:tcW w:type="dxa" w:w="3168"/>
            <w:vAlign w:val="center"/>
            <w:shd w:fill="F3F7FA"/>
          </w:tcPr>
          <w:p>
            <w:pPr>
              <w:spacing w:after="40"/>
            </w:pPr>
            <w:r>
              <w:rPr>
                <w:sz w:val="17"/>
              </w:rPr>
              <w:t>One undated snapshot per business</w:t>
            </w:r>
          </w:p>
        </w:tc>
        <w:tc>
          <w:tcPr>
            <w:tcW w:type="dxa" w:w="4536"/>
            <w:vAlign w:val="center"/>
            <w:shd w:fill="F3F7FA"/>
          </w:tcPr>
          <w:p>
            <w:pPr>
              <w:spacing w:after="40"/>
            </w:pPr>
            <w:r>
              <w:rPr>
                <w:sz w:val="17"/>
              </w:rPr>
              <w:t>No invented time-series charts or default outcomes</w:t>
            </w:r>
          </w:p>
        </w:tc>
      </w:tr>
    </w:tbl>
    <w:p>
      <w:pPr>
        <w:spacing w:after="20"/>
      </w:pPr>
    </w:p>
    <w:p>
      <w:pPr>
        <w:pStyle w:val="Heading2"/>
      </w:pPr>
      <w:r>
        <w:t>Feature design</w:t>
      </w:r>
    </w:p>
    <w:p>
      <w:r>
        <w:t>Derived features include bank surplus and margin, balance coverage, EMI burden, GST margin, UPI net flow, payroll burden and GST-bank alignment. Zero denominators are guarded. GST, UPI and bank inflows are not summed as independent revenue.</w:t>
      </w:r>
    </w:p>
    <w:p>
      <w:r>
        <w:drawing>
          <wp:inline xmlns:a="http://schemas.openxmlformats.org/drawingml/2006/main" xmlns:pic="http://schemas.openxmlformats.org/drawingml/2006/picture">
            <wp:extent cx="5989320" cy="2395728"/>
            <wp:docPr id="2" name="Picture 2"/>
            <wp:cNvGraphicFramePr>
              <a:graphicFrameLocks noChangeAspect="1"/>
            </wp:cNvGraphicFramePr>
            <a:graphic>
              <a:graphicData uri="http://schemas.openxmlformats.org/drawingml/2006/picture">
                <pic:pic>
                  <pic:nvPicPr>
                    <pic:cNvPr id="0" name="distributions.png"/>
                    <pic:cNvPicPr/>
                  </pic:nvPicPr>
                  <pic:blipFill>
                    <a:blip r:embed="rId13"/>
                    <a:stretch>
                      <a:fillRect/>
                    </a:stretch>
                  </pic:blipFill>
                  <pic:spPr>
                    <a:xfrm>
                      <a:off x="0" y="0"/>
                      <a:ext cx="5989320" cy="2395728"/>
                    </a:xfrm>
                    <a:prstGeom prst="rect"/>
                  </pic:spPr>
                </pic:pic>
              </a:graphicData>
            </a:graphic>
          </wp:inline>
        </w:drawing>
      </w:r>
    </w:p>
    <w:p>
      <w:pPr>
        <w:jc w:val="center"/>
      </w:pPr>
      <w:r>
        <w:rPr>
          <w:i/>
          <w:sz w:val="16"/>
        </w:rPr>
        <w:t>Figure 2  Input distributions used to choose model-specific preprocessing</w:t>
      </w:r>
    </w:p>
    <w:p>
      <w:r>
        <w:br w:type="page"/>
      </w:r>
    </w:p>
    <w:p>
      <w:pPr>
        <w:pStyle w:val="Heading1"/>
      </w:pPr>
      <w:r>
        <w:t>Model development and held-out results</w:t>
      </w:r>
    </w:p>
    <w:p>
      <w:r>
        <w:t>A fixed 70/15/15 split is stratified by customer segment and risk category. Preprocessing learns only from training rows. Validation selects model families, feature sets and the eligibility threshold. The frozen selected models are then evaluated once on 7,500 test businesses.</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cantSplit/>
        </w:trPr>
        <w:tc>
          <w:tcPr>
            <w:tcW w:type="dxa" w:w="2088"/>
            <w:shd w:fill="154F82"/>
            <w:vAlign w:val="center"/>
          </w:tcPr>
          <w:p>
            <w:r>
              <w:rPr>
                <w:b/>
                <w:color w:val="FFFFFF"/>
                <w:sz w:val="18"/>
              </w:rPr>
              <w:t>Task</w:t>
            </w:r>
          </w:p>
        </w:tc>
        <w:tc>
          <w:tcPr>
            <w:tcW w:type="dxa" w:w="4320"/>
            <w:shd w:fill="154F82"/>
            <w:vAlign w:val="center"/>
          </w:tcPr>
          <w:p>
            <w:r>
              <w:rPr>
                <w:b/>
                <w:color w:val="FFFFFF"/>
                <w:sz w:val="18"/>
              </w:rPr>
              <w:t>Candidates</w:t>
            </w:r>
          </w:p>
        </w:tc>
        <w:tc>
          <w:tcPr>
            <w:tcW w:type="dxa" w:w="3240"/>
            <w:shd w:fill="154F82"/>
            <w:vAlign w:val="center"/>
          </w:tcPr>
          <w:p>
            <w:r>
              <w:rPr>
                <w:b/>
                <w:color w:val="FFFFFF"/>
                <w:sz w:val="18"/>
              </w:rPr>
              <w:t>Selected model</w:t>
            </w:r>
          </w:p>
        </w:tc>
      </w:tr>
      <w:tr>
        <w:trPr>
          <w:cantSplit/>
        </w:trPr>
        <w:tc>
          <w:tcPr>
            <w:tcW w:type="dxa" w:w="2088"/>
            <w:vAlign w:val="center"/>
          </w:tcPr>
          <w:p>
            <w:pPr>
              <w:spacing w:after="40"/>
            </w:pPr>
            <w:r>
              <w:rPr>
                <w:sz w:val="17"/>
              </w:rPr>
              <w:t>Seven scores</w:t>
            </w:r>
          </w:p>
        </w:tc>
        <w:tc>
          <w:tcPr>
            <w:tcW w:type="dxa" w:w="4320"/>
            <w:vAlign w:val="center"/>
          </w:tcPr>
          <w:p>
            <w:pPr>
              <w:spacing w:after="40"/>
            </w:pPr>
            <w:r>
              <w:rPr>
                <w:sz w:val="17"/>
              </w:rPr>
              <w:t>Dummy, multi-output Ridge, CatBoost</w:t>
            </w:r>
          </w:p>
        </w:tc>
        <w:tc>
          <w:tcPr>
            <w:tcW w:type="dxa" w:w="3240"/>
            <w:vAlign w:val="center"/>
          </w:tcPr>
          <w:p>
            <w:pPr>
              <w:spacing w:after="40"/>
            </w:pPr>
            <w:r>
              <w:rPr>
                <w:sz w:val="17"/>
              </w:rPr>
              <w:t>Compact CatBoost regression</w:t>
            </w:r>
          </w:p>
        </w:tc>
      </w:tr>
      <w:tr>
        <w:trPr>
          <w:cantSplit/>
        </w:trPr>
        <w:tc>
          <w:tcPr>
            <w:tcW w:type="dxa" w:w="2088"/>
            <w:vAlign w:val="center"/>
            <w:shd w:fill="F3F7FA"/>
          </w:tcPr>
          <w:p>
            <w:pPr>
              <w:spacing w:after="40"/>
            </w:pPr>
            <w:r>
              <w:rPr>
                <w:sz w:val="17"/>
              </w:rPr>
              <w:t>Eligibility</w:t>
            </w:r>
          </w:p>
        </w:tc>
        <w:tc>
          <w:tcPr>
            <w:tcW w:type="dxa" w:w="4320"/>
            <w:vAlign w:val="center"/>
            <w:shd w:fill="F3F7FA"/>
          </w:tcPr>
          <w:p>
            <w:pPr>
              <w:spacing w:after="40"/>
            </w:pPr>
            <w:r>
              <w:rPr>
                <w:sz w:val="17"/>
              </w:rPr>
              <w:t>Dummy, logistic regression, CatBoost</w:t>
            </w:r>
          </w:p>
        </w:tc>
        <w:tc>
          <w:tcPr>
            <w:tcW w:type="dxa" w:w="3240"/>
            <w:vAlign w:val="center"/>
            <w:shd w:fill="F3F7FA"/>
          </w:tcPr>
          <w:p>
            <w:pPr>
              <w:spacing w:after="40"/>
            </w:pPr>
            <w:r>
              <w:rPr>
                <w:sz w:val="17"/>
              </w:rPr>
              <w:t>Compact logistic regression</w:t>
            </w:r>
          </w:p>
        </w:tc>
      </w:tr>
      <w:tr>
        <w:trPr>
          <w:cantSplit/>
        </w:trPr>
        <w:tc>
          <w:tcPr>
            <w:tcW w:type="dxa" w:w="2088"/>
            <w:vAlign w:val="center"/>
          </w:tcPr>
          <w:p>
            <w:pPr>
              <w:spacing w:after="40"/>
            </w:pPr>
            <w:r>
              <w:rPr>
                <w:sz w:val="17"/>
              </w:rPr>
              <w:t>Risk category</w:t>
            </w:r>
          </w:p>
        </w:tc>
        <w:tc>
          <w:tcPr>
            <w:tcW w:type="dxa" w:w="4320"/>
            <w:vAlign w:val="center"/>
          </w:tcPr>
          <w:p>
            <w:pPr>
              <w:spacing w:after="40"/>
            </w:pPr>
            <w:r>
              <w:rPr>
                <w:sz w:val="17"/>
              </w:rPr>
              <w:t>Dummy, multinomial logistic regression, CatBoost</w:t>
            </w:r>
          </w:p>
        </w:tc>
        <w:tc>
          <w:tcPr>
            <w:tcW w:type="dxa" w:w="3240"/>
            <w:vAlign w:val="center"/>
          </w:tcPr>
          <w:p>
            <w:pPr>
              <w:spacing w:after="40"/>
            </w:pPr>
            <w:r>
              <w:rPr>
                <w:sz w:val="17"/>
              </w:rPr>
              <w:t>Compact logistic regression</w:t>
            </w:r>
          </w:p>
        </w:tc>
      </w:tr>
      <w:tr>
        <w:trPr>
          <w:cantSplit/>
        </w:trPr>
        <w:tc>
          <w:tcPr>
            <w:tcW w:type="dxa" w:w="2088"/>
            <w:vAlign w:val="center"/>
            <w:shd w:fill="F3F7FA"/>
          </w:tcPr>
          <w:p>
            <w:pPr>
              <w:spacing w:after="40"/>
            </w:pPr>
            <w:r>
              <w:rPr>
                <w:sz w:val="17"/>
              </w:rPr>
              <w:t>Positive credit limit</w:t>
            </w:r>
          </w:p>
        </w:tc>
        <w:tc>
          <w:tcPr>
            <w:tcW w:type="dxa" w:w="4320"/>
            <w:vAlign w:val="center"/>
            <w:shd w:fill="F3F7FA"/>
          </w:tcPr>
          <w:p>
            <w:pPr>
              <w:spacing w:after="40"/>
            </w:pPr>
            <w:r>
              <w:rPr>
                <w:sz w:val="17"/>
              </w:rPr>
              <w:t>Log-target Ridge, CatBoost</w:t>
            </w:r>
          </w:p>
        </w:tc>
        <w:tc>
          <w:tcPr>
            <w:tcW w:type="dxa" w:w="3240"/>
            <w:vAlign w:val="center"/>
            <w:shd w:fill="F3F7FA"/>
          </w:tcPr>
          <w:p>
            <w:pPr>
              <w:spacing w:after="40"/>
            </w:pPr>
            <w:r>
              <w:rPr>
                <w:sz w:val="17"/>
              </w:rPr>
              <w:t>Full-feature CatBoost regression</w:t>
            </w:r>
          </w:p>
        </w:tc>
      </w:tr>
      <w:tr>
        <w:trPr>
          <w:cantSplit/>
        </w:trPr>
        <w:tc>
          <w:tcPr>
            <w:tcW w:type="dxa" w:w="2088"/>
            <w:vAlign w:val="center"/>
          </w:tcPr>
          <w:p>
            <w:pPr>
              <w:spacing w:after="40"/>
            </w:pPr>
            <w:r>
              <w:rPr>
                <w:sz w:val="17"/>
              </w:rPr>
              <w:t>Profile review</w:t>
            </w:r>
          </w:p>
        </w:tc>
        <w:tc>
          <w:tcPr>
            <w:tcW w:type="dxa" w:w="4320"/>
            <w:vAlign w:val="center"/>
          </w:tcPr>
          <w:p>
            <w:pPr>
              <w:spacing w:after="40"/>
            </w:pPr>
            <w:r>
              <w:rPr>
                <w:sz w:val="17"/>
              </w:rPr>
              <w:t>IsolationForest</w:t>
            </w:r>
          </w:p>
        </w:tc>
        <w:tc>
          <w:tcPr>
            <w:tcW w:type="dxa" w:w="3240"/>
            <w:vAlign w:val="center"/>
          </w:tcPr>
          <w:p>
            <w:pPr>
              <w:spacing w:after="40"/>
            </w:pPr>
            <w:r>
              <w:rPr>
                <w:sz w:val="17"/>
              </w:rPr>
              <w:t>98th percentile training threshold</w:t>
            </w:r>
          </w:p>
        </w:tc>
      </w:tr>
    </w:tbl>
    <w:p>
      <w:pPr>
        <w:spacing w:after="20"/>
      </w:pPr>
    </w:p>
    <w:p>
      <w:pPr>
        <w:pStyle w:val="Heading2"/>
      </w:pPr>
      <w:r>
        <w:t>Test performance</w:t>
      </w:r>
    </w:p>
    <w:tbl>
      <w:tblPr>
        <w:tblW w:type="auto" w:w="0"/>
        <w:jc w:val="center"/>
        <w:tblLayout w:type="fixed"/>
        <w:tblLook w:firstColumn="1" w:firstRow="1" w:lastColumn="0" w:lastRow="0" w:noHBand="0" w:noVBand="1" w:val="04A0"/>
        <w:tblBorders>
          <w:top w:val="single" w:sz="5" w:color="D9D9D9"/>
          <w:left w:val="single" w:sz="5" w:color="D9D9D9"/>
          <w:bottom w:val="single" w:sz="5" w:color="D9D9D9"/>
          <w:right w:val="single" w:sz="5" w:color="D9D9D9"/>
          <w:insideH w:val="single" w:sz="5" w:color="D9D9D9"/>
          <w:insideV w:val="single" w:sz="5" w:color="D9D9D9"/>
        </w:tblBorders>
      </w:tblPr>
      <w:tblGrid>
        <w:gridCol w:w="3278"/>
        <w:gridCol w:w="3278"/>
        <w:gridCol w:w="3278"/>
      </w:tblGrid>
      <w:tr>
        <w:trPr>
          <w:cantSplit/>
        </w:trPr>
        <w:tc>
          <w:tcPr>
            <w:tcW w:type="dxa" w:w="2160"/>
            <w:shd w:fill="154F82"/>
            <w:vAlign w:val="center"/>
          </w:tcPr>
          <w:p>
            <w:r>
              <w:rPr>
                <w:b/>
                <w:color w:val="FFFFFF"/>
                <w:sz w:val="18"/>
              </w:rPr>
              <w:t>Measure</w:t>
            </w:r>
          </w:p>
        </w:tc>
        <w:tc>
          <w:tcPr>
            <w:tcW w:type="dxa" w:w="2952"/>
            <w:shd w:fill="154F82"/>
            <w:vAlign w:val="center"/>
          </w:tcPr>
          <w:p>
            <w:r>
              <w:rPr>
                <w:b/>
                <w:color w:val="FFFFFF"/>
                <w:sz w:val="18"/>
              </w:rPr>
              <w:t>Held-out result</w:t>
            </w:r>
          </w:p>
        </w:tc>
        <w:tc>
          <w:tcPr>
            <w:tcW w:type="dxa" w:w="4536"/>
            <w:shd w:fill="154F82"/>
            <w:vAlign w:val="center"/>
          </w:tcPr>
          <w:p>
            <w:r>
              <w:rPr>
                <w:b/>
                <w:color w:val="FFFFFF"/>
                <w:sz w:val="18"/>
              </w:rPr>
              <w:t>Interpretation</w:t>
            </w:r>
          </w:p>
        </w:tc>
      </w:tr>
      <w:tr>
        <w:trPr>
          <w:cantSplit/>
        </w:trPr>
        <w:tc>
          <w:tcPr>
            <w:tcW w:type="dxa" w:w="2160"/>
            <w:vAlign w:val="center"/>
          </w:tcPr>
          <w:p>
            <w:pPr>
              <w:spacing w:after="40"/>
            </w:pPr>
            <w:r>
              <w:rPr>
                <w:sz w:val="17"/>
              </w:rPr>
              <w:t>Overall health</w:t>
            </w:r>
          </w:p>
        </w:tc>
        <w:tc>
          <w:tcPr>
            <w:tcW w:type="dxa" w:w="2952"/>
            <w:vAlign w:val="center"/>
          </w:tcPr>
          <w:p>
            <w:pPr>
              <w:spacing w:after="40"/>
            </w:pPr>
            <w:r>
              <w:rPr>
                <w:sz w:val="17"/>
              </w:rPr>
              <w:t>MAE 1.76; R2 0.879</w:t>
            </w:r>
          </w:p>
        </w:tc>
        <w:tc>
          <w:tcPr>
            <w:tcW w:type="dxa" w:w="4536"/>
            <w:vAlign w:val="center"/>
          </w:tcPr>
          <w:p>
            <w:pPr>
              <w:spacing w:after="40"/>
            </w:pPr>
            <w:r>
              <w:rPr>
                <w:sz w:val="17"/>
              </w:rPr>
              <w:t>Good synthetic-label reconstruction</w:t>
            </w:r>
          </w:p>
        </w:tc>
      </w:tr>
      <w:tr>
        <w:trPr>
          <w:cantSplit/>
        </w:trPr>
        <w:tc>
          <w:tcPr>
            <w:tcW w:type="dxa" w:w="2160"/>
            <w:vAlign w:val="center"/>
            <w:shd w:fill="F3F7FA"/>
          </w:tcPr>
          <w:p>
            <w:pPr>
              <w:spacing w:after="40"/>
            </w:pPr>
            <w:r>
              <w:rPr>
                <w:sz w:val="17"/>
              </w:rPr>
              <w:t>Six component scores</w:t>
            </w:r>
          </w:p>
        </w:tc>
        <w:tc>
          <w:tcPr>
            <w:tcW w:type="dxa" w:w="2952"/>
            <w:vAlign w:val="center"/>
            <w:shd w:fill="F3F7FA"/>
          </w:tcPr>
          <w:p>
            <w:pPr>
              <w:spacing w:after="40"/>
            </w:pPr>
            <w:r>
              <w:rPr>
                <w:sz w:val="17"/>
              </w:rPr>
              <w:t>MAE 0.23 to 0.33</w:t>
            </w:r>
          </w:p>
        </w:tc>
        <w:tc>
          <w:tcPr>
            <w:tcW w:type="dxa" w:w="4536"/>
            <w:vAlign w:val="center"/>
            <w:shd w:fill="F3F7FA"/>
          </w:tcPr>
          <w:p>
            <w:pPr>
              <w:spacing w:after="40"/>
            </w:pPr>
            <w:r>
              <w:rPr>
                <w:sz w:val="17"/>
              </w:rPr>
              <w:t>Low average score-point error</w:t>
            </w:r>
          </w:p>
        </w:tc>
      </w:tr>
      <w:tr>
        <w:trPr>
          <w:cantSplit/>
        </w:trPr>
        <w:tc>
          <w:tcPr>
            <w:tcW w:type="dxa" w:w="2160"/>
            <w:vAlign w:val="center"/>
          </w:tcPr>
          <w:p>
            <w:pPr>
              <w:spacing w:after="40"/>
            </w:pPr>
            <w:r>
              <w:rPr>
                <w:sz w:val="17"/>
              </w:rPr>
              <w:t>Eligibility</w:t>
            </w:r>
          </w:p>
        </w:tc>
        <w:tc>
          <w:tcPr>
            <w:tcW w:type="dxa" w:w="2952"/>
            <w:vAlign w:val="center"/>
          </w:tcPr>
          <w:p>
            <w:pPr>
              <w:spacing w:after="40"/>
            </w:pPr>
            <w:r>
              <w:rPr>
                <w:sz w:val="17"/>
              </w:rPr>
              <w:t>Macro-F1 0.902; ROC-AUC 0.979; PR-AUC 0.993</w:t>
            </w:r>
          </w:p>
        </w:tc>
        <w:tc>
          <w:tcPr>
            <w:tcW w:type="dxa" w:w="4536"/>
            <w:vAlign w:val="center"/>
          </w:tcPr>
          <w:p>
            <w:pPr>
              <w:spacing w:after="40"/>
            </w:pPr>
            <w:r>
              <w:rPr>
                <w:sz w:val="17"/>
              </w:rPr>
              <w:t>Strong synthetic-class separation</w:t>
            </w:r>
          </w:p>
        </w:tc>
      </w:tr>
      <w:tr>
        <w:trPr>
          <w:cantSplit/>
        </w:trPr>
        <w:tc>
          <w:tcPr>
            <w:tcW w:type="dxa" w:w="2160"/>
            <w:vAlign w:val="center"/>
            <w:shd w:fill="F3F7FA"/>
          </w:tcPr>
          <w:p>
            <w:pPr>
              <w:spacing w:after="40"/>
            </w:pPr>
            <w:r>
              <w:rPr>
                <w:sz w:val="17"/>
              </w:rPr>
              <w:t>Risk category</w:t>
            </w:r>
          </w:p>
        </w:tc>
        <w:tc>
          <w:tcPr>
            <w:tcW w:type="dxa" w:w="2952"/>
            <w:vAlign w:val="center"/>
            <w:shd w:fill="F3F7FA"/>
          </w:tcPr>
          <w:p>
            <w:pPr>
              <w:spacing w:after="40"/>
            </w:pPr>
            <w:r>
              <w:rPr>
                <w:sz w:val="17"/>
              </w:rPr>
              <w:t>Macro-F1 0.838</w:t>
            </w:r>
          </w:p>
        </w:tc>
        <w:tc>
          <w:tcPr>
            <w:tcW w:type="dxa" w:w="4536"/>
            <w:vAlign w:val="center"/>
            <w:shd w:fill="F3F7FA"/>
          </w:tcPr>
          <w:p>
            <w:pPr>
              <w:spacing w:after="40"/>
            </w:pPr>
            <w:r>
              <w:rPr>
                <w:sz w:val="17"/>
              </w:rPr>
              <w:t>Some confusion remains around medium risk</w:t>
            </w:r>
          </w:p>
        </w:tc>
      </w:tr>
      <w:tr>
        <w:trPr>
          <w:cantSplit/>
        </w:trPr>
        <w:tc>
          <w:tcPr>
            <w:tcW w:type="dxa" w:w="2160"/>
            <w:vAlign w:val="center"/>
          </w:tcPr>
          <w:p>
            <w:pPr>
              <w:spacing w:after="40"/>
            </w:pPr>
            <w:r>
              <w:rPr>
                <w:sz w:val="17"/>
              </w:rPr>
              <w:t>Positive limit</w:t>
            </w:r>
          </w:p>
        </w:tc>
        <w:tc>
          <w:tcPr>
            <w:tcW w:type="dxa" w:w="2952"/>
            <w:vAlign w:val="center"/>
          </w:tcPr>
          <w:p>
            <w:pPr>
              <w:spacing w:after="40"/>
            </w:pPr>
            <w:r>
              <w:rPr>
                <w:sz w:val="17"/>
              </w:rPr>
              <w:t>MAE INR 143,697</w:t>
            </w:r>
          </w:p>
        </w:tc>
        <w:tc>
          <w:tcPr>
            <w:tcW w:type="dxa" w:w="4536"/>
            <w:vAlign w:val="center"/>
          </w:tcPr>
          <w:p>
            <w:pPr>
              <w:spacing w:after="40"/>
            </w:pPr>
            <w:r>
              <w:rPr>
                <w:sz w:val="17"/>
              </w:rPr>
              <w:t>Eligible businesses only</w:t>
            </w:r>
          </w:p>
        </w:tc>
      </w:tr>
      <w:tr>
        <w:trPr>
          <w:cantSplit/>
        </w:trPr>
        <w:tc>
          <w:tcPr>
            <w:tcW w:type="dxa" w:w="2160"/>
            <w:vAlign w:val="center"/>
            <w:shd w:fill="F3F7FA"/>
          </w:tcPr>
          <w:p>
            <w:pPr>
              <w:spacing w:after="40"/>
            </w:pPr>
            <w:r>
              <w:rPr>
                <w:sz w:val="17"/>
              </w:rPr>
              <w:t>Complete limit</w:t>
            </w:r>
          </w:p>
        </w:tc>
        <w:tc>
          <w:tcPr>
            <w:tcW w:type="dxa" w:w="2952"/>
            <w:vAlign w:val="center"/>
            <w:shd w:fill="F3F7FA"/>
          </w:tcPr>
          <w:p>
            <w:pPr>
              <w:spacing w:after="40"/>
            </w:pPr>
            <w:r>
              <w:rPr>
                <w:sz w:val="17"/>
              </w:rPr>
              <w:t>MAE INR 149,944</w:t>
            </w:r>
          </w:p>
        </w:tc>
        <w:tc>
          <w:tcPr>
            <w:tcW w:type="dxa" w:w="4536"/>
            <w:vAlign w:val="center"/>
            <w:shd w:fill="F3F7FA"/>
          </w:tcPr>
          <w:p>
            <w:pPr>
              <w:spacing w:after="40"/>
            </w:pPr>
            <w:r>
              <w:rPr>
                <w:sz w:val="17"/>
              </w:rPr>
              <w:t>Includes eligibility gate</w:t>
            </w:r>
          </w:p>
        </w:tc>
      </w:tr>
      <w:tr>
        <w:trPr>
          <w:cantSplit/>
        </w:trPr>
        <w:tc>
          <w:tcPr>
            <w:tcW w:type="dxa" w:w="2160"/>
            <w:vAlign w:val="center"/>
          </w:tcPr>
          <w:p>
            <w:pPr>
              <w:spacing w:after="40"/>
            </w:pPr>
            <w:r>
              <w:rPr>
                <w:sz w:val="17"/>
              </w:rPr>
              <w:t>Anomaly review</w:t>
            </w:r>
          </w:p>
        </w:tc>
        <w:tc>
          <w:tcPr>
            <w:tcW w:type="dxa" w:w="2952"/>
            <w:vAlign w:val="center"/>
          </w:tcPr>
          <w:p>
            <w:pPr>
              <w:spacing w:after="40"/>
            </w:pPr>
            <w:r>
              <w:rPr>
                <w:sz w:val="17"/>
              </w:rPr>
              <w:t>2.12% of test rows</w:t>
            </w:r>
          </w:p>
        </w:tc>
        <w:tc>
          <w:tcPr>
            <w:tcW w:type="dxa" w:w="4536"/>
            <w:vAlign w:val="center"/>
          </w:tcPr>
          <w:p>
            <w:pPr>
              <w:spacing w:after="40"/>
            </w:pPr>
            <w:r>
              <w:rPr>
                <w:sz w:val="17"/>
              </w:rPr>
              <w:t>Review signal, not fraud label</w:t>
            </w:r>
          </w:p>
        </w:tc>
      </w:tr>
    </w:tbl>
    <w:p>
      <w:pPr>
        <w:spacing w:after="20"/>
      </w:pPr>
    </w:p>
    <w:p>
      <w:r>
        <w:drawing>
          <wp:inline xmlns:a="http://schemas.openxmlformats.org/drawingml/2006/main" xmlns:pic="http://schemas.openxmlformats.org/drawingml/2006/picture">
            <wp:extent cx="5943600" cy="2161309"/>
            <wp:docPr id="3" name="Picture 3"/>
            <wp:cNvGraphicFramePr>
              <a:graphicFrameLocks noChangeAspect="1"/>
            </wp:cNvGraphicFramePr>
            <a:graphic>
              <a:graphicData uri="http://schemas.openxmlformats.org/drawingml/2006/picture">
                <pic:pic>
                  <pic:nvPicPr>
                    <pic:cNvPr id="0" name="model_results.png"/>
                    <pic:cNvPicPr/>
                  </pic:nvPicPr>
                  <pic:blipFill>
                    <a:blip r:embed="rId14"/>
                    <a:stretch>
                      <a:fillRect/>
                    </a:stretch>
                  </pic:blipFill>
                  <pic:spPr>
                    <a:xfrm>
                      <a:off x="0" y="0"/>
                      <a:ext cx="5943600" cy="2161309"/>
                    </a:xfrm>
                    <a:prstGeom prst="rect"/>
                  </pic:spPr>
                </pic:pic>
              </a:graphicData>
            </a:graphic>
          </wp:inline>
        </w:drawing>
      </w:r>
    </w:p>
    <w:p>
      <w:pPr>
        <w:jc w:val="center"/>
      </w:pPr>
      <w:r>
        <w:rPr>
          <w:i/>
          <w:sz w:val="16"/>
        </w:rPr>
        <w:t>Figure 3  Held-out health-score fit and error by score dimension</w:t>
      </w:r>
    </w:p>
    <w:p>
      <w:r>
        <w:br w:type="page"/>
      </w:r>
    </w:p>
    <w:p>
      <w:pPr>
        <w:pStyle w:val="Heading1"/>
      </w:pPr>
      <w:r>
        <w:t>Explainability and Financial Health Card</w:t>
      </w:r>
    </w:p>
    <w:p>
      <w:r>
        <w:t>Each health card presents overall health separately from six component dimensions. It also shows eligibility, risk, indicative limit, source evidence, data-quality notes and deterministic recommendations. The system does not invent aggregation weights.</w:t>
      </w:r>
    </w:p>
    <w:p>
      <w:r>
        <w:drawing>
          <wp:inline xmlns:a="http://schemas.openxmlformats.org/drawingml/2006/main" xmlns:pic="http://schemas.openxmlformats.org/drawingml/2006/picture">
            <wp:extent cx="6080760" cy="3612784"/>
            <wp:docPr id="4" name="Picture 4"/>
            <wp:cNvGraphicFramePr>
              <a:graphicFrameLocks noChangeAspect="1"/>
            </wp:cNvGraphicFramePr>
            <a:graphic>
              <a:graphicData uri="http://schemas.openxmlformats.org/drawingml/2006/picture">
                <pic:pic>
                  <pic:nvPicPr>
                    <pic:cNvPr id="0" name="dashboard_health_card.png"/>
                    <pic:cNvPicPr/>
                  </pic:nvPicPr>
                  <pic:blipFill>
                    <a:blip r:embed="rId15"/>
                    <a:stretch>
                      <a:fillRect/>
                    </a:stretch>
                  </pic:blipFill>
                  <pic:spPr>
                    <a:xfrm>
                      <a:off x="0" y="0"/>
                      <a:ext cx="6080760" cy="3612784"/>
                    </a:xfrm>
                    <a:prstGeom prst="rect"/>
                  </pic:spPr>
                </pic:pic>
              </a:graphicData>
            </a:graphic>
          </wp:inline>
        </w:drawing>
      </w:r>
    </w:p>
    <w:p>
      <w:pPr>
        <w:jc w:val="center"/>
      </w:pPr>
      <w:r>
        <w:rPr>
          <w:i/>
          <w:sz w:val="16"/>
        </w:rPr>
        <w:t>Figure 4  Financial Health Card with decision context and six dimensions</w:t>
      </w:r>
    </w:p>
    <w:p>
      <w:pPr>
        <w:pStyle w:val="Heading2"/>
      </w:pPr>
      <w:r>
        <w:t>Why the result can be reviewed</w:t>
      </w:r>
    </w:p>
    <w:p>
      <w:pPr>
        <w:pStyle w:val="ListBullet"/>
        <w:spacing w:after="60"/>
      </w:pPr>
      <w:r>
        <w:t>Native CatBoost SHAP or linear-model contributions explain selected predictions.</w:t>
      </w:r>
    </w:p>
    <w:p>
      <w:pPr>
        <w:pStyle w:val="ListBullet"/>
        <w:spacing w:after="60"/>
      </w:pPr>
      <w:r>
        <w:t>Contribution sums are checked against raw model predictions before display clipping.</w:t>
      </w:r>
    </w:p>
    <w:p>
      <w:pPr>
        <w:pStyle w:val="ListBullet"/>
        <w:spacing w:after="60"/>
      </w:pPr>
      <w:r>
        <w:t>Correlated contributions are grouped by financial source and disclosed as shared attribution.</w:t>
      </w:r>
    </w:p>
    <w:p>
      <w:pPr>
        <w:pStyle w:val="ListBullet"/>
        <w:spacing w:after="60"/>
      </w:pPr>
      <w:r>
        <w:t>Recommendations use deterministic evidence templates rather than generated claims.</w:t>
      </w:r>
    </w:p>
    <w:p>
      <w:pPr>
        <w:pStyle w:val="ListBullet"/>
        <w:spacing w:after="60"/>
      </w:pPr>
      <w:r>
        <w:t>Anomaly or conflicting outputs are sent for review and are never labelled proven fraud.</w:t>
      </w:r>
    </w:p>
    <w:p>
      <w:r>
        <w:t>The printable HTML card supports browser print or PDF export and includes the model version, assessment identifier, generation time and governance notice.</w:t>
      </w:r>
    </w:p>
    <w:p>
      <w:r>
        <w:br w:type="page"/>
      </w:r>
    </w:p>
    <w:p>
      <w:pPr>
        <w:pStyle w:val="Heading1"/>
      </w:pPr>
      <w:r>
        <w:t>Dashboard and practical workflow</w:t>
      </w:r>
    </w:p>
    <w:p>
      <w:r>
        <w:drawing>
          <wp:inline xmlns:a="http://schemas.openxmlformats.org/drawingml/2006/main" xmlns:pic="http://schemas.openxmlformats.org/drawingml/2006/picture">
            <wp:extent cx="6080760" cy="3612784"/>
            <wp:docPr id="5" name="Picture 5"/>
            <wp:cNvGraphicFramePr>
              <a:graphicFrameLocks noChangeAspect="1"/>
            </wp:cNvGraphicFramePr>
            <a:graphic>
              <a:graphicData uri="http://schemas.openxmlformats.org/drawingml/2006/picture">
                <pic:pic>
                  <pic:nvPicPr>
                    <pic:cNvPr id="0" name="dashboard_explanation.png"/>
                    <pic:cNvPicPr/>
                  </pic:nvPicPr>
                  <pic:blipFill>
                    <a:blip r:embed="rId16"/>
                    <a:stretch>
                      <a:fillRect/>
                    </a:stretch>
                  </pic:blipFill>
                  <pic:spPr>
                    <a:xfrm>
                      <a:off x="0" y="0"/>
                      <a:ext cx="6080760" cy="3612784"/>
                    </a:xfrm>
                    <a:prstGeom prst="rect"/>
                  </pic:spPr>
                </pic:pic>
              </a:graphicData>
            </a:graphic>
          </wp:inline>
        </w:drawing>
      </w:r>
    </w:p>
    <w:p>
      <w:pPr>
        <w:jc w:val="center"/>
      </w:pPr>
      <w:r>
        <w:rPr>
          <w:i/>
          <w:sz w:val="16"/>
        </w:rPr>
        <w:t>Figure 5  Driver-level explanation grouped by source domain</w:t>
      </w:r>
    </w:p>
    <w:p>
      <w:pPr>
        <w:pStyle w:val="Heading2"/>
      </w:pPr>
      <w:r>
        <w:t>Evaluator walkthrough</w:t>
      </w:r>
    </w:p>
    <w:p>
      <w:pPr>
        <w:pStyle w:val="ListBullet"/>
        <w:spacing w:after="60"/>
      </w:pPr>
      <w:r>
        <w:t>Open Portfolio and inspect segment, risk and anomaly-review filters.</w:t>
      </w:r>
    </w:p>
    <w:p>
      <w:pPr>
        <w:pStyle w:val="ListBullet"/>
        <w:spacing w:after="60"/>
      </w:pPr>
      <w:r>
        <w:t>Compare DEMO_NTC_RETAIL with DEMO_NTC_STRESSED in Health Card.</w:t>
      </w:r>
    </w:p>
    <w:p>
      <w:pPr>
        <w:pStyle w:val="ListBullet"/>
        <w:spacing w:after="60"/>
      </w:pPr>
      <w:r>
        <w:t>Review the six health dimensions, bank surplus and missing-history note.</w:t>
      </w:r>
    </w:p>
    <w:p>
      <w:pPr>
        <w:pStyle w:val="ListBullet"/>
        <w:spacing w:after="60"/>
      </w:pPr>
      <w:r>
        <w:t>Open Why this result to inspect SHAP baseline, contributions and source groups.</w:t>
      </w:r>
    </w:p>
    <w:p>
      <w:pPr>
        <w:pStyle w:val="ListBullet"/>
        <w:spacing w:after="60"/>
      </w:pPr>
      <w:r>
        <w:t>Download health-card JSON and printable HTML.</w:t>
      </w:r>
    </w:p>
    <w:p>
      <w:pPr>
        <w:pStyle w:val="ListBullet"/>
        <w:spacing w:after="60"/>
      </w:pPr>
      <w:r>
        <w:t>Add a modified snapshot and confirm prior assessments remain stored.</w:t>
      </w:r>
    </w:p>
    <w:p>
      <w:pPr>
        <w:pStyle w:val="Heading2"/>
      </w:pPr>
      <w:r>
        <w:t>Operational evidence</w:t>
      </w:r>
    </w:p>
    <w:p>
      <w:r>
        <w:t>Warm scoring latency measured 21.3 ms at p50 and 25.9 ms at p95 on the development Mac, excluding explanation generation. These measurements are samples, not a production service-level claim.</w:t>
      </w:r>
    </w:p>
    <w:p>
      <w:r>
        <w:t>The hosted app uses a temporary visitor-specific SQLite workspace. The local API persists append-only snapshots and assessments. Both paths use the same validation and scoring code.</w:t>
      </w:r>
    </w:p>
    <w:p>
      <w:r>
        <w:br w:type="page"/>
      </w:r>
    </w:p>
    <w:p>
      <w:pPr>
        <w:pStyle w:val="Heading1"/>
      </w:pPr>
      <w:r>
        <w:t>Architecture and integration roadmap</w:t>
      </w:r>
    </w:p>
    <w:p>
      <w:r>
        <w:drawing>
          <wp:inline xmlns:a="http://schemas.openxmlformats.org/drawingml/2006/main" xmlns:pic="http://schemas.openxmlformats.org/drawingml/2006/picture">
            <wp:extent cx="6172200" cy="3301409"/>
            <wp:docPr id="6" name="Picture 6"/>
            <wp:cNvGraphicFramePr>
              <a:graphicFrameLocks noChangeAspect="1"/>
            </wp:cNvGraphicFramePr>
            <a:graphic>
              <a:graphicData uri="http://schemas.openxmlformats.org/drawingml/2006/picture">
                <pic:pic>
                  <pic:nvPicPr>
                    <pic:cNvPr id="0" name="architecture_workflow.png"/>
                    <pic:cNvPicPr/>
                  </pic:nvPicPr>
                  <pic:blipFill>
                    <a:blip r:embed="rId17"/>
                    <a:stretch>
                      <a:fillRect/>
                    </a:stretch>
                  </pic:blipFill>
                  <pic:spPr>
                    <a:xfrm>
                      <a:off x="0" y="0"/>
                      <a:ext cx="6172200" cy="3301409"/>
                    </a:xfrm>
                    <a:prstGeom prst="rect"/>
                  </pic:spPr>
                </pic:pic>
              </a:graphicData>
            </a:graphic>
          </wp:inline>
        </w:drawing>
      </w:r>
    </w:p>
    <w:p>
      <w:pPr>
        <w:jc w:val="center"/>
      </w:pPr>
      <w:r>
        <w:rPr>
          <w:i/>
          <w:sz w:val="16"/>
        </w:rPr>
        <w:t>Figure 6  Implemented workflow and future integration boundary</w:t>
      </w:r>
    </w:p>
    <w:p>
      <w:r>
        <w:t>Implemented components include Pydantic validation, deterministic features, frozen model artifacts, SHAP explanations, FastAPI routes, SQLite assessment history, a Streamlit dashboard and printable reports. The model does not retrain during API startup.</w:t>
      </w:r>
    </w:p>
    <w:p>
      <w:pPr>
        <w:pStyle w:val="Heading2"/>
      </w:pPr>
      <w:r>
        <w:t>Proposed production path</w:t>
      </w:r>
    </w:p>
    <w:p>
      <w:pPr>
        <w:pStyle w:val="ListBullet"/>
        <w:spacing w:after="60"/>
      </w:pPr>
      <w:r>
        <w:t>Add purpose-bound, consent-verified adapters for Account Aggregator, ULI, GSTN, payroll and authorized banking sources.</w:t>
      </w:r>
    </w:p>
    <w:p>
      <w:pPr>
        <w:pStyle w:val="ListBullet"/>
        <w:spacing w:after="60"/>
      </w:pPr>
      <w:r>
        <w:t>Record provenance, reporting period, freshness, consent scope, expiry and retrieval status with each snapshot.</w:t>
      </w:r>
    </w:p>
    <w:p>
      <w:pPr>
        <w:pStyle w:val="ListBullet"/>
        <w:spacing w:after="60"/>
      </w:pPr>
      <w:r>
        <w:t>Use authenticated tenant-isolated APIs, encryption, managed durable storage and immutable audit records.</w:t>
      </w:r>
    </w:p>
    <w:p>
      <w:pPr>
        <w:pStyle w:val="ListBullet"/>
        <w:spacing w:after="60"/>
      </w:pPr>
      <w:r>
        <w:t>Monitor schema quality, drift, calibration, subgroup performance, latency and observed lending outcomes.</w:t>
      </w:r>
    </w:p>
    <w:p>
      <w:pPr>
        <w:pStyle w:val="ListBullet"/>
        <w:spacing w:after="60"/>
      </w:pPr>
      <w:r>
        <w:t>Integrate recommendations into OCEN or lender workflows only after policy, legal and compliance approval.</w:t>
      </w:r>
    </w:p>
    <w:p>
      <w:r>
        <w:br w:type="page"/>
      </w:r>
    </w:p>
    <w:p>
      <w:pPr>
        <w:pStyle w:val="Heading1"/>
      </w:pPr>
      <w:r>
        <w:t>Verification, limitations and submission links</w:t>
      </w:r>
    </w:p>
    <w:p>
      <w:pPr>
        <w:pStyle w:val="Heading2"/>
      </w:pPr>
      <w:r>
        <w:t>Verification completed</w:t>
      </w:r>
    </w:p>
    <w:p>
      <w:pPr>
        <w:pStyle w:val="ListBullet"/>
        <w:spacing w:after="60"/>
      </w:pPr>
      <w:r>
        <w:t>Both notebooks execute without cell errors in the ml conda environment.</w:t>
      </w:r>
    </w:p>
    <w:p>
      <w:pPr>
        <w:pStyle w:val="ListBullet"/>
        <w:spacing w:after="60"/>
      </w:pPr>
      <w:r>
        <w:t>All 18 automated workflow and hosted-mode tests pass.</w:t>
      </w:r>
    </w:p>
    <w:p>
      <w:pPr>
        <w:pStyle w:val="ListBullet"/>
        <w:spacing w:after="60"/>
      </w:pPr>
      <w:r>
        <w:t>Notebook and API predictions match across NTC, NTB and existing-credit examples.</w:t>
      </w:r>
    </w:p>
    <w:p>
      <w:pPr>
        <w:pStyle w:val="ListBullet"/>
        <w:spacing w:after="60"/>
      </w:pPr>
      <w:r>
        <w:t>Missing EMI history, unseen categories, zero denominators, negative surplus, invalid payloads and repeated assessments are covered.</w:t>
      </w:r>
    </w:p>
    <w:p>
      <w:pPr>
        <w:pStyle w:val="ListBullet"/>
        <w:spacing w:after="60"/>
      </w:pPr>
      <w:r>
        <w:t>The deployed dashboard exposes JSON and printable HTML download controls.</w:t>
      </w:r>
    </w:p>
    <w:p>
      <w:pPr>
        <w:pStyle w:val="Heading2"/>
      </w:pPr>
      <w:r>
        <w:t>Limitations</w:t>
      </w:r>
    </w:p>
    <w:p>
      <w:pPr>
        <w:pStyle w:val="ListBullet"/>
        <w:spacing w:after="60"/>
      </w:pPr>
      <w:r>
        <w:t>Synthetic target accuracy does not establish real default prediction or production fairness.</w:t>
      </w:r>
    </w:p>
    <w:p>
      <w:pPr>
        <w:pStyle w:val="ListBullet"/>
        <w:spacing w:after="60"/>
      </w:pPr>
      <w:r>
        <w:t>No dated histories, observed defaults, anomaly labels or live financial integrations are supplied.</w:t>
      </w:r>
    </w:p>
    <w:p>
      <w:pPr>
        <w:pStyle w:val="ListBullet"/>
        <w:spacing w:after="60"/>
      </w:pPr>
      <w:r>
        <w:t>Credit recommendations are indicative demonstrations and require lender policy and human review.</w:t>
      </w:r>
    </w:p>
    <w:p>
      <w:pPr>
        <w:pStyle w:val="ListBullet"/>
        <w:spacing w:after="60"/>
      </w:pPr>
      <w:r>
        <w:t>Largest-business credit-limit error is materially higher and requires focused validation.</w:t>
      </w:r>
    </w:p>
    <w:p>
      <w:pPr>
        <w:pStyle w:val="Heading2"/>
      </w:pPr>
      <w:r>
        <w:t>Submission links</w:t>
      </w:r>
    </w:p>
    <w:p>
      <w:r>
        <w:rPr>
          <w:b/>
        </w:rPr>
        <w:t xml:space="preserve">Live Streamlit application: </w:t>
      </w:r>
      <w:hyperlink r:id="rId10">
        <w:r>
          <w:rPr>
            <w:color w:val="0563C1"/>
            <w:u w:val="single"/>
          </w:rPr>
          <w:t>https://cars24-msme-financial-health.streamlit.app/</w:t>
        </w:r>
      </w:hyperlink>
    </w:p>
    <w:p>
      <w:r>
        <w:rPr>
          <w:b/>
        </w:rPr>
        <w:t xml:space="preserve">GitHub repository: </w:t>
      </w:r>
      <w:hyperlink r:id="rId11">
        <w:r>
          <w:rPr>
            <w:color w:val="0563C1"/>
            <w:u w:val="single"/>
          </w:rPr>
          <w:t>https://github.com/AbhiRishi96/msme-financial-health-card</w:t>
        </w:r>
      </w:hyperlink>
    </w:p>
    <w:p>
      <w:r>
        <w:rPr>
          <w:b/>
        </w:rPr>
        <w:t xml:space="preserve">Architecture: </w:t>
      </w:r>
      <w:hyperlink r:id="rId18">
        <w:r>
          <w:rPr>
            <w:color w:val="0563C1"/>
            <w:u w:val="single"/>
          </w:rPr>
          <w:t>https://github.com/AbhiRishi96/msme-financial-health-card/blob/main/ARCHITECTURE.md</w:t>
        </w:r>
      </w:hyperlink>
    </w:p>
    <w:p>
      <w:r>
        <w:rPr>
          <w:b/>
        </w:rPr>
        <w:t xml:space="preserve">Modeling notebook: </w:t>
      </w:r>
      <w:hyperlink r:id="rId19">
        <w:r>
          <w:rPr>
            <w:color w:val="0563C1"/>
            <w:u w:val="single"/>
          </w:rPr>
          <w:t>https://github.com/AbhiRishi96/msme-financial-health-card/blob/main/modeling.ipynb</w:t>
        </w:r>
      </w:hyperlink>
    </w:p>
    <w:p>
      <w:r>
        <w:rPr>
          <w:b/>
        </w:rPr>
        <w:t xml:space="preserve">EDA notebook: </w:t>
      </w:r>
      <w:hyperlink r:id="rId20">
        <w:r>
          <w:rPr>
            <w:color w:val="0563C1"/>
            <w:u w:val="single"/>
          </w:rPr>
          <w:t>https://github.com/AbhiRishi96/msme-financial-health-card/blob/main/data_analysis.ipynb</w:t>
        </w:r>
      </w:hyperlink>
    </w:p>
    <w:p>
      <w:pPr>
        <w:pStyle w:val="Heading2"/>
      </w:pPr>
      <w:r>
        <w:t>Recommended submission package</w:t>
      </w:r>
    </w:p>
    <w:p>
      <w:r>
        <w:t>Submit the live application URL and GitHub repository as the primary deliverables. Attach this report as the evaluator summary. The repository remains the authoritative source for executable notebooks, code, architecture and machine-readable metrics.</w:t>
      </w:r>
    </w:p>
    <w:sectPr w:rsidR="00FC693F" w:rsidRPr="0006063C" w:rsidSect="00034616">
      <w:footerReference w:type="default" r:id="rId9"/>
      <w:pgSz w:w="11909" w:h="16834"/>
      <w:pgMar w:top="979"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Pr>
    <w:r>
      <w:rPr>
        <w:color w:val="5A5A5A"/>
        <w:sz w:val="16"/>
      </w:rPr>
      <w:t xml:space="preserve">MSME Financial Health Card  |  Interview submission  |  </w:t>
    </w:r>
    <w:r>
      <w:t xml:space="preserve">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ptos Display" w:hAnsi="Aptos Display"/>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Display" w:hAnsi="Aptos Display"/>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Aptos Display" w:hAnsi="Aptos Display"/>
      <w:b/>
      <w:color w:val="000000"/>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20" w:after="160"/>
    </w:pPr>
    <w:rPr>
      <w:rFonts w:ascii="Aptos" w:hAnsi="Aptos"/>
      <w:b/>
      <w:color w:val="154F82"/>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cars24-msme-financial-health.streamlit.app/" TargetMode="External"/><Relationship Id="rId11" Type="http://schemas.openxmlformats.org/officeDocument/2006/relationships/hyperlink" Target="https://github.com/AbhiRishi96/msme-financial-health-card" TargetMode="Externa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hyperlink" Target="https://github.com/AbhiRishi96/msme-financial-health-card/blob/main/ARCHITECTURE.md" TargetMode="External"/><Relationship Id="rId19" Type="http://schemas.openxmlformats.org/officeDocument/2006/relationships/hyperlink" Target="https://github.com/AbhiRishi96/msme-financial-health-card/blob/main/modeling.ipynb" TargetMode="External"/><Relationship Id="rId20" Type="http://schemas.openxmlformats.org/officeDocument/2006/relationships/hyperlink" Target="https://github.com/AbhiRishi96/msme-financial-health-card/blob/main/data_analysis.ipyn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MSME Financial Health Card Submission Report</dc:title>
  <dc:subject>Explainable synthetic-data credit intelligence demonstration</dc:subject>
  <dc:creator>Abhishek Rai</dc:creator>
  <cp:keywords>MSME, financial health, explainable ML, credit intelligence</cp:keywords>
  <dc:description>generated by python-docx</dc:description>
  <cp:lastModifiedBy/>
  <cp:revision>1</cp:revision>
  <dcterms:created xsi:type="dcterms:W3CDTF">2013-12-23T23:15:00Z</dcterms:created>
  <dcterms:modified xsi:type="dcterms:W3CDTF">2013-12-23T23:15:00Z</dcterms:modified>
  <cp:category/>
</cp:coreProperties>
</file>