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4F46E5"/>
          <w:sz w:val="64"/>
          <w:szCs w:val="64"/>
        </w:rPr>
        <w:t xml:space="preserve">FactoryOS</w:t>
      </w:r>
    </w:p>
    <w:p>
      <w:pPr>
        <w:spacing w:before="160"/>
        <w:jc w:val="center"/>
      </w:pPr>
      <w:r>
        <w:rPr>
          <w:color w:val="1F2937"/>
          <w:sz w:val="30"/>
          <w:szCs w:val="30"/>
        </w:rPr>
        <w:t xml:space="preserve">Flexible Packaging Manufacturing ERP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Implementation Proposal — Timeline &amp; Budget Estimate</w:t>
      </w:r>
    </w:p>
    <w:p>
      <w:pPr>
        <w:spacing w:before="900"/>
      </w:pPr>
    </w:p>
    <w:p>
      <w:pPr>
        <w:jc w:val="center"/>
      </w:pPr>
      <w:r>
        <w:rPr>
          <w:color w:val="374151"/>
          <w:sz w:val="22"/>
          <w:szCs w:val="22"/>
        </w:rPr>
        <w:t xml:space="preserve">Prepared for: Yuva Polyprint and Packaging Industries</w:t>
      </w:r>
    </w:p>
    <w:p>
      <w:pPr>
        <w:spacing w:before="60"/>
        <w:jc w:val="center"/>
      </w:pPr>
      <w:r>
        <w:rPr>
          <w:color w:val="374151"/>
          <w:sz w:val="22"/>
          <w:szCs w:val="22"/>
        </w:rPr>
        <w:t xml:space="preserve">Prepared by: Abhi</w:t>
      </w:r>
    </w:p>
    <w:p>
      <w:pPr>
        <w:spacing w:before="60"/>
        <w:jc w:val="center"/>
      </w:pPr>
      <w:r>
        <w:rPr>
          <w:color w:val="374151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374151"/>
          <w:sz w:val="21"/>
          <w:szCs w:val="21"/>
        </w:rPr>
        <w:t xml:space="preserve">Yuva Polyprint is a flexible packaging and laminated packaging manufacturer producing stand-up pouches, center-sealed and three-side-seal pouches, spout pouches, side-gusset pouches, shrink and stretch sleeves, roll-fed labels, lid laminates, laminated rolls, shrink wrap, and industrial bags — serving customers across food, dairy, pharma, personal care, beverage, chemicals, paints, and apparel. Production runs through four core operations — Rotogravure Printing, Lamination, Slitting, and Pouch Making — with multiple jobs active simultaneously across different stages at any time.</w:t>
      </w:r>
    </w:p>
    <w:p>
      <w:pPr>
        <w:spacing w:after="160" w:line="300"/>
      </w:pPr>
      <w:r>
        <w:rPr>
          <w:color w:val="374151"/>
          <w:sz w:val="21"/>
          <w:szCs w:val="21"/>
        </w:rPr>
        <w:t xml:space="preserve">This is not a generic small-business ERP. It requires a configurable Product Master where every product defines its own required operations, a dedicated Design &amp; Cylinder Management module for Rotogravure printing, dynamic rate-based quotation, full job-level traceability, and estimated-vs-actual costing to identify hidden margin loss. A clickable wireframe covering all 20 screens of this system has already been built and reviewed — this proposal covers turning that validated design into a working, production-grade system.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TOTAL PROJECT TIMELINE</w:t>
            </w:r>
          </w:p>
          <w:p>
            <w:pPr>
              <w:spacing w:before="60"/>
            </w:pPr>
            <w:r>
              <w:rPr>
                <w:b/>
                <w:bCs/>
                <w:color w:val="4F46E5"/>
                <w:sz w:val="32"/>
                <w:szCs w:val="32"/>
              </w:rPr>
              <w:t xml:space="preserve">8 – 12 months (35 – 50 weeks)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b/>
                <w:bCs/>
                <w:color w:val="059669"/>
                <w:sz w:val="20"/>
                <w:szCs w:val="20"/>
              </w:rPr>
              <w:t xml:space="preserve">TOTAL PROJECT INVESTMENT</w:t>
            </w:r>
          </w:p>
          <w:p>
            <w:pPr>
              <w:spacing w:before="60"/>
            </w:pPr>
            <w:r>
              <w:rPr>
                <w:b/>
                <w:bCs/>
                <w:color w:val="059669"/>
                <w:sz w:val="32"/>
                <w:szCs w:val="32"/>
              </w:rPr>
              <w:t xml:space="preserve">₹49,00,000 – ₹74,00,000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UPPER BOUND (worst case, full scope, all contingency used)</w:t>
            </w:r>
          </w:p>
          <w:p>
            <w:pPr>
              <w:spacing w:before="60"/>
            </w:pPr>
            <w:r>
              <w:rPr>
                <w:b/>
                <w:bCs/>
                <w:color w:val="D97706"/>
                <w:sz w:val="32"/>
                <w:szCs w:val="32"/>
              </w:rPr>
              <w:t xml:space="preserve">12 months  ·  ₹74,00,000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2. Project Understanding</w:t>
      </w:r>
    </w:p>
    <w:p>
      <w:pPr>
        <w:spacing w:after="160" w:line="300"/>
      </w:pPr>
      <w:r>
        <w:rPr>
          <w:color w:val="374151"/>
          <w:sz w:val="21"/>
          <w:szCs w:val="21"/>
        </w:rPr>
        <w:t xml:space="preserve">Confirmed production stages: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Rotogravure Printing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Lamination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Slitting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Pouch Making</w:t>
      </w:r>
    </w:p>
    <w:p>
      <w:pPr>
        <w:spacing w:after="80"/>
      </w:pPr>
    </w:p>
    <w:p>
      <w:pPr>
        <w:spacing w:after="160" w:line="300"/>
      </w:pPr>
      <w:r>
        <w:rPr>
          <w:color w:val="374151"/>
          <w:sz w:val="21"/>
          <w:szCs w:val="21"/>
        </w:rPr>
        <w:t xml:space="preserve">Why this system is more complex than a standard manufacturing ERP: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Multiple jobs run concurrently across different stages — the system must model concurrent, non-linear production, not a single fixed 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Every product defines its own workflow. A laminated roll skips Pouch Making; a roll-fed label skips Lamination; an industrial bag skips Printing.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Rotogravure printing depends on engraved cylinders per design — cylinder ownership, storage, cost, damage, and reuse must be tracked.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Customers span 10+ industries with materially different material structures, layers, and quality requirements — the quotation engine cannot be built for one product 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Every order needs to be traceable end-to-end: customer → design/cylinder → materials → stage-wise production → waste → quality → cost → dispatch.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3. Scope of Work — Modules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Commercial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Customer &amp; Requirement capture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Dynamic rate-based Quotation engine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Order intake &amp; conversion tracking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Product &amp;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Product Master (configurable categories, types, required operations)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Design &amp; Cylinder Management (ownership, storage, cost, reuse, history)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Planning &amp; Material Requirement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Production / Job Card (multi-stage, concurrent-order tracking)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Roll traceability (raw → printed → laminated → slit)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Inventory (raw materials, WIP, finished goods)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Warehouse (zones, locations, stock movement)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Purchase &amp; Supplier Management (rate history, POs)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Control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Quality Management (stage-wise checks, pass/fail, inspector)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Waste Tracking (by stage, by reason)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Machine Master &amp; live monitoring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Employee / Operator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Simplified shop-floor Operator interface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Maintenance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Commercial Close-out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Costing — Estimated vs Actual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Profitability by customer / product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Dispatch &amp; Delivery tracking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Role-based access (Owner, Manager, Supervisor, Warehouse, Operator, Quality, Admin)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Dashboards &amp; Reports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Audit trail &amp; history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4. Delivery Approach</w:t>
      </w:r>
    </w:p>
    <w:p>
      <w:pPr>
        <w:spacing w:after="160" w:line="300"/>
      </w:pPr>
      <w:r>
        <w:rPr>
          <w:color w:val="374151"/>
          <w:sz w:val="21"/>
          <w:szCs w:val="21"/>
        </w:rPr>
        <w:t xml:space="preserve">The build follows the same priority order validated with the client: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1 — Confirm real Job Card, costing sheets, and quotation formats before Phase 2 begins (critical path).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2 — Dynamic rate + automated quotation engine.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3 — Configurable Product &amp; Production workflow.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4 — Job tracking across concurrent orders.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5 — Inventory, material consumption &amp; waste.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6 — Actual vs estimated costing.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7 — Machine &amp; operator tracking.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8 — Purchase / supplier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9 — Dispatch &amp; delivery tracking.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Priority 10 — Quality management.</w:t>
      </w:r>
    </w:p>
    <w:p>
      <w:pPr>
        <w:spacing w:after="120"/>
      </w:pPr>
    </w:p>
    <w:p>
      <w:pPr>
        <w:spacing w:after="160" w:line="300"/>
      </w:pPr>
      <w:r>
        <w:rPr>
          <w:color w:val="374151"/>
          <w:sz w:val="21"/>
          <w:szCs w:val="21"/>
        </w:rPr>
        <w:t xml:space="preserve">Recommended stack: responsive web application (desktop for office/management roles, tablet-friendly for shop floor), role-based authentication, relational database, cloud hosting with staged dev/UAT/production environments. Final stack confirmed at architecture sign-off in Phase 1.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5. Phased Implementation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50"/>
        <w:gridCol w:w="2000"/>
        <w:gridCol w:w="205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— Lower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— Upper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Discovery, requirement sign-off, solution architecture, UX refinement of the approved wireframe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 foundation (auth, roles, admin), Product Master, Customer &amp; Quotation 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Orders, Planning / Material Requirement, Design &amp; Cylinder Management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Production / Job Card (concurrent multi-stage tracking, roll traceability), Machine &amp; Operator tracking, shop-floor Operator UI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Inventory, Warehouse, Purchase &amp; Supplier Management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Quality Management, Waste Tracking, Estimated-vs-Actual Costing, Profitability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Dispatch &amp; Delivery, Reports &amp; Dashboards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weeks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Integration testing, UAT, training, deployment &amp; hypercare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weeks</w:t>
            </w:r>
          </w:p>
        </w:tc>
        <w:tc>
          <w:tcPr>
            <w:tcW w:type="dxa" w:w="2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weeks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25"/>
        <w:gridCol w:w="2350"/>
      </w:tblGrid>
      <w:tr>
        <w:trPr>
          <w:tblHeader/>
        </w:trPr>
        <w:tc>
          <w:tcPr>
            <w:tcW w:type="dxa" w:w="4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Lower Bound</w:t>
            </w:r>
          </w:p>
        </w:tc>
        <w:tc>
          <w:tcPr>
            <w:tcW w:type="dxa" w:w="2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Upper Bound</w:t>
            </w:r>
          </w:p>
        </w:tc>
      </w:tr>
      <w:tr>
        <w:tc>
          <w:tcPr>
            <w:tcW w:type="dxa" w:w="4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Total Duration</w:t>
            </w:r>
          </w:p>
        </w:tc>
        <w:tc>
          <w:tcPr>
            <w:tcW w:type="dxa" w:w="2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 xml:space="preserve">35 weeks  (≈ 8 months)</w:t>
            </w:r>
          </w:p>
        </w:tc>
        <w:tc>
          <w:tcPr>
            <w:tcW w:type="dxa" w:w="2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50 weeks  (≈ 12 months)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i/>
          <w:iCs/>
          <w:color w:val="6B7280"/>
          <w:sz w:val="19"/>
          <w:szCs w:val="19"/>
        </w:rPr>
        <w:t xml:space="preserve">Phase durations assume a dedicated core team (Section 6) working in parallel across sub-workstreams; the ranges reflect realistic variance from requirement clarity, data availability, and review turnaround — not scope reduction.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6. Team &amp; Effort Estimate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00"/>
        <w:gridCol w:w="245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Engagement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Rate (₹)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Project Manager / BA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~50%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1,00,000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Requirement sign-off, client liaison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~35%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1,60,000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Architecture, code review, tech decisions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Backend Developer (× 2)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90,000 each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Core APIs, workflow engine, integrations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Developer (× 2)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80,000 each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Web app, shop-floor UI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~70%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60,000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Ramps up from Phase 3 onward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~40%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70,000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Front-loaded — wireframe already complete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~20%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80,000</w:t>
            </w:r>
          </w:p>
        </w:tc>
        <w:tc>
          <w:tcPr>
            <w:tcW w:type="dxa" w:w="2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Environments, CI/CD, deployment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50"/>
      </w:tblGrid>
      <w:tr>
        <w:trPr>
          <w:tblHeader/>
        </w:trPr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Blended Team Cost</w:t>
            </w:r>
          </w:p>
        </w:tc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≈ ₹5,32,000 / month  (≈ ₹1,22,900 / week)</w:t>
            </w:r>
          </w:p>
        </w:tc>
      </w:tr>
    </w:tbl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7. Detailed Budget Breakdown</w:t>
      </w: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7.1 Development Cost by Phase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350"/>
        <w:gridCol w:w="2025"/>
        <w:gridCol w:w="2025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Lower Bound (₹)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Upper Bound (₹)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Discovery, Architecture &amp; UX Refinement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3,70,000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4,90,000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 Foundation, Product Master, Quotation Engine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7,40,000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9,80,000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Orders, Planning, Design &amp; Cylinder Management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4,90,000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7,40,000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Production / Job Card, Machine &amp; Operator Tracking, Shop-floor UI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8,60,000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11,10,000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Inventory, Warehouse, Purchase &amp; Supplier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4,90,000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7,40,000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Quality, Waste, Costing &amp; Profitability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4,90,000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7,40,000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Dispatch, Reports &amp; Dashboards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3,70,000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6,20,000</w:t>
            </w:r>
          </w:p>
        </w:tc>
      </w:tr>
      <w:t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4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Integration Testing, UAT, Training, Deployment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4,90,000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7,40,000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25"/>
        <w:gridCol w:w="2025"/>
      </w:tblGrid>
      <w:tr>
        <w:trPr>
          <w:tblHeader/>
        </w:trPr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Lower Bound (₹)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Upper Bound (₹)</w:t>
            </w:r>
          </w:p>
        </w:tc>
      </w:tr>
      <w:tr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Development Subtotal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43,00,000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61,60,000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4F46E5"/>
          <w:sz w:val="24"/>
          <w:szCs w:val="24"/>
        </w:rPr>
        <w:t xml:space="preserve">7.2 Additional Costs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25"/>
        <w:gridCol w:w="2025"/>
      </w:tblGrid>
      <w:tr>
        <w:trPr>
          <w:tblHeader/>
        </w:trPr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Lower Bound (₹)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Upper Bound (₹)</w:t>
            </w:r>
          </w:p>
        </w:tc>
      </w:tr>
      <w:tr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Infrastructure &amp; tooling (dev/staging/prod cloud, CI/CD, licenses, SSL/domain)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1,50,000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3,00,000</w:t>
            </w:r>
          </w:p>
        </w:tc>
      </w:tr>
      <w:tr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Contingency (10% lower / 15% upper — scope refinement buffer)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4,45,000</w:t>
            </w:r>
          </w:p>
        </w:tc>
        <w:tc>
          <w:tcPr>
            <w:tcW w:type="dxa" w:w="20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9,69,000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b/>
                <w:bCs/>
                <w:color w:val="059669"/>
                <w:sz w:val="20"/>
                <w:szCs w:val="20"/>
              </w:rPr>
              <w:t xml:space="preserve">TOTAL PROJECT INVESTMENT</w:t>
            </w:r>
          </w:p>
          <w:p>
            <w:pPr>
              <w:spacing w:before="60"/>
            </w:pPr>
            <w:r>
              <w:rPr>
                <w:b/>
                <w:bCs/>
                <w:color w:val="059669"/>
                <w:sz w:val="32"/>
                <w:szCs w:val="32"/>
              </w:rPr>
              <w:t xml:space="preserve">₹49,00,000  (Lower)   —   ₹74,00,000  (Upper Bound)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i/>
          <w:iCs/>
          <w:color w:val="6B7280"/>
          <w:sz w:val="19"/>
          <w:szCs w:val="19"/>
        </w:rPr>
        <w:t xml:space="preserve">Recurring post-launch costs (not included above): cloud hosting &amp; maintenance ₹25,000 – ₹60,000/month depending on scale; optional Annual Maintenance Contract at 18–20% of project cost/year covers bug fixes, minor enhancements, and support SLAs.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8. Payment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15%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 signing / project kickoff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20%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Phase 1–2 sign-off (Foundation + Commercial Engine)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25%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Phase 3–4 sign-off (Production / Job Card core)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20%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Phase 5–6 sign-off (Materials + Costing)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15%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UAT sign-off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9"/>
                <w:szCs w:val="19"/>
              </w:rPr>
              <w:t xml:space="preserve">5%</w:t>
            </w:r>
          </w:p>
        </w:tc>
        <w:tc>
          <w:tcPr>
            <w:tcW w:type="dxa" w:w="7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Go-live &amp; hypercare completion</w:t>
            </w:r>
          </w:p>
        </w:tc>
      </w:tr>
    </w:tbl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9. Assumptions &amp; Exclusions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Client provides existing Job Card formats, costing sheets, quotation examples, and inventory data within the first 2 weeks — this is on the critical path (Priority 1) and any delay shifts the timeline directly.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One round of UI refinement is included per module beyond the approved wireframe; additional design iterations are billed separately.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Responsive web application for desktop and tablet is included; native iOS/Android apps are excluded from this scope.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Integration with third-party accounting software (e.g. Tally) is excluded unless separately scoped.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Cylinder / roll tracking assumes standard barcode or QR scanning via commodity USB/Bluetooth scanners; custom hardware integration is excluded.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Data migration covers master data only (products, customers, materials, machines); historical transaction migration is a separately scoped effort.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System sized for up to 50 concurrent users; higher scale may require additional infrastructure planning and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74151"/>
          <w:sz w:val="21"/>
          <w:szCs w:val="21"/>
        </w:rPr>
        <w:t xml:space="preserve">Hosting, domain, and third-party service costs (SMS/WhatsApp notifications, backups) beyond the build-phase allowance are billed at actuals post-launch.</w:t>
      </w:r>
    </w:p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10. Risks &amp; Mitigation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5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Delay in receiving real Job Card / costing data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Costing engine cannot be finalized without it — this is Priority 1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Kickoff workshop dedicated to data collection before Phase 2 starts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Requirement volatility given configurable-workflow scope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Scope creep risk across Product Master and workflow engine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Phased sign-offs; change requests tracked against contingency budget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Product/customer diversity increases QA surface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More edge cases across 10+ industries and 14+ product types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Representative product set defined and tested per category, not exhaustively per SKU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Cylinder / design historical data incompleteness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Design &amp; Cylinder module accuracy depends on existing records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Start with active designs/cylinders; backfill history incrementally</w:t>
            </w:r>
          </w:p>
        </w:tc>
      </w:tr>
    </w:tbl>
    <w:p>
      <w:pPr>
        <w:spacing w:after="220"/>
      </w:pPr>
    </w:p>
    <w:p>
      <w:pPr>
        <w:pStyle w:val="Heading1"/>
        <w:spacing w:after="160" w:before="360"/>
      </w:pPr>
      <w:r>
        <w:rPr>
          <w:b/>
          <w:bCs/>
          <w:color w:val="1F2937"/>
          <w:sz w:val="30"/>
          <w:szCs w:val="30"/>
        </w:rPr>
        <w:t xml:space="preserve">11.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1"/>
          <w:szCs w:val="21"/>
        </w:rPr>
        <w:t xml:space="preserve">Review and sign off this proposal.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1"/>
          <w:szCs w:val="21"/>
        </w:rPr>
        <w:t xml:space="preserve">Kickoff workshop — walk through the approved wireframe screen by screen with all stakeholder roles.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1"/>
          <w:szCs w:val="21"/>
        </w:rPr>
        <w:t xml:space="preserve">Collect real Job Card, costing sheets, and quotation formats (Priority 1 data).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1"/>
          <w:szCs w:val="21"/>
        </w:rPr>
        <w:t xml:space="preserve">Begin Phase 1 — Discovery, Architecture &amp; UX Refinement.</w:t>
      </w:r>
    </w:p>
    <w:p>
      <w:pPr>
        <w:spacing w:after="300"/>
      </w:pPr>
    </w:p>
    <w:p>
      <w:pPr>
        <w:pBdr>
          <w:bottom w:val="single" w:color="D1D5DB" w:sz="6" w:space="1"/>
        </w:pBdr>
        <w:spacing w:after="240" w:before="120"/>
      </w:pPr>
    </w:p>
    <w:p>
      <w:pPr>
        <w:spacing w:after="160" w:line="300"/>
      </w:pPr>
      <w:r>
        <w:rPr>
          <w:color w:val="9CA3AF"/>
          <w:sz w:val="18"/>
          <w:szCs w:val="18"/>
        </w:rPr>
        <w:t xml:space="preserve">This proposal is valid for 30 days from the date above. All figures are in Indian Rupees (₹) and exclude applicable taxes (GST).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2026-08-21T02:30:46.629Z</dcterms:created>
  <dcterms:modified xsi:type="dcterms:W3CDTF">2026-08-21T02:30:46.629Z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