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5E817" w14:textId="459B2D69" w:rsidR="00716172" w:rsidRPr="00800B44" w:rsidRDefault="00816C2E" w:rsidP="00716172">
      <w:pPr>
        <w:pStyle w:val="Title"/>
        <w:spacing w:before="87" w:after="0"/>
        <w:contextualSpacing w:val="0"/>
        <w:rPr>
          <w:rFonts w:ascii="Verdana" w:eastAsia="Verdana" w:hAnsi="Verdana" w:cs="Verdana"/>
          <w:b/>
          <w:bCs/>
          <w:spacing w:val="0"/>
          <w:kern w:val="0"/>
        </w:rPr>
      </w:pPr>
      <w:bookmarkStart w:id="0" w:name="_Hlk160697679"/>
      <w:r>
        <w:rPr>
          <w:rFonts w:ascii="Verdana" w:eastAsia="Verdana" w:hAnsi="Verdana" w:cs="Verdana"/>
          <w:b/>
          <w:bCs/>
          <w:spacing w:val="0"/>
          <w:kern w:val="0"/>
        </w:rPr>
        <w:t>Ransome</w:t>
      </w:r>
      <w:r w:rsidRPr="00816C2E">
        <w:rPr>
          <w:rFonts w:ascii="Verdana" w:eastAsia="Verdana" w:hAnsi="Verdana" w:cs="Verdana"/>
          <w:b/>
          <w:bCs/>
          <w:spacing w:val="0"/>
          <w:kern w:val="0"/>
        </w:rPr>
        <w:t> </w:t>
      </w:r>
      <w:r>
        <w:rPr>
          <w:rFonts w:ascii="Verdana" w:eastAsia="Verdana" w:hAnsi="Verdana" w:cs="Verdana"/>
          <w:b/>
          <w:bCs/>
          <w:spacing w:val="0"/>
          <w:kern w:val="0"/>
        </w:rPr>
        <w:t>CHO</w:t>
      </w:r>
    </w:p>
    <w:p w14:paraId="18E5AB0D" w14:textId="0204CB8F" w:rsidR="00716172" w:rsidRPr="00A776E0" w:rsidRDefault="00716172" w:rsidP="00716172">
      <w:pPr>
        <w:rPr>
          <w:sz w:val="30"/>
          <w:szCs w:val="30"/>
        </w:rPr>
      </w:pPr>
      <w:r w:rsidRPr="00716172">
        <w:rPr>
          <w:sz w:val="30"/>
          <w:szCs w:val="30"/>
        </w:rPr>
        <w:t>Third Party Risk Analyst</w:t>
      </w:r>
      <w:r>
        <w:rPr>
          <w:sz w:val="30"/>
          <w:szCs w:val="30"/>
        </w:rPr>
        <w:t xml:space="preserve">| </w:t>
      </w:r>
      <w:r w:rsidRPr="00716172">
        <w:rPr>
          <w:sz w:val="30"/>
          <w:szCs w:val="30"/>
        </w:rPr>
        <w:t>Compliance Specialist</w:t>
      </w:r>
      <w:r>
        <w:rPr>
          <w:sz w:val="30"/>
          <w:szCs w:val="30"/>
        </w:rPr>
        <w:t xml:space="preserve"> | </w:t>
      </w:r>
      <w:r w:rsidRPr="00716172">
        <w:rPr>
          <w:sz w:val="30"/>
          <w:szCs w:val="30"/>
        </w:rPr>
        <w:t>GRC Specialist</w:t>
      </w:r>
    </w:p>
    <w:p w14:paraId="3DDFCC64" w14:textId="2E17E53D" w:rsidR="00716172" w:rsidRPr="00A776E0" w:rsidRDefault="00716172" w:rsidP="00716172">
      <w:pPr>
        <w:spacing w:before="120" w:after="120"/>
      </w:pPr>
      <w:r w:rsidRPr="00A776E0">
        <w:t xml:space="preserve"> </w:t>
      </w:r>
      <w:r w:rsidRPr="00716172">
        <w:rPr>
          <w:sz w:val="20"/>
          <w:szCs w:val="20"/>
        </w:rPr>
        <w:t xml:space="preserve">Location: Wheaton, MD| Email: multi7systems77@gmail.com | Phone: +1 (202) 556- 3557 | </w:t>
      </w:r>
      <w:hyperlink r:id="rId6" w:history="1">
        <w:r w:rsidRPr="00716172">
          <w:rPr>
            <w:rStyle w:val="Hyperlink"/>
            <w:sz w:val="20"/>
            <w:szCs w:val="20"/>
          </w:rPr>
          <w:t>LinkedIn</w:t>
        </w:r>
      </w:hyperlink>
    </w:p>
    <w:bookmarkStart w:id="1" w:name="_Hlk160698454"/>
    <w:p w14:paraId="4DB0FAC9" w14:textId="77777777" w:rsidR="00716172" w:rsidRPr="00A776E0" w:rsidRDefault="00716172" w:rsidP="00716172">
      <w:pPr>
        <w:pStyle w:val="BodyText"/>
        <w:spacing w:line="86" w:lineRule="exact"/>
        <w:ind w:left="105"/>
        <w:rPr>
          <w:sz w:val="8"/>
        </w:rPr>
      </w:pPr>
      <w:r>
        <w:rPr>
          <w:noProof/>
          <w:position w:val="-1"/>
          <w:sz w:val="8"/>
        </w:rPr>
        <mc:AlternateContent>
          <mc:Choice Requires="wpg">
            <w:drawing>
              <wp:inline distT="0" distB="0" distL="0" distR="0" wp14:anchorId="06BCDD92" wp14:editId="168CDD85">
                <wp:extent cx="6861175" cy="55245"/>
                <wp:effectExtent l="0" t="3810" r="0" b="0"/>
                <wp:docPr id="86132887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61175" cy="55245"/>
                          <a:chOff x="0" y="0"/>
                          <a:chExt cx="10805" cy="87"/>
                        </a:xfrm>
                      </wpg:grpSpPr>
                      <wps:wsp>
                        <wps:cNvPr id="1454478213" name="Freeform 3"/>
                        <wps:cNvSpPr>
                          <a:spLocks/>
                        </wps:cNvSpPr>
                        <wps:spPr bwMode="auto">
                          <a:xfrm>
                            <a:off x="0" y="0"/>
                            <a:ext cx="10805" cy="87"/>
                          </a:xfrm>
                          <a:custGeom>
                            <a:avLst/>
                            <a:gdLst>
                              <a:gd name="T0" fmla="*/ 10805 w 10805"/>
                              <a:gd name="T1" fmla="*/ 0 h 87"/>
                              <a:gd name="T2" fmla="*/ 6317 w 10805"/>
                              <a:gd name="T3" fmla="*/ 0 h 87"/>
                              <a:gd name="T4" fmla="*/ 6245 w 10805"/>
                              <a:gd name="T5" fmla="*/ 0 h 87"/>
                              <a:gd name="T6" fmla="*/ 6230 w 10805"/>
                              <a:gd name="T7" fmla="*/ 0 h 87"/>
                              <a:gd name="T8" fmla="*/ 0 w 10805"/>
                              <a:gd name="T9" fmla="*/ 0 h 87"/>
                              <a:gd name="T10" fmla="*/ 0 w 10805"/>
                              <a:gd name="T11" fmla="*/ 86 h 87"/>
                              <a:gd name="T12" fmla="*/ 6230 w 10805"/>
                              <a:gd name="T13" fmla="*/ 86 h 87"/>
                              <a:gd name="T14" fmla="*/ 6245 w 10805"/>
                              <a:gd name="T15" fmla="*/ 86 h 87"/>
                              <a:gd name="T16" fmla="*/ 6317 w 10805"/>
                              <a:gd name="T17" fmla="*/ 86 h 87"/>
                              <a:gd name="T18" fmla="*/ 10805 w 10805"/>
                              <a:gd name="T19" fmla="*/ 86 h 87"/>
                              <a:gd name="T20" fmla="*/ 10805 w 10805"/>
                              <a:gd name="T21"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0805" h="87">
                                <a:moveTo>
                                  <a:pt x="10805" y="0"/>
                                </a:moveTo>
                                <a:lnTo>
                                  <a:pt x="6317" y="0"/>
                                </a:lnTo>
                                <a:lnTo>
                                  <a:pt x="6245" y="0"/>
                                </a:lnTo>
                                <a:lnTo>
                                  <a:pt x="6230" y="0"/>
                                </a:lnTo>
                                <a:lnTo>
                                  <a:pt x="0" y="0"/>
                                </a:lnTo>
                                <a:lnTo>
                                  <a:pt x="0" y="86"/>
                                </a:lnTo>
                                <a:lnTo>
                                  <a:pt x="6230" y="86"/>
                                </a:lnTo>
                                <a:lnTo>
                                  <a:pt x="6245" y="86"/>
                                </a:lnTo>
                                <a:lnTo>
                                  <a:pt x="6317" y="86"/>
                                </a:lnTo>
                                <a:lnTo>
                                  <a:pt x="10805" y="86"/>
                                </a:lnTo>
                                <a:lnTo>
                                  <a:pt x="1080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8C2EBF1" id="Group 1" o:spid="_x0000_s1026" style="width:540.25pt;height:4.35pt;mso-position-horizontal-relative:char;mso-position-vertical-relative:line" coordsize="10805,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">
                <v:shape id="Freeform 3" o:spid="_x0000_s1027" style="position:absolute;width:10805;height:87;visibility:visible;mso-wrap-style:square;v-text-anchor:top" coordsize="1080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" path="m10805,l6317,r-72,l6230,,,,,86r6230,l6245,86r72,l10805,86r,-86xe" fillcolor="black" stroked="f">
                  <v:path arrowok="t" o:connecttype="custom" o:connectlocs="10805,0;6317,0;6245,0;6230,0;0,0;0,86;6230,86;6245,86;6317,86;10805,86;10805,0" o:connectangles="0,0,0,0,0,0,0,0,0,0,0"/>
                </v:shape>
                <w10:anchorlock/>
              </v:group>
            </w:pict>
          </mc:Fallback>
        </mc:AlternateContent>
      </w:r>
      <w:bookmarkEnd w:id="1"/>
    </w:p>
    <w:p w14:paraId="1991BE6C" w14:textId="77777777" w:rsidR="00716172" w:rsidRPr="00800B44" w:rsidRDefault="00716172" w:rsidP="00716172">
      <w:pPr>
        <w:pStyle w:val="Heading1"/>
        <w:keepNext w:val="0"/>
        <w:keepLines w:val="0"/>
        <w:spacing w:before="103" w:after="0"/>
        <w:ind w:left="120"/>
        <w:rPr>
          <w:rFonts w:ascii="Verdana" w:eastAsia="Tahoma" w:hAnsi="Verdana" w:cs="Tahoma"/>
          <w:b/>
          <w:bCs/>
          <w:color w:val="auto"/>
          <w:spacing w:val="17"/>
          <w:w w:val="90"/>
          <w:sz w:val="20"/>
          <w:szCs w:val="20"/>
        </w:rPr>
      </w:pPr>
      <w:r w:rsidRPr="00800B44">
        <w:rPr>
          <w:rFonts w:ascii="Verdana" w:eastAsia="Tahoma" w:hAnsi="Verdana" w:cs="Tahoma"/>
          <w:b/>
          <w:bCs/>
          <w:color w:val="auto"/>
          <w:spacing w:val="17"/>
          <w:w w:val="90"/>
          <w:sz w:val="20"/>
          <w:szCs w:val="20"/>
        </w:rPr>
        <w:t xml:space="preserve">PROFESSIONAL SUMMARY: </w:t>
      </w:r>
    </w:p>
    <w:p w14:paraId="2FE706FB" w14:textId="77777777" w:rsidR="002343A4" w:rsidRPr="002343A4" w:rsidRDefault="002343A4" w:rsidP="002343A4">
      <w:pPr>
        <w:ind w:left="120"/>
        <w:rPr>
          <w:w w:val="95"/>
          <w:sz w:val="20"/>
          <w:szCs w:val="20"/>
        </w:rPr>
      </w:pPr>
      <w:r w:rsidRPr="002343A4">
        <w:rPr>
          <w:w w:val="95"/>
          <w:sz w:val="20"/>
          <w:szCs w:val="20"/>
        </w:rPr>
        <w:t xml:space="preserve">Results-driven and detail-oriented </w:t>
      </w:r>
      <w:proofErr w:type="gramStart"/>
      <w:r w:rsidRPr="002343A4">
        <w:rPr>
          <w:b/>
          <w:bCs/>
          <w:w w:val="95"/>
          <w:sz w:val="20"/>
          <w:szCs w:val="20"/>
        </w:rPr>
        <w:t>Third Party</w:t>
      </w:r>
      <w:proofErr w:type="gramEnd"/>
      <w:r w:rsidRPr="002343A4">
        <w:rPr>
          <w:b/>
          <w:bCs/>
          <w:w w:val="95"/>
          <w:sz w:val="20"/>
          <w:szCs w:val="20"/>
        </w:rPr>
        <w:t xml:space="preserve"> Risk Analyst and GRC Specialist</w:t>
      </w:r>
      <w:r w:rsidRPr="002343A4">
        <w:rPr>
          <w:w w:val="95"/>
          <w:sz w:val="20"/>
          <w:szCs w:val="20"/>
        </w:rPr>
        <w:t xml:space="preserve"> with </w:t>
      </w:r>
      <w:r w:rsidRPr="002343A4">
        <w:rPr>
          <w:b/>
          <w:bCs/>
          <w:w w:val="95"/>
          <w:sz w:val="20"/>
          <w:szCs w:val="20"/>
        </w:rPr>
        <w:t>over 6 years of experience</w:t>
      </w:r>
      <w:r w:rsidRPr="002343A4">
        <w:rPr>
          <w:w w:val="95"/>
          <w:sz w:val="20"/>
          <w:szCs w:val="20"/>
        </w:rPr>
        <w:t xml:space="preserve"> in managing end-to-end third-party risk programs, regulatory compliance, and cybersecurity risk assessments across global enterprises. Proven track record of executing comprehensive vendor risk assessments, enhancing GRC frameworks, and ensuring audit readiness in line with industry standards such as ISO 27001, NIST, SOC 2, SOX, GDPR, and HIPAA. Adept at utilizing industry-leading tools including RSA Archer, ServiceNow GRC, </w:t>
      </w:r>
      <w:proofErr w:type="spellStart"/>
      <w:r w:rsidRPr="002343A4">
        <w:rPr>
          <w:w w:val="95"/>
          <w:sz w:val="20"/>
          <w:szCs w:val="20"/>
        </w:rPr>
        <w:t>OneTrust</w:t>
      </w:r>
      <w:proofErr w:type="spellEnd"/>
      <w:r w:rsidRPr="002343A4">
        <w:rPr>
          <w:w w:val="95"/>
          <w:sz w:val="20"/>
          <w:szCs w:val="20"/>
        </w:rPr>
        <w:t xml:space="preserve">, </w:t>
      </w:r>
      <w:proofErr w:type="spellStart"/>
      <w:r w:rsidRPr="002343A4">
        <w:rPr>
          <w:w w:val="95"/>
          <w:sz w:val="20"/>
          <w:szCs w:val="20"/>
        </w:rPr>
        <w:t>ProcessUnity</w:t>
      </w:r>
      <w:proofErr w:type="spellEnd"/>
      <w:r w:rsidRPr="002343A4">
        <w:rPr>
          <w:w w:val="95"/>
          <w:sz w:val="20"/>
          <w:szCs w:val="20"/>
        </w:rPr>
        <w:t>, and BitSight to automate workflows, streamline risk management processes, and improve compliance reporting. Demonstrated expertise in cross-functional collaboration, contract risk reviews, and executive-level risk reporting through dashboards and KPIs. Recognized for driving process improvements, mentoring junior analysts, and contributing to enterprise-wide GRC strategies with a focus on proactive risk mitigation and regulatory alignment.</w:t>
      </w:r>
    </w:p>
    <w:p w14:paraId="3E61F51B" w14:textId="77777777" w:rsidR="002343A4" w:rsidRPr="00A776E0" w:rsidRDefault="002343A4" w:rsidP="00716172">
      <w:pPr>
        <w:pStyle w:val="BodyText"/>
        <w:spacing w:before="120" w:line="242" w:lineRule="auto"/>
        <w:ind w:left="120" w:right="135"/>
        <w:rPr>
          <w:w w:val="95"/>
        </w:rPr>
      </w:pPr>
    </w:p>
    <w:p w14:paraId="308C95C2" w14:textId="77777777" w:rsidR="00716172" w:rsidRPr="00800B44" w:rsidRDefault="00716172" w:rsidP="00716172">
      <w:pPr>
        <w:pStyle w:val="Heading1"/>
        <w:keepNext w:val="0"/>
        <w:keepLines w:val="0"/>
        <w:spacing w:before="120" w:after="0"/>
        <w:ind w:left="120"/>
        <w:rPr>
          <w:rFonts w:ascii="Verdana" w:eastAsia="Tahoma" w:hAnsi="Verdana" w:cs="Tahoma"/>
          <w:b/>
          <w:bCs/>
          <w:color w:val="auto"/>
          <w:spacing w:val="16"/>
          <w:w w:val="90"/>
          <w:sz w:val="20"/>
          <w:szCs w:val="20"/>
        </w:rPr>
      </w:pPr>
      <w:r w:rsidRPr="00800B44">
        <w:rPr>
          <w:rFonts w:ascii="Verdana" w:eastAsia="Tahoma" w:hAnsi="Verdana" w:cs="Tahoma"/>
          <w:b/>
          <w:bCs/>
          <w:color w:val="auto"/>
          <w:spacing w:val="16"/>
          <w:w w:val="90"/>
          <w:sz w:val="20"/>
          <w:szCs w:val="20"/>
        </w:rPr>
        <w:t xml:space="preserve">SKILLS: </w:t>
      </w:r>
    </w:p>
    <w:p w14:paraId="1C5A103E" w14:textId="77777777" w:rsidR="00716172" w:rsidRPr="00A776E0" w:rsidRDefault="00716172" w:rsidP="00716172">
      <w:pPr>
        <w:pStyle w:val="BodyText"/>
        <w:spacing w:before="6"/>
        <w:rPr>
          <w:b/>
          <w:sz w:val="10"/>
        </w:rPr>
      </w:pPr>
    </w:p>
    <w:tbl>
      <w:tblPr>
        <w:tblStyle w:val="TableGrid"/>
        <w:tblW w:w="10350" w:type="dxa"/>
        <w:tblInd w:w="344" w:type="dxa"/>
        <w:tblLook w:val="04A0" w:firstRow="1" w:lastRow="0" w:firstColumn="1" w:lastColumn="0" w:noHBand="0" w:noVBand="1"/>
      </w:tblPr>
      <w:tblGrid>
        <w:gridCol w:w="2596"/>
        <w:gridCol w:w="7754"/>
      </w:tblGrid>
      <w:tr w:rsidR="00716172" w:rsidRPr="00A776E0" w14:paraId="04B9FE18" w14:textId="77777777" w:rsidTr="00A602D2">
        <w:tc>
          <w:tcPr>
            <w:tcW w:w="2596" w:type="dxa"/>
            <w:vAlign w:val="bottom"/>
          </w:tcPr>
          <w:p w14:paraId="462DC90E" w14:textId="1208F76D" w:rsidR="00716172" w:rsidRPr="002343A4" w:rsidRDefault="008D0380" w:rsidP="00A602D2">
            <w:pPr>
              <w:rPr>
                <w:b/>
                <w:bCs/>
                <w:sz w:val="20"/>
                <w:szCs w:val="20"/>
              </w:rPr>
            </w:pPr>
            <w:r w:rsidRPr="002343A4">
              <w:rPr>
                <w:b/>
                <w:bCs/>
                <w:sz w:val="20"/>
                <w:szCs w:val="20"/>
                <w:bdr w:val="single" w:sz="2" w:space="0" w:color="E3E3E3" w:frame="1"/>
              </w:rPr>
              <w:t>Third Party Risk Management</w:t>
            </w:r>
          </w:p>
        </w:tc>
        <w:tc>
          <w:tcPr>
            <w:tcW w:w="7754" w:type="dxa"/>
            <w:vAlign w:val="bottom"/>
          </w:tcPr>
          <w:p w14:paraId="6586F035" w14:textId="22E2D1FA" w:rsidR="00716172" w:rsidRPr="00A776E0" w:rsidRDefault="008D0380" w:rsidP="00A602D2">
            <w:pPr>
              <w:rPr>
                <w:sz w:val="20"/>
                <w:szCs w:val="20"/>
              </w:rPr>
            </w:pPr>
            <w:r w:rsidRPr="008D0380">
              <w:rPr>
                <w:rFonts w:eastAsia="Times New Roman" w:cs="Segoe UI"/>
                <w:color w:val="0D0D0D"/>
                <w:sz w:val="20"/>
                <w:szCs w:val="20"/>
              </w:rPr>
              <w:t xml:space="preserve">Vendor Risk Assessments, Risk Scoring, Due Diligence, TPRM Tools (e.g., Archer, </w:t>
            </w:r>
            <w:proofErr w:type="spellStart"/>
            <w:r w:rsidRPr="008D0380">
              <w:rPr>
                <w:rFonts w:eastAsia="Times New Roman" w:cs="Segoe UI"/>
                <w:color w:val="0D0D0D"/>
                <w:sz w:val="20"/>
                <w:szCs w:val="20"/>
              </w:rPr>
              <w:t>ProcessUnity</w:t>
            </w:r>
            <w:proofErr w:type="spellEnd"/>
            <w:r w:rsidRPr="008D0380">
              <w:rPr>
                <w:rFonts w:eastAsia="Times New Roman" w:cs="Segoe UI"/>
                <w:color w:val="0D0D0D"/>
                <w:sz w:val="20"/>
                <w:szCs w:val="20"/>
              </w:rPr>
              <w:t xml:space="preserve">, </w:t>
            </w:r>
            <w:proofErr w:type="spellStart"/>
            <w:r w:rsidRPr="008D0380">
              <w:rPr>
                <w:rFonts w:eastAsia="Times New Roman" w:cs="Segoe UI"/>
                <w:color w:val="0D0D0D"/>
                <w:sz w:val="20"/>
                <w:szCs w:val="20"/>
              </w:rPr>
              <w:t>OneTrust</w:t>
            </w:r>
            <w:proofErr w:type="spellEnd"/>
            <w:r w:rsidRPr="008D0380">
              <w:rPr>
                <w:rFonts w:eastAsia="Times New Roman" w:cs="Segoe UI"/>
                <w:color w:val="0D0D0D"/>
                <w:sz w:val="20"/>
                <w:szCs w:val="20"/>
              </w:rPr>
              <w:t>), Contract Risk Review</w:t>
            </w:r>
          </w:p>
        </w:tc>
      </w:tr>
      <w:tr w:rsidR="00716172" w:rsidRPr="00A776E0" w14:paraId="52AE6B41" w14:textId="77777777" w:rsidTr="00A602D2">
        <w:tc>
          <w:tcPr>
            <w:tcW w:w="2596" w:type="dxa"/>
            <w:vAlign w:val="bottom"/>
          </w:tcPr>
          <w:p w14:paraId="6E559437" w14:textId="4960266F" w:rsidR="00716172" w:rsidRPr="002343A4" w:rsidRDefault="008D0380" w:rsidP="00A602D2">
            <w:pPr>
              <w:rPr>
                <w:b/>
                <w:bCs/>
                <w:sz w:val="20"/>
                <w:szCs w:val="20"/>
              </w:rPr>
            </w:pPr>
            <w:r w:rsidRPr="002343A4">
              <w:rPr>
                <w:b/>
                <w:bCs/>
                <w:sz w:val="20"/>
                <w:szCs w:val="20"/>
                <w:bdr w:val="single" w:sz="2" w:space="0" w:color="E3E3E3" w:frame="1"/>
              </w:rPr>
              <w:t>Governance, Risk &amp; Compliance (GRC)</w:t>
            </w:r>
          </w:p>
        </w:tc>
        <w:tc>
          <w:tcPr>
            <w:tcW w:w="7754" w:type="dxa"/>
            <w:vAlign w:val="bottom"/>
          </w:tcPr>
          <w:p w14:paraId="6423F658" w14:textId="109E120D" w:rsidR="00716172" w:rsidRPr="00A776E0" w:rsidRDefault="008D0380" w:rsidP="00A602D2">
            <w:pPr>
              <w:rPr>
                <w:sz w:val="20"/>
                <w:szCs w:val="20"/>
              </w:rPr>
            </w:pPr>
            <w:r w:rsidRPr="008D0380">
              <w:rPr>
                <w:rFonts w:eastAsia="Times New Roman" w:cs="Segoe UI"/>
                <w:color w:val="0D0D0D"/>
                <w:sz w:val="20"/>
                <w:szCs w:val="20"/>
              </w:rPr>
              <w:t xml:space="preserve">GRC Frameworks (ISO 27001, NIST, COBIT), Risk Controls, GRC Tools (e.g., RSA Archer, ServiceNow GRC, </w:t>
            </w:r>
            <w:proofErr w:type="spellStart"/>
            <w:r w:rsidRPr="008D0380">
              <w:rPr>
                <w:rFonts w:eastAsia="Times New Roman" w:cs="Segoe UI"/>
                <w:color w:val="0D0D0D"/>
                <w:sz w:val="20"/>
                <w:szCs w:val="20"/>
              </w:rPr>
              <w:t>LogicGate</w:t>
            </w:r>
            <w:proofErr w:type="spellEnd"/>
            <w:r w:rsidRPr="008D0380">
              <w:rPr>
                <w:rFonts w:eastAsia="Times New Roman" w:cs="Segoe UI"/>
                <w:color w:val="0D0D0D"/>
                <w:sz w:val="20"/>
                <w:szCs w:val="20"/>
              </w:rPr>
              <w:t>), Policy Management</w:t>
            </w:r>
          </w:p>
        </w:tc>
      </w:tr>
      <w:tr w:rsidR="00716172" w:rsidRPr="00A776E0" w14:paraId="100263F9" w14:textId="77777777" w:rsidTr="00A602D2">
        <w:tc>
          <w:tcPr>
            <w:tcW w:w="2596" w:type="dxa"/>
            <w:vAlign w:val="bottom"/>
          </w:tcPr>
          <w:p w14:paraId="08557BED" w14:textId="7DDF9A09" w:rsidR="00716172" w:rsidRPr="002343A4" w:rsidRDefault="008D0380" w:rsidP="00A602D2">
            <w:pPr>
              <w:rPr>
                <w:b/>
                <w:bCs/>
                <w:sz w:val="20"/>
                <w:szCs w:val="20"/>
              </w:rPr>
            </w:pPr>
            <w:r w:rsidRPr="002343A4">
              <w:rPr>
                <w:b/>
                <w:bCs/>
                <w:sz w:val="20"/>
                <w:szCs w:val="20"/>
                <w:bdr w:val="single" w:sz="2" w:space="0" w:color="E3E3E3" w:frame="1"/>
              </w:rPr>
              <w:t>Compliance Management</w:t>
            </w:r>
          </w:p>
        </w:tc>
        <w:tc>
          <w:tcPr>
            <w:tcW w:w="7754" w:type="dxa"/>
            <w:vAlign w:val="bottom"/>
          </w:tcPr>
          <w:p w14:paraId="527FE85F" w14:textId="1AD09557" w:rsidR="00716172" w:rsidRPr="00A776E0" w:rsidRDefault="008D0380" w:rsidP="00A602D2">
            <w:pPr>
              <w:rPr>
                <w:sz w:val="20"/>
                <w:szCs w:val="20"/>
              </w:rPr>
            </w:pPr>
            <w:r w:rsidRPr="008D0380">
              <w:rPr>
                <w:rFonts w:eastAsia="Times New Roman" w:cs="Segoe UI"/>
                <w:color w:val="0D0D0D"/>
                <w:sz w:val="20"/>
                <w:szCs w:val="20"/>
              </w:rPr>
              <w:t>Regulatory Compliance (SOX, HIPAA, GDPR, CCPA), Internal Audits, Compliance Reporting, Control Testing</w:t>
            </w:r>
          </w:p>
        </w:tc>
      </w:tr>
      <w:tr w:rsidR="00716172" w:rsidRPr="00A776E0" w14:paraId="7378E290" w14:textId="77777777" w:rsidTr="00A602D2">
        <w:tc>
          <w:tcPr>
            <w:tcW w:w="2596" w:type="dxa"/>
            <w:vAlign w:val="bottom"/>
          </w:tcPr>
          <w:p w14:paraId="46C20AAB" w14:textId="351479D1" w:rsidR="00716172" w:rsidRPr="002343A4" w:rsidRDefault="008D0380" w:rsidP="00A602D2">
            <w:pPr>
              <w:rPr>
                <w:b/>
                <w:bCs/>
                <w:sz w:val="20"/>
                <w:szCs w:val="20"/>
              </w:rPr>
            </w:pPr>
            <w:r w:rsidRPr="002343A4">
              <w:rPr>
                <w:b/>
                <w:bCs/>
                <w:sz w:val="20"/>
                <w:szCs w:val="20"/>
                <w:bdr w:val="single" w:sz="2" w:space="0" w:color="E3E3E3" w:frame="1"/>
              </w:rPr>
              <w:t>Cybersecurity Risk</w:t>
            </w:r>
          </w:p>
        </w:tc>
        <w:tc>
          <w:tcPr>
            <w:tcW w:w="7754" w:type="dxa"/>
            <w:vAlign w:val="bottom"/>
          </w:tcPr>
          <w:p w14:paraId="1D201957" w14:textId="01818B52" w:rsidR="00716172" w:rsidRPr="00A776E0" w:rsidRDefault="008D0380" w:rsidP="00A602D2">
            <w:pPr>
              <w:rPr>
                <w:sz w:val="20"/>
                <w:szCs w:val="20"/>
              </w:rPr>
            </w:pPr>
            <w:r w:rsidRPr="008D0380">
              <w:rPr>
                <w:rFonts w:eastAsia="Times New Roman" w:cs="Segoe UI"/>
                <w:color w:val="0D0D0D"/>
                <w:sz w:val="20"/>
                <w:szCs w:val="20"/>
              </w:rPr>
              <w:t>Security Risk Assessments, Threat &amp; Vulnerability Management, Third-Party Cyber Risk, Secure Vendor Lifecycle</w:t>
            </w:r>
          </w:p>
        </w:tc>
      </w:tr>
      <w:tr w:rsidR="00716172" w:rsidRPr="00A776E0" w14:paraId="74936A6F" w14:textId="77777777" w:rsidTr="00A602D2">
        <w:tc>
          <w:tcPr>
            <w:tcW w:w="2596" w:type="dxa"/>
            <w:vAlign w:val="bottom"/>
          </w:tcPr>
          <w:p w14:paraId="7F98A4D8" w14:textId="2E7B2E21" w:rsidR="00716172" w:rsidRPr="002343A4" w:rsidRDefault="008D0380" w:rsidP="00A602D2">
            <w:pPr>
              <w:rPr>
                <w:b/>
                <w:bCs/>
                <w:sz w:val="20"/>
                <w:szCs w:val="20"/>
              </w:rPr>
            </w:pPr>
            <w:r w:rsidRPr="002343A4">
              <w:rPr>
                <w:b/>
                <w:bCs/>
                <w:sz w:val="20"/>
                <w:szCs w:val="20"/>
                <w:bdr w:val="single" w:sz="2" w:space="0" w:color="E3E3E3" w:frame="1"/>
              </w:rPr>
              <w:t>Regulatory Knowledge</w:t>
            </w:r>
          </w:p>
        </w:tc>
        <w:tc>
          <w:tcPr>
            <w:tcW w:w="7754" w:type="dxa"/>
            <w:vAlign w:val="bottom"/>
          </w:tcPr>
          <w:p w14:paraId="1DF90076" w14:textId="40FBD0AC" w:rsidR="00716172" w:rsidRPr="00A776E0" w:rsidRDefault="008D0380" w:rsidP="00A602D2">
            <w:pPr>
              <w:rPr>
                <w:sz w:val="20"/>
                <w:szCs w:val="20"/>
              </w:rPr>
            </w:pPr>
            <w:r w:rsidRPr="008D0380">
              <w:rPr>
                <w:rFonts w:eastAsia="Times New Roman" w:cs="Segoe UI"/>
                <w:color w:val="0D0D0D"/>
                <w:sz w:val="20"/>
                <w:szCs w:val="20"/>
              </w:rPr>
              <w:t>FFIEC, FINRA, NYDFS, OCC, SEC, PCI-DSS, Data Privacy Regulations (GDPR, CCPA, HIPAA)</w:t>
            </w:r>
          </w:p>
        </w:tc>
      </w:tr>
      <w:tr w:rsidR="00716172" w:rsidRPr="00A776E0" w14:paraId="54A27CF5" w14:textId="77777777" w:rsidTr="00A602D2">
        <w:tc>
          <w:tcPr>
            <w:tcW w:w="2596" w:type="dxa"/>
            <w:vAlign w:val="bottom"/>
          </w:tcPr>
          <w:p w14:paraId="56670DAC" w14:textId="45F182D4" w:rsidR="00716172" w:rsidRPr="002343A4" w:rsidRDefault="008D0380" w:rsidP="00A602D2">
            <w:pPr>
              <w:rPr>
                <w:b/>
                <w:bCs/>
                <w:sz w:val="20"/>
                <w:szCs w:val="20"/>
              </w:rPr>
            </w:pPr>
            <w:r w:rsidRPr="002343A4">
              <w:rPr>
                <w:b/>
                <w:bCs/>
                <w:sz w:val="20"/>
                <w:szCs w:val="20"/>
                <w:bdr w:val="single" w:sz="2" w:space="0" w:color="E3E3E3" w:frame="1"/>
              </w:rPr>
              <w:t>Audit &amp; Controls</w:t>
            </w:r>
          </w:p>
        </w:tc>
        <w:tc>
          <w:tcPr>
            <w:tcW w:w="7754" w:type="dxa"/>
            <w:vAlign w:val="bottom"/>
          </w:tcPr>
          <w:p w14:paraId="4A84684F" w14:textId="32DB9DBC" w:rsidR="00716172" w:rsidRPr="00A776E0" w:rsidRDefault="008D0380" w:rsidP="00A602D2">
            <w:pPr>
              <w:rPr>
                <w:sz w:val="20"/>
                <w:szCs w:val="20"/>
              </w:rPr>
            </w:pPr>
            <w:r w:rsidRPr="008D0380">
              <w:rPr>
                <w:rFonts w:eastAsia="Times New Roman" w:cs="Segoe UI"/>
                <w:color w:val="0D0D0D"/>
                <w:sz w:val="20"/>
                <w:szCs w:val="20"/>
              </w:rPr>
              <w:t>Control Testing, Audit Readiness, Remediation Tracking, SOC 2, Internal/External Audit Support</w:t>
            </w:r>
          </w:p>
        </w:tc>
      </w:tr>
      <w:tr w:rsidR="00716172" w:rsidRPr="00A776E0" w14:paraId="7FD9E241" w14:textId="77777777" w:rsidTr="00A602D2">
        <w:tc>
          <w:tcPr>
            <w:tcW w:w="2596" w:type="dxa"/>
            <w:vAlign w:val="bottom"/>
          </w:tcPr>
          <w:p w14:paraId="78A0B02C" w14:textId="3F0FA2B9" w:rsidR="00716172" w:rsidRPr="002343A4" w:rsidRDefault="008D0380" w:rsidP="00A602D2">
            <w:pPr>
              <w:rPr>
                <w:b/>
                <w:bCs/>
                <w:sz w:val="20"/>
                <w:szCs w:val="20"/>
              </w:rPr>
            </w:pPr>
            <w:r w:rsidRPr="002343A4">
              <w:rPr>
                <w:b/>
                <w:bCs/>
                <w:sz w:val="20"/>
                <w:szCs w:val="20"/>
                <w:bdr w:val="single" w:sz="2" w:space="0" w:color="E3E3E3" w:frame="1"/>
              </w:rPr>
              <w:t>Tools &amp; Platforms</w:t>
            </w:r>
          </w:p>
        </w:tc>
        <w:tc>
          <w:tcPr>
            <w:tcW w:w="7754" w:type="dxa"/>
            <w:vAlign w:val="bottom"/>
          </w:tcPr>
          <w:p w14:paraId="47937AC6" w14:textId="454E21E5" w:rsidR="00716172" w:rsidRPr="00A776E0" w:rsidRDefault="008D0380" w:rsidP="00A602D2">
            <w:pPr>
              <w:rPr>
                <w:sz w:val="20"/>
                <w:szCs w:val="20"/>
              </w:rPr>
            </w:pPr>
            <w:r w:rsidRPr="008D0380">
              <w:rPr>
                <w:rFonts w:eastAsia="Times New Roman" w:cs="Segoe UI"/>
                <w:color w:val="0D0D0D"/>
                <w:sz w:val="20"/>
                <w:szCs w:val="20"/>
              </w:rPr>
              <w:t xml:space="preserve">RSA Archer, ServiceNow GRC, </w:t>
            </w:r>
            <w:proofErr w:type="spellStart"/>
            <w:r w:rsidRPr="008D0380">
              <w:rPr>
                <w:rFonts w:eastAsia="Times New Roman" w:cs="Segoe UI"/>
                <w:color w:val="0D0D0D"/>
                <w:sz w:val="20"/>
                <w:szCs w:val="20"/>
              </w:rPr>
              <w:t>LogicManager</w:t>
            </w:r>
            <w:proofErr w:type="spellEnd"/>
            <w:r w:rsidRPr="008D0380">
              <w:rPr>
                <w:rFonts w:eastAsia="Times New Roman" w:cs="Segoe UI"/>
                <w:color w:val="0D0D0D"/>
                <w:sz w:val="20"/>
                <w:szCs w:val="20"/>
              </w:rPr>
              <w:t xml:space="preserve">, </w:t>
            </w:r>
            <w:proofErr w:type="spellStart"/>
            <w:r w:rsidRPr="008D0380">
              <w:rPr>
                <w:rFonts w:eastAsia="Times New Roman" w:cs="Segoe UI"/>
                <w:color w:val="0D0D0D"/>
                <w:sz w:val="20"/>
                <w:szCs w:val="20"/>
              </w:rPr>
              <w:t>OneTrust</w:t>
            </w:r>
            <w:proofErr w:type="spellEnd"/>
            <w:r w:rsidRPr="008D0380">
              <w:rPr>
                <w:rFonts w:eastAsia="Times New Roman" w:cs="Segoe UI"/>
                <w:color w:val="0D0D0D"/>
                <w:sz w:val="20"/>
                <w:szCs w:val="20"/>
              </w:rPr>
              <w:t xml:space="preserve">, BitSight, </w:t>
            </w:r>
            <w:proofErr w:type="spellStart"/>
            <w:r w:rsidRPr="008D0380">
              <w:rPr>
                <w:rFonts w:eastAsia="Times New Roman" w:cs="Segoe UI"/>
                <w:color w:val="0D0D0D"/>
                <w:sz w:val="20"/>
                <w:szCs w:val="20"/>
              </w:rPr>
              <w:t>ProcessUnity</w:t>
            </w:r>
            <w:proofErr w:type="spellEnd"/>
            <w:r w:rsidRPr="008D0380">
              <w:rPr>
                <w:rFonts w:eastAsia="Times New Roman" w:cs="Segoe UI"/>
                <w:color w:val="0D0D0D"/>
                <w:sz w:val="20"/>
                <w:szCs w:val="20"/>
              </w:rPr>
              <w:t>, Prevalent, MetricStream</w:t>
            </w:r>
          </w:p>
        </w:tc>
      </w:tr>
      <w:tr w:rsidR="00716172" w:rsidRPr="00A776E0" w14:paraId="6720F693" w14:textId="77777777" w:rsidTr="00A602D2">
        <w:tc>
          <w:tcPr>
            <w:tcW w:w="2596" w:type="dxa"/>
            <w:vAlign w:val="bottom"/>
          </w:tcPr>
          <w:p w14:paraId="64C9E021" w14:textId="7930ECFF" w:rsidR="00716172" w:rsidRPr="002343A4" w:rsidRDefault="008D0380" w:rsidP="00A602D2">
            <w:pPr>
              <w:rPr>
                <w:b/>
                <w:bCs/>
                <w:sz w:val="20"/>
                <w:szCs w:val="20"/>
              </w:rPr>
            </w:pPr>
            <w:r w:rsidRPr="002343A4">
              <w:rPr>
                <w:b/>
                <w:bCs/>
                <w:sz w:val="20"/>
                <w:szCs w:val="20"/>
                <w:bdr w:val="single" w:sz="2" w:space="0" w:color="E3E3E3" w:frame="1"/>
              </w:rPr>
              <w:t>Risk Methodologies</w:t>
            </w:r>
          </w:p>
        </w:tc>
        <w:tc>
          <w:tcPr>
            <w:tcW w:w="7754" w:type="dxa"/>
            <w:vAlign w:val="bottom"/>
          </w:tcPr>
          <w:p w14:paraId="2FA85065" w14:textId="4B2D8CE1" w:rsidR="00716172" w:rsidRPr="00A776E0" w:rsidRDefault="008D0380" w:rsidP="00A602D2">
            <w:pPr>
              <w:rPr>
                <w:sz w:val="20"/>
                <w:szCs w:val="20"/>
              </w:rPr>
            </w:pPr>
            <w:r w:rsidRPr="008D0380">
              <w:rPr>
                <w:rFonts w:eastAsia="Times New Roman" w:cs="Segoe UI"/>
                <w:color w:val="0D0D0D"/>
                <w:sz w:val="20"/>
                <w:szCs w:val="20"/>
              </w:rPr>
              <w:t>Risk Register Management, Risk Quantification, Residual Risk Analysis, Risk Mitigation Planning</w:t>
            </w:r>
          </w:p>
        </w:tc>
      </w:tr>
      <w:tr w:rsidR="00716172" w:rsidRPr="00A776E0" w14:paraId="195CEED9" w14:textId="77777777" w:rsidTr="00A602D2">
        <w:tc>
          <w:tcPr>
            <w:tcW w:w="2596" w:type="dxa"/>
            <w:vAlign w:val="bottom"/>
          </w:tcPr>
          <w:p w14:paraId="76A054F8" w14:textId="059FF2F2" w:rsidR="00716172" w:rsidRPr="002343A4" w:rsidRDefault="008D0380" w:rsidP="00A602D2">
            <w:pPr>
              <w:rPr>
                <w:b/>
                <w:bCs/>
                <w:sz w:val="20"/>
                <w:szCs w:val="20"/>
              </w:rPr>
            </w:pPr>
            <w:r w:rsidRPr="002343A4">
              <w:rPr>
                <w:b/>
                <w:bCs/>
                <w:sz w:val="20"/>
                <w:szCs w:val="20"/>
                <w:bdr w:val="single" w:sz="2" w:space="0" w:color="E3E3E3" w:frame="1"/>
              </w:rPr>
              <w:t>Reporting &amp; Metrics</w:t>
            </w:r>
          </w:p>
        </w:tc>
        <w:tc>
          <w:tcPr>
            <w:tcW w:w="7754" w:type="dxa"/>
            <w:vAlign w:val="bottom"/>
          </w:tcPr>
          <w:p w14:paraId="7FE899B0" w14:textId="67E2E1D3" w:rsidR="00716172" w:rsidRPr="00A776E0" w:rsidRDefault="008D0380" w:rsidP="00A602D2">
            <w:pPr>
              <w:rPr>
                <w:sz w:val="20"/>
                <w:szCs w:val="20"/>
              </w:rPr>
            </w:pPr>
            <w:r w:rsidRPr="008D0380">
              <w:rPr>
                <w:rFonts w:eastAsia="Times New Roman" w:cs="Segoe UI"/>
                <w:color w:val="0D0D0D"/>
                <w:sz w:val="20"/>
                <w:szCs w:val="20"/>
              </w:rPr>
              <w:t>Risk Dashboards, KRIs/KPIs, Risk Heat Maps, Executive Risk Reporting, Power BI, Tableau</w:t>
            </w:r>
          </w:p>
        </w:tc>
      </w:tr>
      <w:tr w:rsidR="00716172" w:rsidRPr="00A776E0" w14:paraId="0A6A3E2A" w14:textId="77777777" w:rsidTr="00A602D2">
        <w:tc>
          <w:tcPr>
            <w:tcW w:w="2596" w:type="dxa"/>
            <w:vAlign w:val="bottom"/>
          </w:tcPr>
          <w:p w14:paraId="1D43C2B1" w14:textId="2600B683" w:rsidR="00716172" w:rsidRPr="002343A4" w:rsidRDefault="008D0380" w:rsidP="00A602D2">
            <w:pPr>
              <w:rPr>
                <w:b/>
                <w:bCs/>
                <w:sz w:val="20"/>
                <w:szCs w:val="20"/>
              </w:rPr>
            </w:pPr>
            <w:r w:rsidRPr="002343A4">
              <w:rPr>
                <w:b/>
                <w:bCs/>
                <w:sz w:val="20"/>
                <w:szCs w:val="20"/>
                <w:bdr w:val="single" w:sz="2" w:space="0" w:color="E3E3E3" w:frame="1"/>
              </w:rPr>
              <w:t>Project &amp; Process Management</w:t>
            </w:r>
          </w:p>
        </w:tc>
        <w:tc>
          <w:tcPr>
            <w:tcW w:w="7754" w:type="dxa"/>
            <w:vAlign w:val="bottom"/>
          </w:tcPr>
          <w:p w14:paraId="4B90BB32" w14:textId="71A846BD" w:rsidR="00716172" w:rsidRPr="00A776E0" w:rsidRDefault="008D0380" w:rsidP="00A602D2">
            <w:pPr>
              <w:rPr>
                <w:sz w:val="20"/>
                <w:szCs w:val="20"/>
              </w:rPr>
            </w:pPr>
            <w:r w:rsidRPr="008D0380">
              <w:rPr>
                <w:rFonts w:eastAsia="Times New Roman" w:cs="Segoe UI"/>
                <w:color w:val="0D0D0D"/>
                <w:sz w:val="20"/>
                <w:szCs w:val="20"/>
              </w:rPr>
              <w:t>Workflow Automation, RACI Models, Agile, Risk Lifecycle Management, Continuous Monitoring</w:t>
            </w:r>
          </w:p>
        </w:tc>
      </w:tr>
    </w:tbl>
    <w:p w14:paraId="3A6DE2EB" w14:textId="4C0D5D13" w:rsidR="008D0380" w:rsidRPr="00800B44" w:rsidRDefault="008D0380" w:rsidP="008D0380">
      <w:pPr>
        <w:spacing w:before="120"/>
        <w:ind w:left="120"/>
        <w:rPr>
          <w:b/>
          <w:spacing w:val="19"/>
          <w:w w:val="89"/>
          <w:sz w:val="20"/>
        </w:rPr>
      </w:pPr>
      <w:r>
        <w:rPr>
          <w:b/>
          <w:spacing w:val="19"/>
          <w:w w:val="89"/>
          <w:sz w:val="20"/>
        </w:rPr>
        <w:t>Certification</w:t>
      </w:r>
      <w:r w:rsidRPr="00800B44">
        <w:rPr>
          <w:b/>
          <w:spacing w:val="19"/>
          <w:w w:val="89"/>
          <w:sz w:val="20"/>
        </w:rPr>
        <w:t>:</w:t>
      </w:r>
    </w:p>
    <w:p w14:paraId="57474CC7" w14:textId="46B2B33D" w:rsidR="008D0380" w:rsidRPr="008D0380" w:rsidRDefault="008D0380" w:rsidP="008D0380">
      <w:pPr>
        <w:pStyle w:val="Heading1"/>
        <w:keepNext w:val="0"/>
        <w:keepLines w:val="0"/>
        <w:numPr>
          <w:ilvl w:val="0"/>
          <w:numId w:val="1"/>
        </w:numPr>
        <w:tabs>
          <w:tab w:val="left" w:pos="839"/>
          <w:tab w:val="left" w:pos="840"/>
        </w:tabs>
        <w:spacing w:before="0" w:after="0" w:line="245" w:lineRule="exact"/>
        <w:rPr>
          <w:rFonts w:ascii="Verdana" w:eastAsia="Tahoma" w:hAnsi="Verdana" w:cs="Tahoma"/>
          <w:b/>
          <w:bCs/>
          <w:color w:val="auto"/>
          <w:spacing w:val="-2"/>
          <w:sz w:val="20"/>
          <w:szCs w:val="20"/>
        </w:rPr>
      </w:pPr>
      <w:r w:rsidRPr="008D0380">
        <w:rPr>
          <w:rFonts w:ascii="Verdana" w:eastAsia="Tahoma" w:hAnsi="Verdana" w:cs="Tahoma"/>
          <w:b/>
          <w:bCs/>
          <w:color w:val="auto"/>
          <w:spacing w:val="-2"/>
          <w:sz w:val="20"/>
          <w:szCs w:val="20"/>
        </w:rPr>
        <w:t>CIS</w:t>
      </w:r>
      <w:r w:rsidR="00720459">
        <w:rPr>
          <w:rFonts w:ascii="Verdana" w:eastAsia="Tahoma" w:hAnsi="Verdana" w:cs="Tahoma"/>
          <w:b/>
          <w:bCs/>
          <w:color w:val="auto"/>
          <w:spacing w:val="-2"/>
          <w:sz w:val="20"/>
          <w:szCs w:val="20"/>
        </w:rPr>
        <w:t>M</w:t>
      </w:r>
      <w:r w:rsidRPr="008D0380">
        <w:rPr>
          <w:rFonts w:ascii="Verdana" w:eastAsia="Tahoma" w:hAnsi="Verdana" w:cs="Tahoma"/>
          <w:b/>
          <w:bCs/>
          <w:color w:val="auto"/>
          <w:spacing w:val="-2"/>
          <w:sz w:val="20"/>
          <w:szCs w:val="20"/>
        </w:rPr>
        <w:t xml:space="preserve"> </w:t>
      </w:r>
      <w:proofErr w:type="gramStart"/>
      <w:r w:rsidRPr="008D0380">
        <w:rPr>
          <w:rFonts w:ascii="Verdana" w:eastAsia="Tahoma" w:hAnsi="Verdana" w:cs="Tahoma"/>
          <w:b/>
          <w:bCs/>
          <w:color w:val="auto"/>
          <w:spacing w:val="-2"/>
          <w:sz w:val="20"/>
          <w:szCs w:val="20"/>
        </w:rPr>
        <w:t>( in</w:t>
      </w:r>
      <w:proofErr w:type="gramEnd"/>
      <w:r w:rsidRPr="008D0380">
        <w:rPr>
          <w:rFonts w:ascii="Verdana" w:eastAsia="Tahoma" w:hAnsi="Verdana" w:cs="Tahoma"/>
          <w:b/>
          <w:bCs/>
          <w:color w:val="auto"/>
          <w:spacing w:val="-2"/>
          <w:sz w:val="20"/>
          <w:szCs w:val="20"/>
        </w:rPr>
        <w:t xml:space="preserve"> process) </w:t>
      </w:r>
    </w:p>
    <w:p w14:paraId="655953F8" w14:textId="0F13B223" w:rsidR="008D0380" w:rsidRPr="008D0380" w:rsidRDefault="008D0380" w:rsidP="008D0380">
      <w:pPr>
        <w:pStyle w:val="Heading1"/>
        <w:keepNext w:val="0"/>
        <w:keepLines w:val="0"/>
        <w:numPr>
          <w:ilvl w:val="0"/>
          <w:numId w:val="1"/>
        </w:numPr>
        <w:tabs>
          <w:tab w:val="left" w:pos="839"/>
          <w:tab w:val="left" w:pos="840"/>
        </w:tabs>
        <w:spacing w:before="0" w:after="0" w:line="245" w:lineRule="exact"/>
        <w:rPr>
          <w:rFonts w:ascii="Verdana" w:eastAsia="Tahoma" w:hAnsi="Verdana" w:cs="Tahoma"/>
          <w:b/>
          <w:bCs/>
          <w:color w:val="auto"/>
          <w:spacing w:val="-2"/>
          <w:sz w:val="20"/>
          <w:szCs w:val="20"/>
        </w:rPr>
      </w:pPr>
      <w:r w:rsidRPr="008D0380">
        <w:rPr>
          <w:rFonts w:ascii="Verdana" w:eastAsia="Tahoma" w:hAnsi="Verdana" w:cs="Tahoma"/>
          <w:b/>
          <w:bCs/>
          <w:color w:val="auto"/>
          <w:spacing w:val="-2"/>
          <w:sz w:val="20"/>
          <w:szCs w:val="20"/>
        </w:rPr>
        <w:t xml:space="preserve">CompTIA Sec+ </w:t>
      </w:r>
    </w:p>
    <w:p w14:paraId="3C05D202" w14:textId="155512DE" w:rsidR="008D0380" w:rsidRPr="008D0380" w:rsidRDefault="008D0380" w:rsidP="008D0380">
      <w:pPr>
        <w:pStyle w:val="Heading1"/>
        <w:keepNext w:val="0"/>
        <w:keepLines w:val="0"/>
        <w:numPr>
          <w:ilvl w:val="0"/>
          <w:numId w:val="1"/>
        </w:numPr>
        <w:tabs>
          <w:tab w:val="left" w:pos="839"/>
          <w:tab w:val="left" w:pos="840"/>
        </w:tabs>
        <w:spacing w:before="0" w:after="0" w:line="245" w:lineRule="exact"/>
        <w:rPr>
          <w:rFonts w:ascii="Verdana" w:eastAsia="Tahoma" w:hAnsi="Verdana" w:cs="Tahoma"/>
          <w:b/>
          <w:bCs/>
          <w:color w:val="auto"/>
          <w:spacing w:val="-2"/>
          <w:sz w:val="20"/>
          <w:szCs w:val="20"/>
        </w:rPr>
      </w:pPr>
      <w:r w:rsidRPr="008D0380">
        <w:rPr>
          <w:rFonts w:ascii="Verdana" w:eastAsia="Tahoma" w:hAnsi="Verdana" w:cs="Tahoma"/>
          <w:b/>
          <w:bCs/>
          <w:color w:val="auto"/>
          <w:spacing w:val="-2"/>
          <w:sz w:val="20"/>
          <w:szCs w:val="20"/>
        </w:rPr>
        <w:t>AWS Certified Cloud Practitioner.</w:t>
      </w:r>
    </w:p>
    <w:p w14:paraId="10D79A91" w14:textId="202C7334" w:rsidR="00716172" w:rsidRPr="00800B44" w:rsidRDefault="008D0380" w:rsidP="00716172">
      <w:pPr>
        <w:spacing w:before="120"/>
        <w:ind w:left="120"/>
        <w:rPr>
          <w:b/>
          <w:spacing w:val="19"/>
          <w:w w:val="89"/>
          <w:sz w:val="20"/>
        </w:rPr>
      </w:pPr>
      <w:r>
        <w:rPr>
          <w:b/>
          <w:spacing w:val="19"/>
          <w:w w:val="89"/>
          <w:sz w:val="20"/>
        </w:rPr>
        <w:t>Training</w:t>
      </w:r>
      <w:r w:rsidR="00716172" w:rsidRPr="00800B44">
        <w:rPr>
          <w:b/>
          <w:spacing w:val="19"/>
          <w:w w:val="89"/>
          <w:sz w:val="20"/>
        </w:rPr>
        <w:t>:</w:t>
      </w:r>
    </w:p>
    <w:p w14:paraId="2D2F0106" w14:textId="77777777" w:rsidR="008D0380" w:rsidRPr="008D0380" w:rsidRDefault="008D0380" w:rsidP="008D0380">
      <w:pPr>
        <w:pStyle w:val="Heading1"/>
        <w:numPr>
          <w:ilvl w:val="0"/>
          <w:numId w:val="1"/>
        </w:numPr>
        <w:tabs>
          <w:tab w:val="left" w:pos="839"/>
          <w:tab w:val="left" w:pos="840"/>
        </w:tabs>
        <w:spacing w:before="0" w:line="245" w:lineRule="exact"/>
        <w:rPr>
          <w:rFonts w:ascii="Verdana" w:eastAsia="Tahoma" w:hAnsi="Verdana" w:cs="Tahoma"/>
          <w:b/>
          <w:bCs/>
          <w:color w:val="auto"/>
          <w:spacing w:val="-2"/>
          <w:sz w:val="20"/>
          <w:szCs w:val="20"/>
        </w:rPr>
      </w:pPr>
      <w:r w:rsidRPr="008D0380">
        <w:rPr>
          <w:rFonts w:ascii="Verdana" w:eastAsia="Tahoma" w:hAnsi="Verdana" w:cs="Tahoma"/>
          <w:b/>
          <w:bCs/>
          <w:color w:val="auto"/>
          <w:spacing w:val="-2"/>
          <w:sz w:val="20"/>
          <w:szCs w:val="20"/>
        </w:rPr>
        <w:t>Training: Information Security Third Party Risk Assessment-</w:t>
      </w:r>
      <w:proofErr w:type="gramStart"/>
      <w:r w:rsidRPr="008D0380">
        <w:rPr>
          <w:rFonts w:ascii="Verdana" w:eastAsia="Tahoma" w:hAnsi="Verdana" w:cs="Tahoma"/>
          <w:b/>
          <w:bCs/>
          <w:color w:val="auto"/>
          <w:spacing w:val="-2"/>
          <w:sz w:val="20"/>
          <w:szCs w:val="20"/>
        </w:rPr>
        <w:t>Management ,</w:t>
      </w:r>
      <w:proofErr w:type="gramEnd"/>
      <w:r w:rsidRPr="008D0380">
        <w:rPr>
          <w:rFonts w:ascii="Verdana" w:eastAsia="Tahoma" w:hAnsi="Verdana" w:cs="Tahoma"/>
          <w:b/>
          <w:bCs/>
          <w:color w:val="auto"/>
          <w:spacing w:val="-2"/>
          <w:sz w:val="20"/>
          <w:szCs w:val="20"/>
        </w:rPr>
        <w:t xml:space="preserve"> Information Security Compliance Management.</w:t>
      </w:r>
    </w:p>
    <w:p w14:paraId="3A51580F" w14:textId="7F4719F1" w:rsidR="00716172" w:rsidRPr="00800B44" w:rsidRDefault="008D0380" w:rsidP="008D0380">
      <w:pPr>
        <w:pStyle w:val="Heading1"/>
        <w:keepNext w:val="0"/>
        <w:keepLines w:val="0"/>
        <w:numPr>
          <w:ilvl w:val="0"/>
          <w:numId w:val="1"/>
        </w:numPr>
        <w:tabs>
          <w:tab w:val="left" w:pos="839"/>
          <w:tab w:val="left" w:pos="840"/>
        </w:tabs>
        <w:spacing w:before="0" w:after="0" w:line="245" w:lineRule="exact"/>
        <w:rPr>
          <w:rFonts w:ascii="Verdana" w:eastAsia="Tahoma" w:hAnsi="Verdana" w:cs="Tahoma"/>
          <w:b/>
          <w:bCs/>
          <w:color w:val="auto"/>
          <w:spacing w:val="-2"/>
          <w:sz w:val="20"/>
          <w:szCs w:val="20"/>
        </w:rPr>
      </w:pPr>
      <w:r w:rsidRPr="008D0380">
        <w:rPr>
          <w:rFonts w:ascii="Verdana" w:eastAsia="Tahoma" w:hAnsi="Verdana" w:cs="Tahoma"/>
          <w:b/>
          <w:bCs/>
          <w:color w:val="auto"/>
          <w:spacing w:val="-2"/>
          <w:sz w:val="20"/>
          <w:szCs w:val="20"/>
        </w:rPr>
        <w:t xml:space="preserve">Training:  Multi Platforms Systems </w:t>
      </w:r>
      <w:proofErr w:type="gramStart"/>
      <w:r w:rsidRPr="008D0380">
        <w:rPr>
          <w:rFonts w:ascii="Verdana" w:eastAsia="Tahoma" w:hAnsi="Verdana" w:cs="Tahoma"/>
          <w:b/>
          <w:bCs/>
          <w:color w:val="auto"/>
          <w:spacing w:val="-2"/>
          <w:sz w:val="20"/>
          <w:szCs w:val="20"/>
        </w:rPr>
        <w:t>( Windows</w:t>
      </w:r>
      <w:proofErr w:type="gramEnd"/>
      <w:r w:rsidRPr="008D0380">
        <w:rPr>
          <w:rFonts w:ascii="Verdana" w:eastAsia="Tahoma" w:hAnsi="Verdana" w:cs="Tahoma"/>
          <w:b/>
          <w:bCs/>
          <w:color w:val="auto"/>
          <w:spacing w:val="-2"/>
          <w:sz w:val="20"/>
          <w:szCs w:val="20"/>
        </w:rPr>
        <w:t>/Unix/Linux)</w:t>
      </w:r>
      <w:r w:rsidR="00716172" w:rsidRPr="00800B44">
        <w:rPr>
          <w:rFonts w:ascii="Verdana" w:eastAsia="Tahoma" w:hAnsi="Verdana" w:cs="Tahoma"/>
          <w:b/>
          <w:bCs/>
          <w:color w:val="auto"/>
          <w:spacing w:val="-2"/>
          <w:sz w:val="20"/>
          <w:szCs w:val="20"/>
        </w:rPr>
        <w:tab/>
      </w:r>
    </w:p>
    <w:p w14:paraId="5DAC17CE" w14:textId="7B84C688" w:rsidR="00716172" w:rsidRPr="00A94690" w:rsidRDefault="00716172" w:rsidP="00716172">
      <w:pPr>
        <w:rPr>
          <w:w w:val="90"/>
        </w:rPr>
      </w:pPr>
      <w:r>
        <w:rPr>
          <w:w w:val="90"/>
        </w:rPr>
        <w:tab/>
        <w:t xml:space="preserve">        </w:t>
      </w:r>
    </w:p>
    <w:p w14:paraId="2E1A2A4E" w14:textId="77777777" w:rsidR="00716172" w:rsidRPr="00800B44" w:rsidRDefault="00716172" w:rsidP="00716172">
      <w:pPr>
        <w:pStyle w:val="Heading1"/>
        <w:keepNext w:val="0"/>
        <w:keepLines w:val="0"/>
        <w:spacing w:before="120" w:after="0"/>
        <w:ind w:left="120"/>
        <w:rPr>
          <w:rFonts w:ascii="Verdana" w:eastAsia="Tahoma" w:hAnsi="Verdana" w:cs="Tahoma"/>
          <w:b/>
          <w:bCs/>
          <w:color w:val="auto"/>
          <w:spacing w:val="17"/>
          <w:w w:val="95"/>
          <w:sz w:val="20"/>
          <w:szCs w:val="20"/>
        </w:rPr>
      </w:pPr>
      <w:r w:rsidRPr="00800B44">
        <w:rPr>
          <w:rFonts w:ascii="Verdana" w:eastAsia="Tahoma" w:hAnsi="Verdana" w:cs="Tahoma"/>
          <w:b/>
          <w:bCs/>
          <w:color w:val="auto"/>
          <w:spacing w:val="17"/>
          <w:w w:val="95"/>
          <w:sz w:val="20"/>
          <w:szCs w:val="20"/>
        </w:rPr>
        <w:t xml:space="preserve">EXPERIENCE: </w:t>
      </w:r>
    </w:p>
    <w:p w14:paraId="3CD5BE77" w14:textId="59F1C404" w:rsidR="00716172" w:rsidRPr="00800B44" w:rsidRDefault="008D0380" w:rsidP="00716172">
      <w:pPr>
        <w:spacing w:before="128"/>
        <w:ind w:left="120"/>
        <w:rPr>
          <w:b/>
          <w:spacing w:val="16"/>
          <w:w w:val="95"/>
          <w:sz w:val="20"/>
        </w:rPr>
      </w:pPr>
      <w:r>
        <w:rPr>
          <w:b/>
          <w:spacing w:val="16"/>
          <w:w w:val="95"/>
          <w:sz w:val="20"/>
        </w:rPr>
        <w:t>Citi</w:t>
      </w:r>
    </w:p>
    <w:p w14:paraId="6EF8A3AF" w14:textId="693E8DD7" w:rsidR="00716172" w:rsidRPr="00800B44" w:rsidRDefault="00716172" w:rsidP="00716172">
      <w:pPr>
        <w:pStyle w:val="Heading1"/>
        <w:keepNext w:val="0"/>
        <w:keepLines w:val="0"/>
        <w:tabs>
          <w:tab w:val="left" w:pos="9133"/>
        </w:tabs>
        <w:spacing w:before="4" w:after="0"/>
        <w:ind w:left="120"/>
        <w:rPr>
          <w:rFonts w:ascii="Verdana" w:eastAsia="Tahoma" w:hAnsi="Verdana" w:cs="Tahoma"/>
          <w:b/>
          <w:bCs/>
          <w:color w:val="auto"/>
          <w:spacing w:val="15"/>
          <w:w w:val="95"/>
          <w:sz w:val="20"/>
          <w:szCs w:val="20"/>
        </w:rPr>
      </w:pPr>
      <w:r w:rsidRPr="00800B44">
        <w:rPr>
          <w:rFonts w:ascii="Verdana" w:eastAsia="Tahoma" w:hAnsi="Verdana" w:cs="Tahoma"/>
          <w:b/>
          <w:bCs/>
          <w:color w:val="auto"/>
          <w:spacing w:val="15"/>
          <w:w w:val="95"/>
          <w:sz w:val="20"/>
          <w:szCs w:val="20"/>
        </w:rPr>
        <w:t xml:space="preserve">ROLE: </w:t>
      </w:r>
      <w:r w:rsidR="008D0380" w:rsidRPr="008D0380">
        <w:rPr>
          <w:rFonts w:ascii="Verdana" w:eastAsia="Tahoma" w:hAnsi="Verdana" w:cs="Tahoma"/>
          <w:b/>
          <w:bCs/>
          <w:color w:val="auto"/>
          <w:spacing w:val="15"/>
          <w:w w:val="95"/>
          <w:sz w:val="20"/>
          <w:szCs w:val="20"/>
        </w:rPr>
        <w:t>Third Party Risk Analyst</w:t>
      </w:r>
      <w:r w:rsidR="008D0380">
        <w:rPr>
          <w:rFonts w:ascii="Verdana" w:eastAsia="Tahoma" w:hAnsi="Verdana" w:cs="Tahoma"/>
          <w:b/>
          <w:bCs/>
          <w:color w:val="auto"/>
          <w:spacing w:val="15"/>
          <w:w w:val="95"/>
          <w:sz w:val="20"/>
          <w:szCs w:val="20"/>
        </w:rPr>
        <w:t>/</w:t>
      </w:r>
      <w:r w:rsidR="008D0380" w:rsidRPr="008D0380">
        <w:rPr>
          <w:rFonts w:ascii="Verdana" w:eastAsia="Tahoma" w:hAnsi="Verdana" w:cs="Tahoma"/>
          <w:b/>
          <w:bCs/>
          <w:color w:val="auto"/>
          <w:spacing w:val="15"/>
          <w:w w:val="95"/>
          <w:sz w:val="20"/>
          <w:szCs w:val="20"/>
        </w:rPr>
        <w:t>Compliance Specialist</w:t>
      </w:r>
      <w:r w:rsidRPr="00800B44">
        <w:rPr>
          <w:rFonts w:ascii="Verdana" w:eastAsia="Tahoma" w:hAnsi="Verdana" w:cs="Tahoma"/>
          <w:b/>
          <w:bCs/>
          <w:color w:val="auto"/>
          <w:spacing w:val="15"/>
          <w:w w:val="95"/>
          <w:sz w:val="20"/>
          <w:szCs w:val="20"/>
        </w:rPr>
        <w:t xml:space="preserve">                    </w:t>
      </w:r>
      <w:r w:rsidR="008D0380">
        <w:rPr>
          <w:rFonts w:ascii="Verdana" w:eastAsia="Tahoma" w:hAnsi="Verdana" w:cs="Tahoma"/>
          <w:b/>
          <w:bCs/>
          <w:color w:val="auto"/>
          <w:spacing w:val="15"/>
          <w:w w:val="95"/>
          <w:sz w:val="20"/>
          <w:szCs w:val="20"/>
        </w:rPr>
        <w:t xml:space="preserve">   </w:t>
      </w:r>
      <w:r w:rsidRPr="00800B44">
        <w:rPr>
          <w:rFonts w:ascii="Verdana" w:eastAsia="Tahoma" w:hAnsi="Verdana" w:cs="Tahoma"/>
          <w:b/>
          <w:bCs/>
          <w:color w:val="auto"/>
          <w:spacing w:val="15"/>
          <w:w w:val="95"/>
          <w:sz w:val="20"/>
          <w:szCs w:val="20"/>
        </w:rPr>
        <w:t xml:space="preserve">  </w:t>
      </w:r>
      <w:r w:rsidR="008D0380">
        <w:rPr>
          <w:rFonts w:ascii="Verdana" w:eastAsia="Tahoma" w:hAnsi="Verdana" w:cs="Tahoma"/>
          <w:b/>
          <w:bCs/>
          <w:color w:val="auto"/>
          <w:spacing w:val="15"/>
          <w:w w:val="95"/>
          <w:sz w:val="20"/>
          <w:szCs w:val="20"/>
        </w:rPr>
        <w:t>Jul</w:t>
      </w:r>
      <w:r w:rsidRPr="00800B44">
        <w:rPr>
          <w:rFonts w:ascii="Verdana" w:eastAsia="Tahoma" w:hAnsi="Verdana" w:cs="Tahoma"/>
          <w:b/>
          <w:bCs/>
          <w:color w:val="auto"/>
          <w:spacing w:val="15"/>
          <w:w w:val="95"/>
          <w:sz w:val="20"/>
          <w:szCs w:val="20"/>
        </w:rPr>
        <w:t xml:space="preserve"> 202</w:t>
      </w:r>
      <w:r w:rsidR="008D0380">
        <w:rPr>
          <w:rFonts w:ascii="Verdana" w:eastAsia="Tahoma" w:hAnsi="Verdana" w:cs="Tahoma"/>
          <w:b/>
          <w:bCs/>
          <w:color w:val="auto"/>
          <w:spacing w:val="15"/>
          <w:w w:val="95"/>
          <w:sz w:val="20"/>
          <w:szCs w:val="20"/>
        </w:rPr>
        <w:t>2</w:t>
      </w:r>
      <w:r w:rsidRPr="00800B44">
        <w:rPr>
          <w:rFonts w:ascii="Verdana" w:eastAsia="Tahoma" w:hAnsi="Verdana" w:cs="Tahoma"/>
          <w:b/>
          <w:bCs/>
          <w:color w:val="auto"/>
          <w:spacing w:val="15"/>
          <w:w w:val="95"/>
          <w:sz w:val="20"/>
          <w:szCs w:val="20"/>
        </w:rPr>
        <w:t xml:space="preserve"> – PRESENT</w:t>
      </w:r>
    </w:p>
    <w:p w14:paraId="7F32F2A8" w14:textId="2A474B2C" w:rsidR="002343A4" w:rsidRPr="002343A4" w:rsidRDefault="002343A4" w:rsidP="002343A4">
      <w:pPr>
        <w:pStyle w:val="ListParagraph"/>
        <w:numPr>
          <w:ilvl w:val="0"/>
          <w:numId w:val="2"/>
        </w:numPr>
        <w:rPr>
          <w:w w:val="95"/>
          <w:sz w:val="20"/>
          <w:szCs w:val="20"/>
        </w:rPr>
      </w:pPr>
      <w:r w:rsidRPr="002343A4">
        <w:rPr>
          <w:w w:val="95"/>
          <w:sz w:val="20"/>
          <w:szCs w:val="20"/>
        </w:rPr>
        <w:t>Conducted due diligence and risk assessments for over 150+ third-party vendors annually, ensuring compliance with internal policies and regulatory frameworks (e.g., OCC, FFIEC, GDPR, SOX).</w:t>
      </w:r>
    </w:p>
    <w:p w14:paraId="2AD67B5C" w14:textId="37C5D3EE" w:rsidR="002343A4" w:rsidRPr="002343A4" w:rsidRDefault="002343A4" w:rsidP="002343A4">
      <w:pPr>
        <w:pStyle w:val="ListParagraph"/>
        <w:numPr>
          <w:ilvl w:val="0"/>
          <w:numId w:val="2"/>
        </w:numPr>
        <w:rPr>
          <w:w w:val="95"/>
          <w:sz w:val="20"/>
          <w:szCs w:val="20"/>
        </w:rPr>
      </w:pPr>
      <w:r w:rsidRPr="002343A4">
        <w:rPr>
          <w:w w:val="95"/>
          <w:sz w:val="20"/>
          <w:szCs w:val="20"/>
        </w:rPr>
        <w:t>Developed and maintained Third-Party Risk Management (TPRM) documentation including risk assessments, issue logs, and control remediation plans.</w:t>
      </w:r>
    </w:p>
    <w:p w14:paraId="23323F4E" w14:textId="5C96FDD9" w:rsidR="002343A4" w:rsidRPr="002343A4" w:rsidRDefault="002343A4" w:rsidP="002343A4">
      <w:pPr>
        <w:pStyle w:val="ListParagraph"/>
        <w:numPr>
          <w:ilvl w:val="0"/>
          <w:numId w:val="2"/>
        </w:numPr>
        <w:rPr>
          <w:w w:val="95"/>
          <w:sz w:val="20"/>
          <w:szCs w:val="20"/>
        </w:rPr>
      </w:pPr>
      <w:r w:rsidRPr="002343A4">
        <w:rPr>
          <w:w w:val="95"/>
          <w:sz w:val="20"/>
          <w:szCs w:val="20"/>
        </w:rPr>
        <w:lastRenderedPageBreak/>
        <w:t>Collaborated with procurement, legal, and business stakeholders to review and validate contractual risk clauses for more than 50 high-risk vendors quarterly.</w:t>
      </w:r>
    </w:p>
    <w:p w14:paraId="51007096" w14:textId="53D4BBD3" w:rsidR="002343A4" w:rsidRPr="002343A4" w:rsidRDefault="002343A4" w:rsidP="002343A4">
      <w:pPr>
        <w:pStyle w:val="ListParagraph"/>
        <w:numPr>
          <w:ilvl w:val="0"/>
          <w:numId w:val="2"/>
        </w:numPr>
        <w:rPr>
          <w:w w:val="95"/>
          <w:sz w:val="20"/>
          <w:szCs w:val="20"/>
        </w:rPr>
      </w:pPr>
      <w:r w:rsidRPr="002343A4">
        <w:rPr>
          <w:w w:val="95"/>
          <w:sz w:val="20"/>
          <w:szCs w:val="20"/>
        </w:rPr>
        <w:t>Monitored ongoing vendor performance and risk posture using tools like Archer, RSA, and ServiceNow, leading to a 20% improvement in early risk detection.</w:t>
      </w:r>
    </w:p>
    <w:p w14:paraId="2F9A77A2" w14:textId="385F9D0E" w:rsidR="002343A4" w:rsidRPr="002343A4" w:rsidRDefault="002343A4" w:rsidP="002343A4">
      <w:pPr>
        <w:pStyle w:val="ListParagraph"/>
        <w:numPr>
          <w:ilvl w:val="0"/>
          <w:numId w:val="2"/>
        </w:numPr>
        <w:rPr>
          <w:w w:val="95"/>
          <w:sz w:val="20"/>
          <w:szCs w:val="20"/>
        </w:rPr>
      </w:pPr>
      <w:r w:rsidRPr="002343A4">
        <w:rPr>
          <w:w w:val="95"/>
          <w:sz w:val="20"/>
          <w:szCs w:val="20"/>
        </w:rPr>
        <w:t>Supported internal and external audits by gathering evidence and responding to inquiries, resulting in 100% audit readiness and zero non-compliance findings.</w:t>
      </w:r>
    </w:p>
    <w:p w14:paraId="2AA3A836" w14:textId="34970F84" w:rsidR="002343A4" w:rsidRPr="002343A4" w:rsidRDefault="002343A4" w:rsidP="002343A4">
      <w:pPr>
        <w:pStyle w:val="ListParagraph"/>
        <w:numPr>
          <w:ilvl w:val="0"/>
          <w:numId w:val="2"/>
        </w:numPr>
        <w:rPr>
          <w:w w:val="95"/>
          <w:sz w:val="20"/>
          <w:szCs w:val="20"/>
        </w:rPr>
      </w:pPr>
      <w:r w:rsidRPr="002343A4">
        <w:rPr>
          <w:w w:val="95"/>
          <w:sz w:val="20"/>
          <w:szCs w:val="20"/>
        </w:rPr>
        <w:t>Created risk scoring models to evaluate vendor risk, reducing manual processing time by 30% and increasing accuracy in classification.</w:t>
      </w:r>
    </w:p>
    <w:p w14:paraId="30B3C9F3" w14:textId="6BFB1A7D" w:rsidR="002343A4" w:rsidRPr="002343A4" w:rsidRDefault="002343A4" w:rsidP="002343A4">
      <w:pPr>
        <w:pStyle w:val="ListParagraph"/>
        <w:numPr>
          <w:ilvl w:val="0"/>
          <w:numId w:val="2"/>
        </w:numPr>
        <w:rPr>
          <w:w w:val="95"/>
          <w:sz w:val="20"/>
          <w:szCs w:val="20"/>
        </w:rPr>
      </w:pPr>
      <w:r w:rsidRPr="002343A4">
        <w:rPr>
          <w:w w:val="95"/>
          <w:sz w:val="20"/>
          <w:szCs w:val="20"/>
        </w:rPr>
        <w:t>Reviewed and tracked SOC 1, SOC 2, ISO 27001, and SIG Lite reports to assess vendor control environments and compliance standards.</w:t>
      </w:r>
    </w:p>
    <w:p w14:paraId="3727A8EA" w14:textId="784E9B00" w:rsidR="002343A4" w:rsidRPr="002343A4" w:rsidRDefault="002343A4" w:rsidP="002343A4">
      <w:pPr>
        <w:pStyle w:val="ListParagraph"/>
        <w:numPr>
          <w:ilvl w:val="0"/>
          <w:numId w:val="2"/>
        </w:numPr>
        <w:rPr>
          <w:w w:val="95"/>
          <w:sz w:val="20"/>
          <w:szCs w:val="20"/>
        </w:rPr>
      </w:pPr>
      <w:r w:rsidRPr="002343A4">
        <w:rPr>
          <w:w w:val="95"/>
          <w:sz w:val="20"/>
          <w:szCs w:val="20"/>
        </w:rPr>
        <w:t>Conducted quarterly risk re-assessments for critical vendors, ensuring risk profiles were updated and aligned with regulatory expectations.</w:t>
      </w:r>
    </w:p>
    <w:p w14:paraId="03659890" w14:textId="269B8FDC" w:rsidR="002343A4" w:rsidRPr="002343A4" w:rsidRDefault="002343A4" w:rsidP="002343A4">
      <w:pPr>
        <w:pStyle w:val="ListParagraph"/>
        <w:numPr>
          <w:ilvl w:val="0"/>
          <w:numId w:val="2"/>
        </w:numPr>
        <w:rPr>
          <w:w w:val="95"/>
          <w:sz w:val="20"/>
          <w:szCs w:val="20"/>
        </w:rPr>
      </w:pPr>
      <w:r w:rsidRPr="002343A4">
        <w:rPr>
          <w:w w:val="95"/>
          <w:sz w:val="20"/>
          <w:szCs w:val="20"/>
        </w:rPr>
        <w:t>Facilitated vendor onboarding/offboarding processes, ensuring compliance checkpoints were completed within SLA timelines (95% compliance rate).</w:t>
      </w:r>
    </w:p>
    <w:p w14:paraId="20F73C20" w14:textId="443C9A0E" w:rsidR="002343A4" w:rsidRPr="002343A4" w:rsidRDefault="002343A4" w:rsidP="002343A4">
      <w:pPr>
        <w:pStyle w:val="ListParagraph"/>
        <w:numPr>
          <w:ilvl w:val="0"/>
          <w:numId w:val="2"/>
        </w:numPr>
        <w:rPr>
          <w:w w:val="95"/>
          <w:sz w:val="20"/>
          <w:szCs w:val="20"/>
        </w:rPr>
      </w:pPr>
      <w:r w:rsidRPr="002343A4">
        <w:rPr>
          <w:w w:val="95"/>
          <w:sz w:val="20"/>
          <w:szCs w:val="20"/>
        </w:rPr>
        <w:t>Initiated remediation plans and tracked closure of high-risk issues, achieving a 98% issue remediation rate within required timelines.</w:t>
      </w:r>
    </w:p>
    <w:p w14:paraId="3AC6470B" w14:textId="6BE6D3A0" w:rsidR="002343A4" w:rsidRPr="002343A4" w:rsidRDefault="002343A4" w:rsidP="002343A4">
      <w:pPr>
        <w:pStyle w:val="ListParagraph"/>
        <w:numPr>
          <w:ilvl w:val="0"/>
          <w:numId w:val="2"/>
        </w:numPr>
        <w:rPr>
          <w:w w:val="95"/>
          <w:sz w:val="20"/>
          <w:szCs w:val="20"/>
        </w:rPr>
      </w:pPr>
      <w:r w:rsidRPr="002343A4">
        <w:rPr>
          <w:w w:val="95"/>
          <w:sz w:val="20"/>
          <w:szCs w:val="20"/>
        </w:rPr>
        <w:t>Prepared detailed risk dashboards and reports for senior management, improving risk visibility and decision-making across business units.</w:t>
      </w:r>
    </w:p>
    <w:p w14:paraId="16BD0CEB" w14:textId="1ACE5790" w:rsidR="002343A4" w:rsidRPr="002343A4" w:rsidRDefault="002343A4" w:rsidP="002343A4">
      <w:pPr>
        <w:pStyle w:val="ListParagraph"/>
        <w:numPr>
          <w:ilvl w:val="0"/>
          <w:numId w:val="2"/>
        </w:numPr>
        <w:rPr>
          <w:w w:val="95"/>
          <w:sz w:val="20"/>
          <w:szCs w:val="20"/>
        </w:rPr>
      </w:pPr>
      <w:r w:rsidRPr="002343A4">
        <w:rPr>
          <w:w w:val="95"/>
          <w:sz w:val="20"/>
          <w:szCs w:val="20"/>
        </w:rPr>
        <w:t>Implemented automated workflows for third-party reviews using GRC tools, resulting in a 25% efficiency gain.</w:t>
      </w:r>
    </w:p>
    <w:p w14:paraId="79DDB604" w14:textId="17CF9589" w:rsidR="002343A4" w:rsidRPr="002343A4" w:rsidRDefault="002343A4" w:rsidP="002343A4">
      <w:pPr>
        <w:pStyle w:val="ListParagraph"/>
        <w:numPr>
          <w:ilvl w:val="0"/>
          <w:numId w:val="2"/>
        </w:numPr>
        <w:rPr>
          <w:w w:val="95"/>
          <w:sz w:val="20"/>
          <w:szCs w:val="20"/>
        </w:rPr>
      </w:pPr>
      <w:r w:rsidRPr="002343A4">
        <w:rPr>
          <w:w w:val="95"/>
          <w:sz w:val="20"/>
          <w:szCs w:val="20"/>
        </w:rPr>
        <w:t>Assisted with regulatory compliance initiatives, such as KYC/AML and OFAC screening, ensuring all third-party vendors met global compliance mandates.</w:t>
      </w:r>
    </w:p>
    <w:p w14:paraId="1C04FC5E" w14:textId="1E7C778C" w:rsidR="002343A4" w:rsidRPr="002343A4" w:rsidRDefault="002343A4" w:rsidP="002343A4">
      <w:pPr>
        <w:pStyle w:val="ListParagraph"/>
        <w:numPr>
          <w:ilvl w:val="0"/>
          <w:numId w:val="2"/>
        </w:numPr>
        <w:rPr>
          <w:w w:val="95"/>
          <w:sz w:val="20"/>
          <w:szCs w:val="20"/>
        </w:rPr>
      </w:pPr>
      <w:r w:rsidRPr="002343A4">
        <w:rPr>
          <w:w w:val="95"/>
          <w:sz w:val="20"/>
          <w:szCs w:val="20"/>
        </w:rPr>
        <w:t>Participated in enterprise-wide risk and control self-assessment (RCSA) activities, contributing to the enhancement of risk management frameworks.</w:t>
      </w:r>
    </w:p>
    <w:p w14:paraId="1D363E7C" w14:textId="065261D7" w:rsidR="002343A4" w:rsidRPr="00CB4316" w:rsidRDefault="002343A4" w:rsidP="002343A4">
      <w:pPr>
        <w:pStyle w:val="ListParagraph"/>
        <w:numPr>
          <w:ilvl w:val="0"/>
          <w:numId w:val="2"/>
        </w:numPr>
        <w:rPr>
          <w:w w:val="95"/>
          <w:sz w:val="20"/>
          <w:szCs w:val="20"/>
        </w:rPr>
      </w:pPr>
      <w:r w:rsidRPr="002343A4">
        <w:rPr>
          <w:w w:val="95"/>
          <w:sz w:val="20"/>
          <w:szCs w:val="20"/>
        </w:rPr>
        <w:t>Trained and mentored junior analysts and business teams on vendor risk best practices, contributing to a 40% reduction in repeat compliance errors.</w:t>
      </w:r>
    </w:p>
    <w:p w14:paraId="577858BF" w14:textId="45C7D498" w:rsidR="00716172" w:rsidRPr="00B8203D" w:rsidRDefault="008D0380" w:rsidP="00716172">
      <w:pPr>
        <w:spacing w:before="128"/>
        <w:ind w:left="120"/>
        <w:rPr>
          <w:b/>
          <w:spacing w:val="16"/>
          <w:w w:val="95"/>
          <w:sz w:val="20"/>
        </w:rPr>
      </w:pPr>
      <w:r>
        <w:rPr>
          <w:b/>
          <w:spacing w:val="16"/>
          <w:w w:val="95"/>
          <w:sz w:val="20"/>
        </w:rPr>
        <w:t>Dell Technologies</w:t>
      </w:r>
    </w:p>
    <w:p w14:paraId="3EF183BC" w14:textId="3C285869" w:rsidR="00716172" w:rsidRPr="00A776E0" w:rsidRDefault="00716172" w:rsidP="00716172">
      <w:pPr>
        <w:tabs>
          <w:tab w:val="left" w:pos="9580"/>
        </w:tabs>
        <w:spacing w:before="3"/>
        <w:ind w:left="120"/>
        <w:rPr>
          <w:b/>
          <w:sz w:val="20"/>
        </w:rPr>
      </w:pPr>
      <w:r w:rsidRPr="00A776E0">
        <w:rPr>
          <w:b/>
          <w:spacing w:val="15"/>
          <w:w w:val="90"/>
          <w:sz w:val="20"/>
        </w:rPr>
        <w:t>ROLE:</w:t>
      </w:r>
      <w:r w:rsidRPr="00A776E0">
        <w:rPr>
          <w:b/>
          <w:spacing w:val="44"/>
          <w:w w:val="90"/>
          <w:sz w:val="20"/>
        </w:rPr>
        <w:t xml:space="preserve"> </w:t>
      </w:r>
      <w:r w:rsidR="008D0380" w:rsidRPr="008D0380">
        <w:rPr>
          <w:b/>
          <w:spacing w:val="15"/>
          <w:w w:val="90"/>
          <w:sz w:val="20"/>
        </w:rPr>
        <w:t>Third Party Risk Analyst/</w:t>
      </w:r>
      <w:r w:rsidR="008D0380">
        <w:rPr>
          <w:b/>
          <w:spacing w:val="15"/>
          <w:w w:val="90"/>
          <w:sz w:val="20"/>
        </w:rPr>
        <w:t>GRC</w:t>
      </w:r>
      <w:r w:rsidR="008D0380" w:rsidRPr="008D0380">
        <w:rPr>
          <w:b/>
          <w:spacing w:val="15"/>
          <w:w w:val="90"/>
          <w:sz w:val="20"/>
        </w:rPr>
        <w:t xml:space="preserve"> Specialist                    </w:t>
      </w:r>
      <w:r w:rsidR="008D0380">
        <w:rPr>
          <w:b/>
          <w:spacing w:val="15"/>
          <w:w w:val="90"/>
          <w:sz w:val="20"/>
        </w:rPr>
        <w:t xml:space="preserve">              </w:t>
      </w:r>
      <w:r w:rsidR="008D0380" w:rsidRPr="008D0380">
        <w:rPr>
          <w:b/>
          <w:spacing w:val="15"/>
          <w:w w:val="90"/>
          <w:sz w:val="20"/>
        </w:rPr>
        <w:t xml:space="preserve">    </w:t>
      </w:r>
      <w:r w:rsidR="008D0380">
        <w:rPr>
          <w:b/>
          <w:spacing w:val="15"/>
          <w:w w:val="90"/>
          <w:sz w:val="20"/>
        </w:rPr>
        <w:t xml:space="preserve"> </w:t>
      </w:r>
      <w:r w:rsidR="008D0380">
        <w:rPr>
          <w:b/>
          <w:spacing w:val="14"/>
          <w:w w:val="95"/>
          <w:sz w:val="20"/>
        </w:rPr>
        <w:t>Nov</w:t>
      </w:r>
      <w:r w:rsidRPr="00A776E0">
        <w:rPr>
          <w:b/>
          <w:spacing w:val="14"/>
          <w:w w:val="95"/>
          <w:sz w:val="20"/>
        </w:rPr>
        <w:t xml:space="preserve"> 201</w:t>
      </w:r>
      <w:r w:rsidR="008D0380">
        <w:rPr>
          <w:b/>
          <w:spacing w:val="14"/>
          <w:w w:val="95"/>
          <w:sz w:val="20"/>
        </w:rPr>
        <w:t>8</w:t>
      </w:r>
      <w:r w:rsidRPr="00A776E0">
        <w:rPr>
          <w:b/>
          <w:spacing w:val="14"/>
          <w:w w:val="95"/>
          <w:sz w:val="20"/>
        </w:rPr>
        <w:t xml:space="preserve"> – </w:t>
      </w:r>
      <w:r w:rsidR="008D0380">
        <w:rPr>
          <w:b/>
          <w:spacing w:val="14"/>
          <w:w w:val="95"/>
          <w:sz w:val="20"/>
        </w:rPr>
        <w:t>Jun</w:t>
      </w:r>
      <w:r w:rsidRPr="00A776E0">
        <w:rPr>
          <w:b/>
          <w:spacing w:val="14"/>
          <w:w w:val="95"/>
          <w:sz w:val="20"/>
        </w:rPr>
        <w:t xml:space="preserve"> 202</w:t>
      </w:r>
      <w:r w:rsidR="008D0380">
        <w:rPr>
          <w:b/>
          <w:spacing w:val="14"/>
          <w:w w:val="95"/>
          <w:sz w:val="20"/>
        </w:rPr>
        <w:t>2</w:t>
      </w:r>
    </w:p>
    <w:p w14:paraId="1FDB2AB6" w14:textId="77777777" w:rsidR="002343A4" w:rsidRPr="002343A4" w:rsidRDefault="002343A4" w:rsidP="002343A4">
      <w:pPr>
        <w:pStyle w:val="ListParagraph"/>
        <w:numPr>
          <w:ilvl w:val="0"/>
          <w:numId w:val="2"/>
        </w:numPr>
        <w:rPr>
          <w:w w:val="95"/>
          <w:sz w:val="20"/>
          <w:szCs w:val="20"/>
        </w:rPr>
      </w:pPr>
      <w:r w:rsidRPr="002343A4">
        <w:rPr>
          <w:w w:val="95"/>
          <w:sz w:val="20"/>
          <w:szCs w:val="20"/>
        </w:rPr>
        <w:t>Assessed, monitored, and mitigated third-party risk for over 150+ vendors annually, ensuring compliance with enterprise risk policies and industry regulations (e.g., NIST, ISO 27001, SOC 2).</w:t>
      </w:r>
    </w:p>
    <w:p w14:paraId="36024808" w14:textId="77777777" w:rsidR="002343A4" w:rsidRPr="002343A4" w:rsidRDefault="002343A4" w:rsidP="002343A4">
      <w:pPr>
        <w:pStyle w:val="ListParagraph"/>
        <w:numPr>
          <w:ilvl w:val="0"/>
          <w:numId w:val="2"/>
        </w:numPr>
        <w:rPr>
          <w:w w:val="95"/>
          <w:sz w:val="20"/>
          <w:szCs w:val="20"/>
        </w:rPr>
      </w:pPr>
      <w:r w:rsidRPr="002343A4">
        <w:rPr>
          <w:w w:val="95"/>
          <w:sz w:val="20"/>
          <w:szCs w:val="20"/>
        </w:rPr>
        <w:t>Executed and managed end-to-end third-party risk assessments, reducing risk exposure by 35% over 2 years.</w:t>
      </w:r>
    </w:p>
    <w:p w14:paraId="1092326D" w14:textId="77777777" w:rsidR="002343A4" w:rsidRPr="002343A4" w:rsidRDefault="002343A4" w:rsidP="002343A4">
      <w:pPr>
        <w:pStyle w:val="ListParagraph"/>
        <w:numPr>
          <w:ilvl w:val="0"/>
          <w:numId w:val="2"/>
        </w:numPr>
        <w:rPr>
          <w:w w:val="95"/>
          <w:sz w:val="20"/>
          <w:szCs w:val="20"/>
        </w:rPr>
      </w:pPr>
      <w:r w:rsidRPr="002343A4">
        <w:rPr>
          <w:w w:val="95"/>
          <w:sz w:val="20"/>
          <w:szCs w:val="20"/>
        </w:rPr>
        <w:t>Collaborated with procurement and legal teams to review vendor contracts, embedding risk clauses and data protection agreements.</w:t>
      </w:r>
    </w:p>
    <w:p w14:paraId="53A53911" w14:textId="77777777" w:rsidR="002343A4" w:rsidRPr="002343A4" w:rsidRDefault="002343A4" w:rsidP="002343A4">
      <w:pPr>
        <w:pStyle w:val="ListParagraph"/>
        <w:numPr>
          <w:ilvl w:val="0"/>
          <w:numId w:val="2"/>
        </w:numPr>
        <w:rPr>
          <w:w w:val="95"/>
          <w:sz w:val="20"/>
          <w:szCs w:val="20"/>
        </w:rPr>
      </w:pPr>
      <w:r w:rsidRPr="002343A4">
        <w:rPr>
          <w:w w:val="95"/>
          <w:sz w:val="20"/>
          <w:szCs w:val="20"/>
        </w:rPr>
        <w:t>Implemented and managed GRC tools such as RSA Archer and ServiceNow to streamline risk workflows, increasing assessment efficiency by 40%.</w:t>
      </w:r>
    </w:p>
    <w:p w14:paraId="048B273B" w14:textId="77777777" w:rsidR="002343A4" w:rsidRPr="002343A4" w:rsidRDefault="002343A4" w:rsidP="002343A4">
      <w:pPr>
        <w:pStyle w:val="ListParagraph"/>
        <w:numPr>
          <w:ilvl w:val="0"/>
          <w:numId w:val="2"/>
        </w:numPr>
        <w:rPr>
          <w:w w:val="95"/>
          <w:sz w:val="20"/>
          <w:szCs w:val="20"/>
        </w:rPr>
      </w:pPr>
      <w:r w:rsidRPr="002343A4">
        <w:rPr>
          <w:w w:val="95"/>
          <w:sz w:val="20"/>
          <w:szCs w:val="20"/>
        </w:rPr>
        <w:t>Conducted due diligence and risk profiling for vendors across 15+ countries, supporting global regulatory compliance.</w:t>
      </w:r>
    </w:p>
    <w:p w14:paraId="696CC50B" w14:textId="77777777" w:rsidR="002343A4" w:rsidRPr="002343A4" w:rsidRDefault="002343A4" w:rsidP="002343A4">
      <w:pPr>
        <w:pStyle w:val="ListParagraph"/>
        <w:numPr>
          <w:ilvl w:val="0"/>
          <w:numId w:val="2"/>
        </w:numPr>
        <w:rPr>
          <w:w w:val="95"/>
          <w:sz w:val="20"/>
          <w:szCs w:val="20"/>
        </w:rPr>
      </w:pPr>
      <w:r w:rsidRPr="002343A4">
        <w:rPr>
          <w:w w:val="95"/>
          <w:sz w:val="20"/>
          <w:szCs w:val="20"/>
        </w:rPr>
        <w:t>Led remediation efforts and follow-ups on risk findings, achieving a 90% remediation rate within SLA timelines.</w:t>
      </w:r>
    </w:p>
    <w:p w14:paraId="0CD02332" w14:textId="77777777" w:rsidR="002343A4" w:rsidRPr="002343A4" w:rsidRDefault="002343A4" w:rsidP="002343A4">
      <w:pPr>
        <w:pStyle w:val="ListParagraph"/>
        <w:numPr>
          <w:ilvl w:val="0"/>
          <w:numId w:val="2"/>
        </w:numPr>
        <w:rPr>
          <w:w w:val="95"/>
          <w:sz w:val="20"/>
          <w:szCs w:val="20"/>
        </w:rPr>
      </w:pPr>
      <w:r w:rsidRPr="002343A4">
        <w:rPr>
          <w:w w:val="95"/>
          <w:sz w:val="20"/>
          <w:szCs w:val="20"/>
        </w:rPr>
        <w:t>Worked closely with internal audit and compliance teams to align third-party risk practices with SOX, HIPAA, and GDPR requirements.</w:t>
      </w:r>
    </w:p>
    <w:p w14:paraId="27E2F3BB" w14:textId="77777777" w:rsidR="002343A4" w:rsidRPr="002343A4" w:rsidRDefault="002343A4" w:rsidP="002343A4">
      <w:pPr>
        <w:pStyle w:val="ListParagraph"/>
        <w:numPr>
          <w:ilvl w:val="0"/>
          <w:numId w:val="2"/>
        </w:numPr>
        <w:rPr>
          <w:w w:val="95"/>
          <w:sz w:val="20"/>
          <w:szCs w:val="20"/>
        </w:rPr>
      </w:pPr>
      <w:r w:rsidRPr="002343A4">
        <w:rPr>
          <w:w w:val="95"/>
          <w:sz w:val="20"/>
          <w:szCs w:val="20"/>
        </w:rPr>
        <w:t>Created and maintained risk scoring methodologies and KPIs for third-party engagements, supporting executive-level risk dashboards.</w:t>
      </w:r>
    </w:p>
    <w:p w14:paraId="48AD1A1C" w14:textId="77777777" w:rsidR="002343A4" w:rsidRPr="002343A4" w:rsidRDefault="002343A4" w:rsidP="002343A4">
      <w:pPr>
        <w:pStyle w:val="ListParagraph"/>
        <w:numPr>
          <w:ilvl w:val="0"/>
          <w:numId w:val="2"/>
        </w:numPr>
        <w:rPr>
          <w:w w:val="95"/>
          <w:sz w:val="20"/>
          <w:szCs w:val="20"/>
        </w:rPr>
      </w:pPr>
      <w:r w:rsidRPr="002343A4">
        <w:rPr>
          <w:w w:val="95"/>
          <w:sz w:val="20"/>
          <w:szCs w:val="20"/>
        </w:rPr>
        <w:t>Delivered monthly risk reports and heat maps to senior leadership, enhancing visibility into third-party risk exposure.</w:t>
      </w:r>
    </w:p>
    <w:p w14:paraId="33CF8175" w14:textId="77777777" w:rsidR="002343A4" w:rsidRPr="002343A4" w:rsidRDefault="002343A4" w:rsidP="002343A4">
      <w:pPr>
        <w:pStyle w:val="ListParagraph"/>
        <w:numPr>
          <w:ilvl w:val="0"/>
          <w:numId w:val="2"/>
        </w:numPr>
        <w:rPr>
          <w:w w:val="95"/>
          <w:sz w:val="20"/>
          <w:szCs w:val="20"/>
        </w:rPr>
      </w:pPr>
      <w:r w:rsidRPr="002343A4">
        <w:rPr>
          <w:w w:val="95"/>
          <w:sz w:val="20"/>
          <w:szCs w:val="20"/>
        </w:rPr>
        <w:t>Partnered with InfoSec and Legal teams to investigate third-party data breaches, ensuring timely incident response and mitigation.</w:t>
      </w:r>
    </w:p>
    <w:p w14:paraId="3AA644D0" w14:textId="77777777" w:rsidR="002343A4" w:rsidRPr="002343A4" w:rsidRDefault="002343A4" w:rsidP="002343A4">
      <w:pPr>
        <w:pStyle w:val="ListParagraph"/>
        <w:numPr>
          <w:ilvl w:val="0"/>
          <w:numId w:val="2"/>
        </w:numPr>
        <w:rPr>
          <w:w w:val="95"/>
          <w:sz w:val="20"/>
          <w:szCs w:val="20"/>
        </w:rPr>
      </w:pPr>
      <w:r w:rsidRPr="002343A4">
        <w:rPr>
          <w:w w:val="95"/>
          <w:sz w:val="20"/>
          <w:szCs w:val="20"/>
        </w:rPr>
        <w:t>Spearheaded training programs for internal stakeholders and third parties, improving risk awareness and vendor compliance by 25%.</w:t>
      </w:r>
    </w:p>
    <w:p w14:paraId="17AABB34" w14:textId="77777777" w:rsidR="002343A4" w:rsidRPr="002343A4" w:rsidRDefault="002343A4" w:rsidP="002343A4">
      <w:pPr>
        <w:pStyle w:val="ListParagraph"/>
        <w:numPr>
          <w:ilvl w:val="0"/>
          <w:numId w:val="2"/>
        </w:numPr>
        <w:rPr>
          <w:w w:val="95"/>
          <w:sz w:val="20"/>
          <w:szCs w:val="20"/>
        </w:rPr>
      </w:pPr>
      <w:r w:rsidRPr="002343A4">
        <w:rPr>
          <w:w w:val="95"/>
          <w:sz w:val="20"/>
          <w:szCs w:val="20"/>
        </w:rPr>
        <w:t>Developed and maintained third-party risk documentation including standard operating procedures (SOPs), playbooks, and checklists.</w:t>
      </w:r>
    </w:p>
    <w:p w14:paraId="0BDC72FD" w14:textId="77777777" w:rsidR="002343A4" w:rsidRPr="002343A4" w:rsidRDefault="002343A4" w:rsidP="002343A4">
      <w:pPr>
        <w:pStyle w:val="ListParagraph"/>
        <w:numPr>
          <w:ilvl w:val="0"/>
          <w:numId w:val="2"/>
        </w:numPr>
        <w:rPr>
          <w:w w:val="95"/>
          <w:sz w:val="20"/>
          <w:szCs w:val="20"/>
        </w:rPr>
      </w:pPr>
      <w:r w:rsidRPr="002343A4">
        <w:rPr>
          <w:w w:val="95"/>
          <w:sz w:val="20"/>
          <w:szCs w:val="20"/>
        </w:rPr>
        <w:t>Evaluated vendor Business Continuity Plans (BCP) and Disaster Recovery (DR) capabilities to ensure operational resilience.</w:t>
      </w:r>
    </w:p>
    <w:p w14:paraId="2334171F" w14:textId="77777777" w:rsidR="002343A4" w:rsidRPr="002343A4" w:rsidRDefault="002343A4" w:rsidP="002343A4">
      <w:pPr>
        <w:pStyle w:val="ListParagraph"/>
        <w:numPr>
          <w:ilvl w:val="0"/>
          <w:numId w:val="2"/>
        </w:numPr>
        <w:rPr>
          <w:w w:val="95"/>
          <w:sz w:val="20"/>
          <w:szCs w:val="20"/>
        </w:rPr>
      </w:pPr>
      <w:r w:rsidRPr="002343A4">
        <w:rPr>
          <w:w w:val="95"/>
          <w:sz w:val="20"/>
          <w:szCs w:val="20"/>
        </w:rPr>
        <w:t>Conducted annual risk reviews and re-certification of third-party vendors, ensuring alignment with updated security standards.</w:t>
      </w:r>
    </w:p>
    <w:p w14:paraId="26CAFF8B" w14:textId="3645D603" w:rsidR="002343A4" w:rsidRPr="002343A4" w:rsidRDefault="002343A4" w:rsidP="002343A4">
      <w:pPr>
        <w:pStyle w:val="ListParagraph"/>
        <w:numPr>
          <w:ilvl w:val="0"/>
          <w:numId w:val="2"/>
        </w:numPr>
        <w:rPr>
          <w:w w:val="95"/>
          <w:sz w:val="20"/>
          <w:szCs w:val="20"/>
        </w:rPr>
      </w:pPr>
      <w:r w:rsidRPr="002343A4">
        <w:rPr>
          <w:w w:val="95"/>
          <w:sz w:val="20"/>
          <w:szCs w:val="20"/>
        </w:rPr>
        <w:t>Played a key role in risk governance meetings, contributing to enterprise-wide GRC strategy and program improvements.</w:t>
      </w:r>
    </w:p>
    <w:bookmarkEnd w:id="0"/>
    <w:p w14:paraId="3204BE84" w14:textId="77777777" w:rsidR="00A44371" w:rsidRDefault="00A44371"/>
    <w:sectPr w:rsidR="00A44371" w:rsidSect="00716172">
      <w:pgSz w:w="12240" w:h="15840"/>
      <w:pgMar w:top="540" w:right="60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F18B9"/>
    <w:multiLevelType w:val="hybridMultilevel"/>
    <w:tmpl w:val="494C7078"/>
    <w:lvl w:ilvl="0" w:tplc="04090001">
      <w:start w:val="1"/>
      <w:numFmt w:val="bullet"/>
      <w:lvlText w:val=""/>
      <w:lvlJc w:val="left"/>
      <w:pPr>
        <w:ind w:left="480" w:hanging="360"/>
      </w:pPr>
      <w:rPr>
        <w:rFonts w:ascii="Symbol" w:hAnsi="Symbol"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 w15:restartNumberingAfterBreak="0">
    <w:nsid w:val="351C36AB"/>
    <w:multiLevelType w:val="hybridMultilevel"/>
    <w:tmpl w:val="EAE4F38C"/>
    <w:lvl w:ilvl="0" w:tplc="FCB45336">
      <w:numFmt w:val="bullet"/>
      <w:lvlText w:val=""/>
      <w:lvlJc w:val="left"/>
      <w:pPr>
        <w:ind w:left="840" w:hanging="360"/>
      </w:pPr>
      <w:rPr>
        <w:rFonts w:ascii="Symbol" w:eastAsia="Symbol" w:hAnsi="Symbol" w:cs="Symbol" w:hint="default"/>
        <w:w w:val="100"/>
        <w:sz w:val="20"/>
        <w:szCs w:val="20"/>
        <w:lang w:val="en-US" w:eastAsia="en-US" w:bidi="ar-SA"/>
      </w:rPr>
    </w:lvl>
    <w:lvl w:ilvl="1" w:tplc="9FF627E2">
      <w:numFmt w:val="bullet"/>
      <w:lvlText w:val="o"/>
      <w:lvlJc w:val="left"/>
      <w:pPr>
        <w:ind w:left="1560" w:hanging="360"/>
      </w:pPr>
      <w:rPr>
        <w:rFonts w:ascii="Courier New" w:eastAsia="Courier New" w:hAnsi="Courier New" w:cs="Courier New" w:hint="default"/>
        <w:w w:val="100"/>
        <w:sz w:val="20"/>
        <w:szCs w:val="20"/>
        <w:lang w:val="en-US" w:eastAsia="en-US" w:bidi="ar-SA"/>
      </w:rPr>
    </w:lvl>
    <w:lvl w:ilvl="2" w:tplc="973694F2">
      <w:numFmt w:val="bullet"/>
      <w:lvlText w:val="•"/>
      <w:lvlJc w:val="left"/>
      <w:pPr>
        <w:ind w:left="2613" w:hanging="360"/>
      </w:pPr>
      <w:rPr>
        <w:rFonts w:hint="default"/>
        <w:lang w:val="en-US" w:eastAsia="en-US" w:bidi="ar-SA"/>
      </w:rPr>
    </w:lvl>
    <w:lvl w:ilvl="3" w:tplc="A4E20514">
      <w:numFmt w:val="bullet"/>
      <w:lvlText w:val="•"/>
      <w:lvlJc w:val="left"/>
      <w:pPr>
        <w:ind w:left="3666" w:hanging="360"/>
      </w:pPr>
      <w:rPr>
        <w:rFonts w:hint="default"/>
        <w:lang w:val="en-US" w:eastAsia="en-US" w:bidi="ar-SA"/>
      </w:rPr>
    </w:lvl>
    <w:lvl w:ilvl="4" w:tplc="33E08E48">
      <w:numFmt w:val="bullet"/>
      <w:lvlText w:val="•"/>
      <w:lvlJc w:val="left"/>
      <w:pPr>
        <w:ind w:left="4720" w:hanging="360"/>
      </w:pPr>
      <w:rPr>
        <w:rFonts w:hint="default"/>
        <w:lang w:val="en-US" w:eastAsia="en-US" w:bidi="ar-SA"/>
      </w:rPr>
    </w:lvl>
    <w:lvl w:ilvl="5" w:tplc="F682A596">
      <w:numFmt w:val="bullet"/>
      <w:lvlText w:val="•"/>
      <w:lvlJc w:val="left"/>
      <w:pPr>
        <w:ind w:left="5773" w:hanging="360"/>
      </w:pPr>
      <w:rPr>
        <w:rFonts w:hint="default"/>
        <w:lang w:val="en-US" w:eastAsia="en-US" w:bidi="ar-SA"/>
      </w:rPr>
    </w:lvl>
    <w:lvl w:ilvl="6" w:tplc="08CE3470">
      <w:numFmt w:val="bullet"/>
      <w:lvlText w:val="•"/>
      <w:lvlJc w:val="left"/>
      <w:pPr>
        <w:ind w:left="6826" w:hanging="360"/>
      </w:pPr>
      <w:rPr>
        <w:rFonts w:hint="default"/>
        <w:lang w:val="en-US" w:eastAsia="en-US" w:bidi="ar-SA"/>
      </w:rPr>
    </w:lvl>
    <w:lvl w:ilvl="7" w:tplc="F536B67C">
      <w:numFmt w:val="bullet"/>
      <w:lvlText w:val="•"/>
      <w:lvlJc w:val="left"/>
      <w:pPr>
        <w:ind w:left="7880" w:hanging="360"/>
      </w:pPr>
      <w:rPr>
        <w:rFonts w:hint="default"/>
        <w:lang w:val="en-US" w:eastAsia="en-US" w:bidi="ar-SA"/>
      </w:rPr>
    </w:lvl>
    <w:lvl w:ilvl="8" w:tplc="3FF6127C">
      <w:numFmt w:val="bullet"/>
      <w:lvlText w:val="•"/>
      <w:lvlJc w:val="left"/>
      <w:pPr>
        <w:ind w:left="8933" w:hanging="360"/>
      </w:pPr>
      <w:rPr>
        <w:rFonts w:hint="default"/>
        <w:lang w:val="en-US" w:eastAsia="en-US" w:bidi="ar-SA"/>
      </w:rPr>
    </w:lvl>
  </w:abstractNum>
  <w:num w:numId="1" w16cid:durableId="1896238886">
    <w:abstractNumId w:val="1"/>
  </w:num>
  <w:num w:numId="2" w16cid:durableId="1001857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172"/>
    <w:rsid w:val="002343A4"/>
    <w:rsid w:val="004C39B5"/>
    <w:rsid w:val="005611C4"/>
    <w:rsid w:val="00716172"/>
    <w:rsid w:val="00720459"/>
    <w:rsid w:val="00816C2E"/>
    <w:rsid w:val="0083246F"/>
    <w:rsid w:val="008D0380"/>
    <w:rsid w:val="0090182B"/>
    <w:rsid w:val="00A44371"/>
    <w:rsid w:val="00C040B0"/>
    <w:rsid w:val="00E525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74AF9"/>
  <w15:chartTrackingRefBased/>
  <w15:docId w15:val="{1E9548B3-B554-46B1-8951-5423F5EC9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172"/>
    <w:pPr>
      <w:widowControl w:val="0"/>
      <w:autoSpaceDE w:val="0"/>
      <w:autoSpaceDN w:val="0"/>
      <w:spacing w:after="0" w:line="240" w:lineRule="auto"/>
    </w:pPr>
    <w:rPr>
      <w:rFonts w:ascii="Verdana" w:eastAsia="Verdana" w:hAnsi="Verdana" w:cs="Verdana"/>
      <w:kern w:val="0"/>
      <w:lang w:val="en-US"/>
      <w14:ligatures w14:val="none"/>
    </w:rPr>
  </w:style>
  <w:style w:type="paragraph" w:styleId="Heading1">
    <w:name w:val="heading 1"/>
    <w:basedOn w:val="Normal"/>
    <w:next w:val="Normal"/>
    <w:link w:val="Heading1Char"/>
    <w:uiPriority w:val="9"/>
    <w:qFormat/>
    <w:rsid w:val="007161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61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61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61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61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617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17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17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17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1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61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61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61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61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61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1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1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172"/>
    <w:rPr>
      <w:rFonts w:eastAsiaTheme="majorEastAsia" w:cstheme="majorBidi"/>
      <w:color w:val="272727" w:themeColor="text1" w:themeTint="D8"/>
    </w:rPr>
  </w:style>
  <w:style w:type="paragraph" w:styleId="Title">
    <w:name w:val="Title"/>
    <w:basedOn w:val="Normal"/>
    <w:next w:val="Normal"/>
    <w:link w:val="TitleChar"/>
    <w:uiPriority w:val="10"/>
    <w:qFormat/>
    <w:rsid w:val="0071617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1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1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1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172"/>
    <w:pPr>
      <w:spacing w:before="160"/>
      <w:jc w:val="center"/>
    </w:pPr>
    <w:rPr>
      <w:i/>
      <w:iCs/>
      <w:color w:val="404040" w:themeColor="text1" w:themeTint="BF"/>
    </w:rPr>
  </w:style>
  <w:style w:type="character" w:customStyle="1" w:styleId="QuoteChar">
    <w:name w:val="Quote Char"/>
    <w:basedOn w:val="DefaultParagraphFont"/>
    <w:link w:val="Quote"/>
    <w:uiPriority w:val="29"/>
    <w:rsid w:val="00716172"/>
    <w:rPr>
      <w:i/>
      <w:iCs/>
      <w:color w:val="404040" w:themeColor="text1" w:themeTint="BF"/>
    </w:rPr>
  </w:style>
  <w:style w:type="paragraph" w:styleId="ListParagraph">
    <w:name w:val="List Paragraph"/>
    <w:basedOn w:val="Normal"/>
    <w:uiPriority w:val="1"/>
    <w:qFormat/>
    <w:rsid w:val="00716172"/>
    <w:pPr>
      <w:ind w:left="720"/>
      <w:contextualSpacing/>
    </w:pPr>
  </w:style>
  <w:style w:type="character" w:styleId="IntenseEmphasis">
    <w:name w:val="Intense Emphasis"/>
    <w:basedOn w:val="DefaultParagraphFont"/>
    <w:uiPriority w:val="21"/>
    <w:qFormat/>
    <w:rsid w:val="00716172"/>
    <w:rPr>
      <w:i/>
      <w:iCs/>
      <w:color w:val="2F5496" w:themeColor="accent1" w:themeShade="BF"/>
    </w:rPr>
  </w:style>
  <w:style w:type="paragraph" w:styleId="IntenseQuote">
    <w:name w:val="Intense Quote"/>
    <w:basedOn w:val="Normal"/>
    <w:next w:val="Normal"/>
    <w:link w:val="IntenseQuoteChar"/>
    <w:uiPriority w:val="30"/>
    <w:qFormat/>
    <w:rsid w:val="007161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6172"/>
    <w:rPr>
      <w:i/>
      <w:iCs/>
      <w:color w:val="2F5496" w:themeColor="accent1" w:themeShade="BF"/>
    </w:rPr>
  </w:style>
  <w:style w:type="character" w:styleId="IntenseReference">
    <w:name w:val="Intense Reference"/>
    <w:basedOn w:val="DefaultParagraphFont"/>
    <w:uiPriority w:val="32"/>
    <w:qFormat/>
    <w:rsid w:val="00716172"/>
    <w:rPr>
      <w:b/>
      <w:bCs/>
      <w:smallCaps/>
      <w:color w:val="2F5496" w:themeColor="accent1" w:themeShade="BF"/>
      <w:spacing w:val="5"/>
    </w:rPr>
  </w:style>
  <w:style w:type="paragraph" w:styleId="BodyText">
    <w:name w:val="Body Text"/>
    <w:basedOn w:val="Normal"/>
    <w:link w:val="BodyTextChar"/>
    <w:uiPriority w:val="1"/>
    <w:qFormat/>
    <w:rsid w:val="00716172"/>
    <w:rPr>
      <w:sz w:val="20"/>
      <w:szCs w:val="20"/>
    </w:rPr>
  </w:style>
  <w:style w:type="character" w:customStyle="1" w:styleId="BodyTextChar">
    <w:name w:val="Body Text Char"/>
    <w:basedOn w:val="DefaultParagraphFont"/>
    <w:link w:val="BodyText"/>
    <w:uiPriority w:val="1"/>
    <w:rsid w:val="00716172"/>
    <w:rPr>
      <w:rFonts w:ascii="Verdana" w:eastAsia="Verdana" w:hAnsi="Verdana" w:cs="Verdana"/>
      <w:kern w:val="0"/>
      <w:sz w:val="20"/>
      <w:szCs w:val="20"/>
      <w:lang w:val="en-US"/>
      <w14:ligatures w14:val="none"/>
    </w:rPr>
  </w:style>
  <w:style w:type="character" w:styleId="Hyperlink">
    <w:name w:val="Hyperlink"/>
    <w:basedOn w:val="DefaultParagraphFont"/>
    <w:uiPriority w:val="99"/>
    <w:unhideWhenUsed/>
    <w:rsid w:val="00716172"/>
    <w:rPr>
      <w:color w:val="0563C1" w:themeColor="hyperlink"/>
      <w:u w:val="single"/>
    </w:rPr>
  </w:style>
  <w:style w:type="table" w:styleId="TableGrid">
    <w:name w:val="Table Grid"/>
    <w:basedOn w:val="TableNormal"/>
    <w:uiPriority w:val="39"/>
    <w:rsid w:val="0071617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86136">
      <w:bodyDiv w:val="1"/>
      <w:marLeft w:val="0"/>
      <w:marRight w:val="0"/>
      <w:marTop w:val="0"/>
      <w:marBottom w:val="0"/>
      <w:divBdr>
        <w:top w:val="none" w:sz="0" w:space="0" w:color="auto"/>
        <w:left w:val="none" w:sz="0" w:space="0" w:color="auto"/>
        <w:bottom w:val="none" w:sz="0" w:space="0" w:color="auto"/>
        <w:right w:val="none" w:sz="0" w:space="0" w:color="auto"/>
      </w:divBdr>
    </w:div>
    <w:div w:id="77602683">
      <w:bodyDiv w:val="1"/>
      <w:marLeft w:val="0"/>
      <w:marRight w:val="0"/>
      <w:marTop w:val="0"/>
      <w:marBottom w:val="0"/>
      <w:divBdr>
        <w:top w:val="none" w:sz="0" w:space="0" w:color="auto"/>
        <w:left w:val="none" w:sz="0" w:space="0" w:color="auto"/>
        <w:bottom w:val="none" w:sz="0" w:space="0" w:color="auto"/>
        <w:right w:val="none" w:sz="0" w:space="0" w:color="auto"/>
      </w:divBdr>
    </w:div>
    <w:div w:id="91048609">
      <w:bodyDiv w:val="1"/>
      <w:marLeft w:val="0"/>
      <w:marRight w:val="0"/>
      <w:marTop w:val="0"/>
      <w:marBottom w:val="0"/>
      <w:divBdr>
        <w:top w:val="none" w:sz="0" w:space="0" w:color="auto"/>
        <w:left w:val="none" w:sz="0" w:space="0" w:color="auto"/>
        <w:bottom w:val="none" w:sz="0" w:space="0" w:color="auto"/>
        <w:right w:val="none" w:sz="0" w:space="0" w:color="auto"/>
      </w:divBdr>
    </w:div>
    <w:div w:id="91359799">
      <w:bodyDiv w:val="1"/>
      <w:marLeft w:val="0"/>
      <w:marRight w:val="0"/>
      <w:marTop w:val="0"/>
      <w:marBottom w:val="0"/>
      <w:divBdr>
        <w:top w:val="none" w:sz="0" w:space="0" w:color="auto"/>
        <w:left w:val="none" w:sz="0" w:space="0" w:color="auto"/>
        <w:bottom w:val="none" w:sz="0" w:space="0" w:color="auto"/>
        <w:right w:val="none" w:sz="0" w:space="0" w:color="auto"/>
      </w:divBdr>
    </w:div>
    <w:div w:id="107041894">
      <w:bodyDiv w:val="1"/>
      <w:marLeft w:val="0"/>
      <w:marRight w:val="0"/>
      <w:marTop w:val="0"/>
      <w:marBottom w:val="0"/>
      <w:divBdr>
        <w:top w:val="none" w:sz="0" w:space="0" w:color="auto"/>
        <w:left w:val="none" w:sz="0" w:space="0" w:color="auto"/>
        <w:bottom w:val="none" w:sz="0" w:space="0" w:color="auto"/>
        <w:right w:val="none" w:sz="0" w:space="0" w:color="auto"/>
      </w:divBdr>
    </w:div>
    <w:div w:id="123158535">
      <w:bodyDiv w:val="1"/>
      <w:marLeft w:val="0"/>
      <w:marRight w:val="0"/>
      <w:marTop w:val="0"/>
      <w:marBottom w:val="0"/>
      <w:divBdr>
        <w:top w:val="none" w:sz="0" w:space="0" w:color="auto"/>
        <w:left w:val="none" w:sz="0" w:space="0" w:color="auto"/>
        <w:bottom w:val="none" w:sz="0" w:space="0" w:color="auto"/>
        <w:right w:val="none" w:sz="0" w:space="0" w:color="auto"/>
      </w:divBdr>
    </w:div>
    <w:div w:id="128985509">
      <w:bodyDiv w:val="1"/>
      <w:marLeft w:val="0"/>
      <w:marRight w:val="0"/>
      <w:marTop w:val="0"/>
      <w:marBottom w:val="0"/>
      <w:divBdr>
        <w:top w:val="none" w:sz="0" w:space="0" w:color="auto"/>
        <w:left w:val="none" w:sz="0" w:space="0" w:color="auto"/>
        <w:bottom w:val="none" w:sz="0" w:space="0" w:color="auto"/>
        <w:right w:val="none" w:sz="0" w:space="0" w:color="auto"/>
      </w:divBdr>
    </w:div>
    <w:div w:id="163277108">
      <w:bodyDiv w:val="1"/>
      <w:marLeft w:val="0"/>
      <w:marRight w:val="0"/>
      <w:marTop w:val="0"/>
      <w:marBottom w:val="0"/>
      <w:divBdr>
        <w:top w:val="none" w:sz="0" w:space="0" w:color="auto"/>
        <w:left w:val="none" w:sz="0" w:space="0" w:color="auto"/>
        <w:bottom w:val="none" w:sz="0" w:space="0" w:color="auto"/>
        <w:right w:val="none" w:sz="0" w:space="0" w:color="auto"/>
      </w:divBdr>
    </w:div>
    <w:div w:id="224729307">
      <w:bodyDiv w:val="1"/>
      <w:marLeft w:val="0"/>
      <w:marRight w:val="0"/>
      <w:marTop w:val="0"/>
      <w:marBottom w:val="0"/>
      <w:divBdr>
        <w:top w:val="none" w:sz="0" w:space="0" w:color="auto"/>
        <w:left w:val="none" w:sz="0" w:space="0" w:color="auto"/>
        <w:bottom w:val="none" w:sz="0" w:space="0" w:color="auto"/>
        <w:right w:val="none" w:sz="0" w:space="0" w:color="auto"/>
      </w:divBdr>
    </w:div>
    <w:div w:id="248271557">
      <w:bodyDiv w:val="1"/>
      <w:marLeft w:val="0"/>
      <w:marRight w:val="0"/>
      <w:marTop w:val="0"/>
      <w:marBottom w:val="0"/>
      <w:divBdr>
        <w:top w:val="none" w:sz="0" w:space="0" w:color="auto"/>
        <w:left w:val="none" w:sz="0" w:space="0" w:color="auto"/>
        <w:bottom w:val="none" w:sz="0" w:space="0" w:color="auto"/>
        <w:right w:val="none" w:sz="0" w:space="0" w:color="auto"/>
      </w:divBdr>
    </w:div>
    <w:div w:id="251663591">
      <w:bodyDiv w:val="1"/>
      <w:marLeft w:val="0"/>
      <w:marRight w:val="0"/>
      <w:marTop w:val="0"/>
      <w:marBottom w:val="0"/>
      <w:divBdr>
        <w:top w:val="none" w:sz="0" w:space="0" w:color="auto"/>
        <w:left w:val="none" w:sz="0" w:space="0" w:color="auto"/>
        <w:bottom w:val="none" w:sz="0" w:space="0" w:color="auto"/>
        <w:right w:val="none" w:sz="0" w:space="0" w:color="auto"/>
      </w:divBdr>
    </w:div>
    <w:div w:id="300353865">
      <w:bodyDiv w:val="1"/>
      <w:marLeft w:val="0"/>
      <w:marRight w:val="0"/>
      <w:marTop w:val="0"/>
      <w:marBottom w:val="0"/>
      <w:divBdr>
        <w:top w:val="none" w:sz="0" w:space="0" w:color="auto"/>
        <w:left w:val="none" w:sz="0" w:space="0" w:color="auto"/>
        <w:bottom w:val="none" w:sz="0" w:space="0" w:color="auto"/>
        <w:right w:val="none" w:sz="0" w:space="0" w:color="auto"/>
      </w:divBdr>
    </w:div>
    <w:div w:id="452136435">
      <w:bodyDiv w:val="1"/>
      <w:marLeft w:val="0"/>
      <w:marRight w:val="0"/>
      <w:marTop w:val="0"/>
      <w:marBottom w:val="0"/>
      <w:divBdr>
        <w:top w:val="none" w:sz="0" w:space="0" w:color="auto"/>
        <w:left w:val="none" w:sz="0" w:space="0" w:color="auto"/>
        <w:bottom w:val="none" w:sz="0" w:space="0" w:color="auto"/>
        <w:right w:val="none" w:sz="0" w:space="0" w:color="auto"/>
      </w:divBdr>
    </w:div>
    <w:div w:id="517280372">
      <w:bodyDiv w:val="1"/>
      <w:marLeft w:val="0"/>
      <w:marRight w:val="0"/>
      <w:marTop w:val="0"/>
      <w:marBottom w:val="0"/>
      <w:divBdr>
        <w:top w:val="none" w:sz="0" w:space="0" w:color="auto"/>
        <w:left w:val="none" w:sz="0" w:space="0" w:color="auto"/>
        <w:bottom w:val="none" w:sz="0" w:space="0" w:color="auto"/>
        <w:right w:val="none" w:sz="0" w:space="0" w:color="auto"/>
      </w:divBdr>
    </w:div>
    <w:div w:id="613295485">
      <w:bodyDiv w:val="1"/>
      <w:marLeft w:val="0"/>
      <w:marRight w:val="0"/>
      <w:marTop w:val="0"/>
      <w:marBottom w:val="0"/>
      <w:divBdr>
        <w:top w:val="none" w:sz="0" w:space="0" w:color="auto"/>
        <w:left w:val="none" w:sz="0" w:space="0" w:color="auto"/>
        <w:bottom w:val="none" w:sz="0" w:space="0" w:color="auto"/>
        <w:right w:val="none" w:sz="0" w:space="0" w:color="auto"/>
      </w:divBdr>
    </w:div>
    <w:div w:id="637105881">
      <w:bodyDiv w:val="1"/>
      <w:marLeft w:val="0"/>
      <w:marRight w:val="0"/>
      <w:marTop w:val="0"/>
      <w:marBottom w:val="0"/>
      <w:divBdr>
        <w:top w:val="none" w:sz="0" w:space="0" w:color="auto"/>
        <w:left w:val="none" w:sz="0" w:space="0" w:color="auto"/>
        <w:bottom w:val="none" w:sz="0" w:space="0" w:color="auto"/>
        <w:right w:val="none" w:sz="0" w:space="0" w:color="auto"/>
      </w:divBdr>
    </w:div>
    <w:div w:id="671881448">
      <w:bodyDiv w:val="1"/>
      <w:marLeft w:val="0"/>
      <w:marRight w:val="0"/>
      <w:marTop w:val="0"/>
      <w:marBottom w:val="0"/>
      <w:divBdr>
        <w:top w:val="none" w:sz="0" w:space="0" w:color="auto"/>
        <w:left w:val="none" w:sz="0" w:space="0" w:color="auto"/>
        <w:bottom w:val="none" w:sz="0" w:space="0" w:color="auto"/>
        <w:right w:val="none" w:sz="0" w:space="0" w:color="auto"/>
      </w:divBdr>
    </w:div>
    <w:div w:id="696079790">
      <w:bodyDiv w:val="1"/>
      <w:marLeft w:val="0"/>
      <w:marRight w:val="0"/>
      <w:marTop w:val="0"/>
      <w:marBottom w:val="0"/>
      <w:divBdr>
        <w:top w:val="none" w:sz="0" w:space="0" w:color="auto"/>
        <w:left w:val="none" w:sz="0" w:space="0" w:color="auto"/>
        <w:bottom w:val="none" w:sz="0" w:space="0" w:color="auto"/>
        <w:right w:val="none" w:sz="0" w:space="0" w:color="auto"/>
      </w:divBdr>
    </w:div>
    <w:div w:id="716665018">
      <w:bodyDiv w:val="1"/>
      <w:marLeft w:val="0"/>
      <w:marRight w:val="0"/>
      <w:marTop w:val="0"/>
      <w:marBottom w:val="0"/>
      <w:divBdr>
        <w:top w:val="none" w:sz="0" w:space="0" w:color="auto"/>
        <w:left w:val="none" w:sz="0" w:space="0" w:color="auto"/>
        <w:bottom w:val="none" w:sz="0" w:space="0" w:color="auto"/>
        <w:right w:val="none" w:sz="0" w:space="0" w:color="auto"/>
      </w:divBdr>
    </w:div>
    <w:div w:id="814644106">
      <w:bodyDiv w:val="1"/>
      <w:marLeft w:val="0"/>
      <w:marRight w:val="0"/>
      <w:marTop w:val="0"/>
      <w:marBottom w:val="0"/>
      <w:divBdr>
        <w:top w:val="none" w:sz="0" w:space="0" w:color="auto"/>
        <w:left w:val="none" w:sz="0" w:space="0" w:color="auto"/>
        <w:bottom w:val="none" w:sz="0" w:space="0" w:color="auto"/>
        <w:right w:val="none" w:sz="0" w:space="0" w:color="auto"/>
      </w:divBdr>
    </w:div>
    <w:div w:id="824930624">
      <w:bodyDiv w:val="1"/>
      <w:marLeft w:val="0"/>
      <w:marRight w:val="0"/>
      <w:marTop w:val="0"/>
      <w:marBottom w:val="0"/>
      <w:divBdr>
        <w:top w:val="none" w:sz="0" w:space="0" w:color="auto"/>
        <w:left w:val="none" w:sz="0" w:space="0" w:color="auto"/>
        <w:bottom w:val="none" w:sz="0" w:space="0" w:color="auto"/>
        <w:right w:val="none" w:sz="0" w:space="0" w:color="auto"/>
      </w:divBdr>
    </w:div>
    <w:div w:id="871456526">
      <w:bodyDiv w:val="1"/>
      <w:marLeft w:val="0"/>
      <w:marRight w:val="0"/>
      <w:marTop w:val="0"/>
      <w:marBottom w:val="0"/>
      <w:divBdr>
        <w:top w:val="none" w:sz="0" w:space="0" w:color="auto"/>
        <w:left w:val="none" w:sz="0" w:space="0" w:color="auto"/>
        <w:bottom w:val="none" w:sz="0" w:space="0" w:color="auto"/>
        <w:right w:val="none" w:sz="0" w:space="0" w:color="auto"/>
      </w:divBdr>
    </w:div>
    <w:div w:id="950935778">
      <w:bodyDiv w:val="1"/>
      <w:marLeft w:val="0"/>
      <w:marRight w:val="0"/>
      <w:marTop w:val="0"/>
      <w:marBottom w:val="0"/>
      <w:divBdr>
        <w:top w:val="none" w:sz="0" w:space="0" w:color="auto"/>
        <w:left w:val="none" w:sz="0" w:space="0" w:color="auto"/>
        <w:bottom w:val="none" w:sz="0" w:space="0" w:color="auto"/>
        <w:right w:val="none" w:sz="0" w:space="0" w:color="auto"/>
      </w:divBdr>
    </w:div>
    <w:div w:id="1082411354">
      <w:bodyDiv w:val="1"/>
      <w:marLeft w:val="0"/>
      <w:marRight w:val="0"/>
      <w:marTop w:val="0"/>
      <w:marBottom w:val="0"/>
      <w:divBdr>
        <w:top w:val="none" w:sz="0" w:space="0" w:color="auto"/>
        <w:left w:val="none" w:sz="0" w:space="0" w:color="auto"/>
        <w:bottom w:val="none" w:sz="0" w:space="0" w:color="auto"/>
        <w:right w:val="none" w:sz="0" w:space="0" w:color="auto"/>
      </w:divBdr>
    </w:div>
    <w:div w:id="1119490774">
      <w:bodyDiv w:val="1"/>
      <w:marLeft w:val="0"/>
      <w:marRight w:val="0"/>
      <w:marTop w:val="0"/>
      <w:marBottom w:val="0"/>
      <w:divBdr>
        <w:top w:val="none" w:sz="0" w:space="0" w:color="auto"/>
        <w:left w:val="none" w:sz="0" w:space="0" w:color="auto"/>
        <w:bottom w:val="none" w:sz="0" w:space="0" w:color="auto"/>
        <w:right w:val="none" w:sz="0" w:space="0" w:color="auto"/>
      </w:divBdr>
    </w:div>
    <w:div w:id="1144002456">
      <w:bodyDiv w:val="1"/>
      <w:marLeft w:val="0"/>
      <w:marRight w:val="0"/>
      <w:marTop w:val="0"/>
      <w:marBottom w:val="0"/>
      <w:divBdr>
        <w:top w:val="none" w:sz="0" w:space="0" w:color="auto"/>
        <w:left w:val="none" w:sz="0" w:space="0" w:color="auto"/>
        <w:bottom w:val="none" w:sz="0" w:space="0" w:color="auto"/>
        <w:right w:val="none" w:sz="0" w:space="0" w:color="auto"/>
      </w:divBdr>
    </w:div>
    <w:div w:id="1177227826">
      <w:bodyDiv w:val="1"/>
      <w:marLeft w:val="0"/>
      <w:marRight w:val="0"/>
      <w:marTop w:val="0"/>
      <w:marBottom w:val="0"/>
      <w:divBdr>
        <w:top w:val="none" w:sz="0" w:space="0" w:color="auto"/>
        <w:left w:val="none" w:sz="0" w:space="0" w:color="auto"/>
        <w:bottom w:val="none" w:sz="0" w:space="0" w:color="auto"/>
        <w:right w:val="none" w:sz="0" w:space="0" w:color="auto"/>
      </w:divBdr>
    </w:div>
    <w:div w:id="1179081561">
      <w:bodyDiv w:val="1"/>
      <w:marLeft w:val="0"/>
      <w:marRight w:val="0"/>
      <w:marTop w:val="0"/>
      <w:marBottom w:val="0"/>
      <w:divBdr>
        <w:top w:val="none" w:sz="0" w:space="0" w:color="auto"/>
        <w:left w:val="none" w:sz="0" w:space="0" w:color="auto"/>
        <w:bottom w:val="none" w:sz="0" w:space="0" w:color="auto"/>
        <w:right w:val="none" w:sz="0" w:space="0" w:color="auto"/>
      </w:divBdr>
    </w:div>
    <w:div w:id="1258127300">
      <w:bodyDiv w:val="1"/>
      <w:marLeft w:val="0"/>
      <w:marRight w:val="0"/>
      <w:marTop w:val="0"/>
      <w:marBottom w:val="0"/>
      <w:divBdr>
        <w:top w:val="none" w:sz="0" w:space="0" w:color="auto"/>
        <w:left w:val="none" w:sz="0" w:space="0" w:color="auto"/>
        <w:bottom w:val="none" w:sz="0" w:space="0" w:color="auto"/>
        <w:right w:val="none" w:sz="0" w:space="0" w:color="auto"/>
      </w:divBdr>
    </w:div>
    <w:div w:id="1276400760">
      <w:bodyDiv w:val="1"/>
      <w:marLeft w:val="0"/>
      <w:marRight w:val="0"/>
      <w:marTop w:val="0"/>
      <w:marBottom w:val="0"/>
      <w:divBdr>
        <w:top w:val="none" w:sz="0" w:space="0" w:color="auto"/>
        <w:left w:val="none" w:sz="0" w:space="0" w:color="auto"/>
        <w:bottom w:val="none" w:sz="0" w:space="0" w:color="auto"/>
        <w:right w:val="none" w:sz="0" w:space="0" w:color="auto"/>
      </w:divBdr>
    </w:div>
    <w:div w:id="1331837249">
      <w:bodyDiv w:val="1"/>
      <w:marLeft w:val="0"/>
      <w:marRight w:val="0"/>
      <w:marTop w:val="0"/>
      <w:marBottom w:val="0"/>
      <w:divBdr>
        <w:top w:val="none" w:sz="0" w:space="0" w:color="auto"/>
        <w:left w:val="none" w:sz="0" w:space="0" w:color="auto"/>
        <w:bottom w:val="none" w:sz="0" w:space="0" w:color="auto"/>
        <w:right w:val="none" w:sz="0" w:space="0" w:color="auto"/>
      </w:divBdr>
    </w:div>
    <w:div w:id="1346906949">
      <w:bodyDiv w:val="1"/>
      <w:marLeft w:val="0"/>
      <w:marRight w:val="0"/>
      <w:marTop w:val="0"/>
      <w:marBottom w:val="0"/>
      <w:divBdr>
        <w:top w:val="none" w:sz="0" w:space="0" w:color="auto"/>
        <w:left w:val="none" w:sz="0" w:space="0" w:color="auto"/>
        <w:bottom w:val="none" w:sz="0" w:space="0" w:color="auto"/>
        <w:right w:val="none" w:sz="0" w:space="0" w:color="auto"/>
      </w:divBdr>
    </w:div>
    <w:div w:id="1526939740">
      <w:bodyDiv w:val="1"/>
      <w:marLeft w:val="0"/>
      <w:marRight w:val="0"/>
      <w:marTop w:val="0"/>
      <w:marBottom w:val="0"/>
      <w:divBdr>
        <w:top w:val="none" w:sz="0" w:space="0" w:color="auto"/>
        <w:left w:val="none" w:sz="0" w:space="0" w:color="auto"/>
        <w:bottom w:val="none" w:sz="0" w:space="0" w:color="auto"/>
        <w:right w:val="none" w:sz="0" w:space="0" w:color="auto"/>
      </w:divBdr>
    </w:div>
    <w:div w:id="1532762498">
      <w:bodyDiv w:val="1"/>
      <w:marLeft w:val="0"/>
      <w:marRight w:val="0"/>
      <w:marTop w:val="0"/>
      <w:marBottom w:val="0"/>
      <w:divBdr>
        <w:top w:val="none" w:sz="0" w:space="0" w:color="auto"/>
        <w:left w:val="none" w:sz="0" w:space="0" w:color="auto"/>
        <w:bottom w:val="none" w:sz="0" w:space="0" w:color="auto"/>
        <w:right w:val="none" w:sz="0" w:space="0" w:color="auto"/>
      </w:divBdr>
    </w:div>
    <w:div w:id="1589122522">
      <w:bodyDiv w:val="1"/>
      <w:marLeft w:val="0"/>
      <w:marRight w:val="0"/>
      <w:marTop w:val="0"/>
      <w:marBottom w:val="0"/>
      <w:divBdr>
        <w:top w:val="none" w:sz="0" w:space="0" w:color="auto"/>
        <w:left w:val="none" w:sz="0" w:space="0" w:color="auto"/>
        <w:bottom w:val="none" w:sz="0" w:space="0" w:color="auto"/>
        <w:right w:val="none" w:sz="0" w:space="0" w:color="auto"/>
      </w:divBdr>
    </w:div>
    <w:div w:id="1605067516">
      <w:bodyDiv w:val="1"/>
      <w:marLeft w:val="0"/>
      <w:marRight w:val="0"/>
      <w:marTop w:val="0"/>
      <w:marBottom w:val="0"/>
      <w:divBdr>
        <w:top w:val="none" w:sz="0" w:space="0" w:color="auto"/>
        <w:left w:val="none" w:sz="0" w:space="0" w:color="auto"/>
        <w:bottom w:val="none" w:sz="0" w:space="0" w:color="auto"/>
        <w:right w:val="none" w:sz="0" w:space="0" w:color="auto"/>
      </w:divBdr>
    </w:div>
    <w:div w:id="1697731383">
      <w:bodyDiv w:val="1"/>
      <w:marLeft w:val="0"/>
      <w:marRight w:val="0"/>
      <w:marTop w:val="0"/>
      <w:marBottom w:val="0"/>
      <w:divBdr>
        <w:top w:val="none" w:sz="0" w:space="0" w:color="auto"/>
        <w:left w:val="none" w:sz="0" w:space="0" w:color="auto"/>
        <w:bottom w:val="none" w:sz="0" w:space="0" w:color="auto"/>
        <w:right w:val="none" w:sz="0" w:space="0" w:color="auto"/>
      </w:divBdr>
      <w:divsChild>
        <w:div w:id="117187162">
          <w:marLeft w:val="0"/>
          <w:marRight w:val="0"/>
          <w:marTop w:val="0"/>
          <w:marBottom w:val="0"/>
          <w:divBdr>
            <w:top w:val="none" w:sz="0" w:space="0" w:color="auto"/>
            <w:left w:val="none" w:sz="0" w:space="0" w:color="auto"/>
            <w:bottom w:val="none" w:sz="0" w:space="0" w:color="auto"/>
            <w:right w:val="none" w:sz="0" w:space="0" w:color="auto"/>
          </w:divBdr>
          <w:divsChild>
            <w:div w:id="199559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28931">
      <w:bodyDiv w:val="1"/>
      <w:marLeft w:val="0"/>
      <w:marRight w:val="0"/>
      <w:marTop w:val="0"/>
      <w:marBottom w:val="0"/>
      <w:divBdr>
        <w:top w:val="none" w:sz="0" w:space="0" w:color="auto"/>
        <w:left w:val="none" w:sz="0" w:space="0" w:color="auto"/>
        <w:bottom w:val="none" w:sz="0" w:space="0" w:color="auto"/>
        <w:right w:val="none" w:sz="0" w:space="0" w:color="auto"/>
      </w:divBdr>
    </w:div>
    <w:div w:id="1814371483">
      <w:bodyDiv w:val="1"/>
      <w:marLeft w:val="0"/>
      <w:marRight w:val="0"/>
      <w:marTop w:val="0"/>
      <w:marBottom w:val="0"/>
      <w:divBdr>
        <w:top w:val="none" w:sz="0" w:space="0" w:color="auto"/>
        <w:left w:val="none" w:sz="0" w:space="0" w:color="auto"/>
        <w:bottom w:val="none" w:sz="0" w:space="0" w:color="auto"/>
        <w:right w:val="none" w:sz="0" w:space="0" w:color="auto"/>
      </w:divBdr>
    </w:div>
    <w:div w:id="1818450383">
      <w:bodyDiv w:val="1"/>
      <w:marLeft w:val="0"/>
      <w:marRight w:val="0"/>
      <w:marTop w:val="0"/>
      <w:marBottom w:val="0"/>
      <w:divBdr>
        <w:top w:val="none" w:sz="0" w:space="0" w:color="auto"/>
        <w:left w:val="none" w:sz="0" w:space="0" w:color="auto"/>
        <w:bottom w:val="none" w:sz="0" w:space="0" w:color="auto"/>
        <w:right w:val="none" w:sz="0" w:space="0" w:color="auto"/>
      </w:divBdr>
    </w:div>
    <w:div w:id="1919365816">
      <w:bodyDiv w:val="1"/>
      <w:marLeft w:val="0"/>
      <w:marRight w:val="0"/>
      <w:marTop w:val="0"/>
      <w:marBottom w:val="0"/>
      <w:divBdr>
        <w:top w:val="none" w:sz="0" w:space="0" w:color="auto"/>
        <w:left w:val="none" w:sz="0" w:space="0" w:color="auto"/>
        <w:bottom w:val="none" w:sz="0" w:space="0" w:color="auto"/>
        <w:right w:val="none" w:sz="0" w:space="0" w:color="auto"/>
      </w:divBdr>
    </w:div>
    <w:div w:id="1976519499">
      <w:bodyDiv w:val="1"/>
      <w:marLeft w:val="0"/>
      <w:marRight w:val="0"/>
      <w:marTop w:val="0"/>
      <w:marBottom w:val="0"/>
      <w:divBdr>
        <w:top w:val="none" w:sz="0" w:space="0" w:color="auto"/>
        <w:left w:val="none" w:sz="0" w:space="0" w:color="auto"/>
        <w:bottom w:val="none" w:sz="0" w:space="0" w:color="auto"/>
        <w:right w:val="none" w:sz="0" w:space="0" w:color="auto"/>
      </w:divBdr>
    </w:div>
    <w:div w:id="1988438017">
      <w:bodyDiv w:val="1"/>
      <w:marLeft w:val="0"/>
      <w:marRight w:val="0"/>
      <w:marTop w:val="0"/>
      <w:marBottom w:val="0"/>
      <w:divBdr>
        <w:top w:val="none" w:sz="0" w:space="0" w:color="auto"/>
        <w:left w:val="none" w:sz="0" w:space="0" w:color="auto"/>
        <w:bottom w:val="none" w:sz="0" w:space="0" w:color="auto"/>
        <w:right w:val="none" w:sz="0" w:space="0" w:color="auto"/>
      </w:divBdr>
    </w:div>
    <w:div w:id="2009824957">
      <w:bodyDiv w:val="1"/>
      <w:marLeft w:val="0"/>
      <w:marRight w:val="0"/>
      <w:marTop w:val="0"/>
      <w:marBottom w:val="0"/>
      <w:divBdr>
        <w:top w:val="none" w:sz="0" w:space="0" w:color="auto"/>
        <w:left w:val="none" w:sz="0" w:space="0" w:color="auto"/>
        <w:bottom w:val="none" w:sz="0" w:space="0" w:color="auto"/>
        <w:right w:val="none" w:sz="0" w:space="0" w:color="auto"/>
      </w:divBdr>
    </w:div>
    <w:div w:id="2032679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rahel-teklu-870aaa11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3B29B9-1B3A-475D-8ACE-9A1D25CCF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1071</Words>
  <Characters>6108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cp:lastPrinted>2025-04-18T22:40:00Z</cp:lastPrinted>
  <dcterms:created xsi:type="dcterms:W3CDTF">2025-04-18T22:16:00Z</dcterms:created>
  <dcterms:modified xsi:type="dcterms:W3CDTF">2025-04-28T20:11:00Z</dcterms:modified>
</cp:coreProperties>
</file>