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center" w:pos="4770" w:leader="none"/>
        </w:tabs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262626"/>
          <w:spacing w:val="100"/>
          <w:position w:val="0"/>
          <w:sz w:val="70"/>
          <w:shd w:fill="EFEBF5" w:val="clear"/>
        </w:rPr>
      </w:pPr>
      <w:r>
        <w:rPr>
          <w:rFonts w:ascii="Calibri" w:hAnsi="Calibri" w:cs="Calibri" w:eastAsia="Calibri"/>
          <w:b/>
          <w:color w:val="262626"/>
          <w:spacing w:val="100"/>
          <w:position w:val="0"/>
          <w:sz w:val="70"/>
          <w:shd w:fill="EFEBF5" w:val="clear"/>
        </w:rPr>
        <w:t xml:space="preserve">AYODELE ADEBAY0</w:t>
      </w:r>
    </w:p>
    <w:p>
      <w:pPr>
        <w:spacing w:before="0" w:after="0" w:line="28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DALLAS, TX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(215) 317-2925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Ayodele_abc@yahoo.com</w:t>
      </w:r>
    </w:p>
    <w:p>
      <w:pPr>
        <w:spacing w:before="0" w:after="0" w:line="288"/>
        <w:ind w:right="0" w:left="0" w:firstLine="0"/>
        <w:jc w:val="center"/>
        <w:rPr>
          <w:rFonts w:ascii="Calibri" w:hAnsi="Calibri" w:cs="Calibri" w:eastAsia="Calibri"/>
          <w:b/>
          <w:color w:val="262626"/>
          <w:spacing w:val="48"/>
          <w:position w:val="0"/>
          <w:sz w:val="32"/>
          <w:shd w:fill="EFEBF5" w:val="clear"/>
        </w:rPr>
      </w:pPr>
      <w:r>
        <w:rPr>
          <w:rFonts w:ascii="Calibri" w:hAnsi="Calibri" w:cs="Calibri" w:eastAsia="Calibri"/>
          <w:b/>
          <w:color w:val="262626"/>
          <w:spacing w:val="48"/>
          <w:position w:val="0"/>
          <w:sz w:val="32"/>
          <w:shd w:fill="EFEBF5" w:val="clear"/>
        </w:rPr>
        <w:t xml:space="preserve">PROFILE SUMMARY</w:t>
      </w:r>
    </w:p>
    <w:p>
      <w:pPr>
        <w:spacing w:before="0" w:after="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Results-driven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AML Compliance Analy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st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 with 8 + years of experience detecting, investigating, and preventing financial crime. Expertise in BSA/AML, OFAC, and FinCEN compliance, conducting in-depth case investigations, drafting SARs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and managing EDD/KYC for high-risk clients. Proven record of reducing false positives, ensuring zero audit findings, and enhancing fraud detection across domestic and international transactions. Adept in Actimize, Verafin, Salesforce, World-Check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and other AML platforms.</w:t>
      </w:r>
    </w:p>
    <w:p>
      <w:pPr>
        <w:spacing w:before="0" w:after="0" w:line="288"/>
        <w:ind w:right="0" w:left="0" w:firstLine="0"/>
        <w:jc w:val="center"/>
        <w:rPr>
          <w:rFonts w:ascii="Calibri" w:hAnsi="Calibri" w:cs="Calibri" w:eastAsia="Calibri"/>
          <w:b/>
          <w:color w:val="262626"/>
          <w:spacing w:val="48"/>
          <w:position w:val="0"/>
          <w:sz w:val="28"/>
          <w:shd w:fill="EFEBF5" w:val="clear"/>
        </w:rPr>
      </w:pPr>
      <w:r>
        <w:rPr>
          <w:rFonts w:ascii="Calibri" w:hAnsi="Calibri" w:cs="Calibri" w:eastAsia="Calibri"/>
          <w:b/>
          <w:color w:val="262626"/>
          <w:spacing w:val="48"/>
          <w:position w:val="0"/>
          <w:sz w:val="28"/>
          <w:shd w:fill="EFEBF5" w:val="clear"/>
        </w:rPr>
        <w:t xml:space="preserve">EXPERIENCE</w:t>
      </w:r>
    </w:p>
    <w:p>
      <w:pPr>
        <w:keepNext w:val="true"/>
        <w:keepLines w:val="true"/>
        <w:spacing w:before="0" w:after="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Frost Bank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Austin, TX (Remote)</w:t>
      </w:r>
    </w:p>
    <w:p>
      <w:pPr>
        <w:spacing w:before="0" w:after="0" w:line="288"/>
        <w:ind w:right="0" w:left="0" w:firstLine="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  <w:t xml:space="preserve">AML Compliance &amp; Enterprise Risk Consultant | Jan 2023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  <w:t xml:space="preserve"> Present</w:t>
      </w:r>
    </w:p>
    <w:p>
      <w:pPr>
        <w:numPr>
          <w:ilvl w:val="0"/>
          <w:numId w:val="7"/>
        </w:numPr>
        <w:spacing w:before="0" w:after="0" w:line="288"/>
        <w:ind w:right="0" w:left="720" w:hanging="36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Investigate and resolve 250 + flagged transactions monthly, identifying suspicious activity patterns in wire, ACH, and international transfers.</w:t>
      </w:r>
    </w:p>
    <w:p>
      <w:pPr>
        <w:numPr>
          <w:ilvl w:val="0"/>
          <w:numId w:val="7"/>
        </w:numPr>
        <w:spacing w:before="0" w:after="0" w:line="288"/>
        <w:ind w:right="0" w:left="720" w:hanging="36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Prepare and file SARs to FinCEN with detailed narratives supporting regulatory reviews.</w:t>
      </w:r>
    </w:p>
    <w:p>
      <w:pPr>
        <w:numPr>
          <w:ilvl w:val="0"/>
          <w:numId w:val="7"/>
        </w:numPr>
        <w:spacing w:before="0" w:after="0" w:line="288"/>
        <w:ind w:right="0" w:left="720" w:hanging="36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Conduct EDD for high-risk entities, including PEPs, MSBs, and foreign nationals, using World-Check, CLEAR, and open-source intelligence.</w:t>
      </w:r>
    </w:p>
    <w:p>
      <w:pPr>
        <w:numPr>
          <w:ilvl w:val="0"/>
          <w:numId w:val="7"/>
        </w:numPr>
        <w:spacing w:before="0" w:after="0" w:line="288"/>
        <w:ind w:right="0" w:left="720" w:hanging="36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Performed transaction monitoring analysis to detect structuring, layering, and potential sanctions evasion.</w:t>
      </w:r>
    </w:p>
    <w:p>
      <w:pPr>
        <w:numPr>
          <w:ilvl w:val="0"/>
          <w:numId w:val="7"/>
        </w:numPr>
        <w:spacing w:before="0" w:after="0" w:line="288"/>
        <w:ind w:right="0" w:left="720" w:hanging="36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Improved workflow efficiency by 25 % by redesigning alert escalation procedures in Actimize and Salesforce.</w:t>
      </w:r>
    </w:p>
    <w:p>
      <w:pPr>
        <w:numPr>
          <w:ilvl w:val="0"/>
          <w:numId w:val="7"/>
        </w:numPr>
        <w:spacing w:before="0" w:after="0" w:line="288"/>
        <w:ind w:right="0" w:left="720" w:hanging="36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Supported OCC audits with zero compliance findings through strong documentation and process alignment.</w:t>
      </w:r>
    </w:p>
    <w:p>
      <w:pPr>
        <w:numPr>
          <w:ilvl w:val="0"/>
          <w:numId w:val="7"/>
        </w:numPr>
        <w:spacing w:before="0" w:after="0" w:line="288"/>
        <w:ind w:right="0" w:left="720" w:hanging="36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Delivered AML refresher training to business partners to strengthen compliance awareness.</w:t>
      </w:r>
    </w:p>
    <w:p>
      <w:pPr>
        <w:keepNext w:val="true"/>
        <w:keepLines w:val="true"/>
        <w:spacing w:before="0" w:after="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Axos One Bank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New York, NY (Remote)</w:t>
      </w:r>
    </w:p>
    <w:p>
      <w:pPr>
        <w:spacing w:before="0" w:after="0" w:line="28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FIU Analyst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AML Compliance | Jan 2020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Dec 2022</w:t>
      </w:r>
    </w:p>
    <w:p>
      <w:pPr>
        <w:numPr>
          <w:ilvl w:val="0"/>
          <w:numId w:val="10"/>
        </w:numPr>
        <w:spacing w:before="0" w:after="0" w:line="288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Monitored domestic and international activity via Actimize, detecting typologies tied to structuring and layering.</w:t>
      </w:r>
    </w:p>
    <w:p>
      <w:pPr>
        <w:numPr>
          <w:ilvl w:val="0"/>
          <w:numId w:val="10"/>
        </w:numPr>
        <w:spacing w:before="0" w:after="0" w:line="288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Investigated over 250 + high-risk accounts and filed 50 + SARs, ensuring accuracy and regulatory compliance.</w:t>
      </w:r>
    </w:p>
    <w:p>
      <w:pPr>
        <w:numPr>
          <w:ilvl w:val="0"/>
          <w:numId w:val="10"/>
        </w:numPr>
        <w:spacing w:before="0" w:after="0" w:line="288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Identified complex laundering schemes exceeding $10 M + in cross-border activity; escalated 40 + cases to Fraud &amp; Legal.</w:t>
      </w:r>
    </w:p>
    <w:p>
      <w:pPr>
        <w:numPr>
          <w:ilvl w:val="0"/>
          <w:numId w:val="10"/>
        </w:numPr>
        <w:spacing w:before="0" w:after="0" w:line="288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Conducted KYC onboarding and EDD reviews for foreign correspondent banks and financial institutions.</w:t>
      </w:r>
    </w:p>
    <w:p>
      <w:pPr>
        <w:numPr>
          <w:ilvl w:val="0"/>
          <w:numId w:val="10"/>
        </w:numPr>
        <w:spacing w:before="0" w:after="0" w:line="288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Collaborated with OFAC and Sanctions teams on high-priority escalations to prevent potential violations.</w:t>
      </w:r>
    </w:p>
    <w:p>
      <w:pPr>
        <w:numPr>
          <w:ilvl w:val="0"/>
          <w:numId w:val="10"/>
        </w:numPr>
        <w:spacing w:before="0" w:after="0" w:line="288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Assisted audit and regulatory exams by providing complete, audit-ready documentation packages.</w:t>
      </w:r>
    </w:p>
    <w:p>
      <w:pPr>
        <w:numPr>
          <w:ilvl w:val="0"/>
          <w:numId w:val="10"/>
        </w:numPr>
        <w:spacing w:before="0" w:after="0" w:line="288"/>
        <w:ind w:right="0" w:left="720" w:hanging="36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Mentored junior analysts on red-flag detection and case documentation standards.</w:t>
      </w:r>
    </w:p>
    <w:p>
      <w:pPr>
        <w:keepNext w:val="true"/>
        <w:keepLines w:val="true"/>
        <w:spacing w:before="0" w:after="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Skye Bank / Polaris Bank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Lagos, Nigeria</w:t>
      </w:r>
    </w:p>
    <w:p>
      <w:pPr>
        <w:spacing w:before="0" w:after="0" w:line="288"/>
        <w:ind w:right="0" w:left="0" w:firstLine="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  <w:t xml:space="preserve">EDD &amp; Risk Analyst | Jan 2015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  <w:t xml:space="preserve"> Dec 2019</w:t>
      </w:r>
    </w:p>
    <w:p>
      <w:pPr>
        <w:numPr>
          <w:ilvl w:val="0"/>
          <w:numId w:val="13"/>
        </w:numPr>
        <w:spacing w:before="0" w:after="0" w:line="288"/>
        <w:ind w:right="0" w:left="720" w:hanging="36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Performed CDD and EDD for corporate and retail clients, including politically exposed persons (PEPs).</w:t>
      </w:r>
    </w:p>
    <w:p>
      <w:pPr>
        <w:numPr>
          <w:ilvl w:val="0"/>
          <w:numId w:val="13"/>
        </w:numPr>
        <w:spacing w:before="0" w:after="0" w:line="288"/>
        <w:ind w:right="0" w:left="720" w:hanging="36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Supported remediation projects to update legacy KYC files and ensure adherence to FATF and BSA/AML guidelines.</w:t>
      </w:r>
    </w:p>
    <w:p>
      <w:pPr>
        <w:numPr>
          <w:ilvl w:val="0"/>
          <w:numId w:val="13"/>
        </w:numPr>
        <w:spacing w:before="0" w:after="0" w:line="288"/>
        <w:ind w:right="0" w:left="720" w:hanging="36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Investigated unusual account activity and collaborated with Compliance Officers to escalate potential SAR cases.</w:t>
      </w:r>
    </w:p>
    <w:p>
      <w:pPr>
        <w:numPr>
          <w:ilvl w:val="0"/>
          <w:numId w:val="13"/>
        </w:numPr>
        <w:spacing w:before="0" w:after="0" w:line="288"/>
        <w:ind w:right="0" w:left="720" w:hanging="36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Partnered with Internal Audit during risk reviews to strengthen monitoring controls and close KYC gaps.</w:t>
      </w:r>
    </w:p>
    <w:p>
      <w:pPr>
        <w:spacing w:before="0" w:after="0" w:line="288"/>
        <w:ind w:right="0" w:left="0" w:firstLine="0"/>
        <w:jc w:val="center"/>
        <w:rPr>
          <w:rFonts w:ascii="Calibri" w:hAnsi="Calibri" w:cs="Calibri" w:eastAsia="Calibri"/>
          <w:b/>
          <w:color w:val="262626"/>
          <w:spacing w:val="48"/>
          <w:position w:val="0"/>
          <w:sz w:val="28"/>
          <w:shd w:fill="EFEBF5" w:val="clear"/>
        </w:rPr>
      </w:pPr>
      <w:r>
        <w:rPr>
          <w:rFonts w:ascii="Calibri" w:hAnsi="Calibri" w:cs="Calibri" w:eastAsia="Calibri"/>
          <w:b/>
          <w:color w:val="262626"/>
          <w:spacing w:val="48"/>
          <w:position w:val="0"/>
          <w:sz w:val="28"/>
          <w:shd w:fill="EFEBF5" w:val="clear"/>
        </w:rPr>
        <w:t xml:space="preserve">SKILLS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AML &amp; Compliance: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 Anti-Money Laundering Investigations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KYC/EDD/CDD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SAR Drafting &amp; Filing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Fraud Detection (Credit, Wire, ACH, Check)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Transaction Monitoring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Sanctions Screening (OFAC, 314 a/b, SDN)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Regulatory Compliance (BSA/AML, FinCEN, Reg E, Reg Z)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Audit Preparation (OCC, Internal)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Tools &amp; Platforms: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 Actimize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Verafin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Salesforce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World-Check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CLEAR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OpenCorporates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FinCEN Portals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Microsoft Excel (Advanced)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PowerPoint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Word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Internal TM and Watchlist Systems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Core Strengths: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 Analytical Thinking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Pattern Recognition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Anomaly Detection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Cross-Functional Collaboration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Documentation &amp; Reporting Accuracy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Adaptability in Remote Environments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Communication &amp; Mentoring</w:t>
      </w:r>
    </w:p>
    <w:p>
      <w:pPr>
        <w:spacing w:before="0" w:after="0" w:line="288"/>
        <w:ind w:right="0" w:left="0" w:firstLine="0"/>
        <w:jc w:val="center"/>
        <w:rPr>
          <w:rFonts w:ascii="Calibri" w:hAnsi="Calibri" w:cs="Calibri" w:eastAsia="Calibri"/>
          <w:b/>
          <w:color w:val="262626"/>
          <w:spacing w:val="48"/>
          <w:position w:val="0"/>
          <w:sz w:val="28"/>
          <w:shd w:fill="EFEBF5" w:val="clear"/>
        </w:rPr>
      </w:pPr>
      <w:r>
        <w:rPr>
          <w:rFonts w:ascii="Calibri" w:hAnsi="Calibri" w:cs="Calibri" w:eastAsia="Calibri"/>
          <w:b/>
          <w:color w:val="262626"/>
          <w:spacing w:val="48"/>
          <w:position w:val="0"/>
          <w:sz w:val="28"/>
          <w:shd w:fill="EFEBF5" w:val="clear"/>
        </w:rPr>
        <w:t xml:space="preserve">EDUCATION</w:t>
      </w:r>
    </w:p>
    <w:p>
      <w:pPr>
        <w:spacing w:before="0" w:after="0" w:line="288"/>
        <w:ind w:right="0" w:left="0" w:firstLine="0"/>
        <w:jc w:val="left"/>
        <w:rPr>
          <w:rFonts w:ascii="Calibri" w:hAnsi="Calibri" w:cs="Calibri" w:eastAsia="Calibri"/>
          <w:b/>
          <w:color w:val="595959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595959"/>
          <w:spacing w:val="0"/>
          <w:position w:val="0"/>
          <w:sz w:val="22"/>
          <w:shd w:fill="auto" w:val="clear"/>
        </w:rPr>
        <w:t xml:space="preserve">Bachelor of Science in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Banking and Finance</w:t>
      </w:r>
      <w:r>
        <w:rPr>
          <w:rFonts w:ascii="Calibri" w:hAnsi="Calibri" w:cs="Calibri" w:eastAsia="Calibri"/>
          <w:b/>
          <w:color w:val="595959"/>
          <w:spacing w:val="0"/>
          <w:position w:val="0"/>
          <w:sz w:val="22"/>
          <w:shd w:fill="auto" w:val="clear"/>
        </w:rPr>
        <w:t xml:space="preserve"> |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University of Ado Ekiti, Nigeria</w:t>
      </w:r>
      <w:r>
        <w:rPr>
          <w:rFonts w:ascii="Calibri" w:hAnsi="Calibri" w:cs="Calibri" w:eastAsia="Calibri"/>
          <w:b/>
          <w:color w:val="595959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8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Sept 2007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June 2013</w:t>
      </w:r>
    </w:p>
    <w:p>
      <w:pPr>
        <w:spacing w:before="0" w:after="260" w:line="288"/>
        <w:ind w:right="0" w:left="0" w:firstLine="0"/>
        <w:jc w:val="left"/>
        <w:rPr>
          <w:rFonts w:ascii="Calibri" w:hAnsi="Calibri" w:cs="Calibri" w:eastAsia="Calibri"/>
          <w:color w:val="595959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7">
    <w:abstractNumId w:val="12"/>
  </w:num>
  <w:num w:numId="10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