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19" w:line="240" w:lineRule="auto"/>
        <w:ind w:left="3462" w:right="3463" w:firstLine="0"/>
        <w:jc w:val="center"/>
        <w:rPr>
          <w:color w:val="767672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ajayilolar@gmail.com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1760538</wp:posOffset>
                </wp:positionH>
                <wp:positionV relativeFrom="paragraph">
                  <wp:posOffset>-461959</wp:posOffset>
                </wp:positionV>
                <wp:extent cx="2642870" cy="645795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034090" y="3466628"/>
                          <a:ext cx="2623820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69.00000095367432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333333"/>
                                <w:sz w:val="61"/>
                                <w:vertAlign w:val="baseline"/>
                              </w:rPr>
                              <w:t xml:space="preserve">   Lolade Ajayi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1760538</wp:posOffset>
                </wp:positionH>
                <wp:positionV relativeFrom="paragraph">
                  <wp:posOffset>-461959</wp:posOffset>
                </wp:positionV>
                <wp:extent cx="2642870" cy="6457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2870" cy="6457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19" w:line="240" w:lineRule="auto"/>
        <w:ind w:left="3462" w:right="3463" w:firstLine="0"/>
        <w:jc w:val="center"/>
        <w:rPr>
          <w:color w:val="000000"/>
          <w:sz w:val="24"/>
          <w:szCs w:val="24"/>
        </w:rPr>
      </w:pPr>
      <w:r w:rsidDel="00000000" w:rsidR="00000000" w:rsidRPr="00000000">
        <w:rPr>
          <w:color w:val="767672"/>
          <w:sz w:val="24"/>
          <w:szCs w:val="24"/>
          <w:rtl w:val="0"/>
        </w:rPr>
        <w:t xml:space="preserve"> (678)-756-8389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74" w:line="240" w:lineRule="auto"/>
        <w:ind w:left="3462" w:right="3463" w:firstLine="0"/>
        <w:rPr>
          <w:color w:val="767672"/>
          <w:sz w:val="24"/>
          <w:szCs w:val="24"/>
        </w:rPr>
      </w:pPr>
      <w:r w:rsidDel="00000000" w:rsidR="00000000" w:rsidRPr="00000000">
        <w:rPr>
          <w:color w:val="767672"/>
          <w:sz w:val="24"/>
          <w:szCs w:val="24"/>
          <w:rtl w:val="0"/>
        </w:rPr>
        <w:t xml:space="preserve">            Atlanta GA</w:t>
      </w:r>
    </w:p>
    <w:p w:rsidR="00000000" w:rsidDel="00000000" w:rsidP="00000000" w:rsidRDefault="00000000" w:rsidRPr="00000000" w14:paraId="00000004">
      <w:pPr>
        <w:pStyle w:val="Heading1"/>
        <w:ind w:right="3450" w:firstLine="112"/>
        <w:rPr>
          <w:b w:val="1"/>
          <w:color w:val="33333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ind w:right="3450" w:firstLine="112"/>
        <w:rPr>
          <w:b w:val="1"/>
          <w:color w:val="333333"/>
        </w:rPr>
      </w:pPr>
      <w:r w:rsidDel="00000000" w:rsidR="00000000" w:rsidRPr="00000000">
        <w:rPr>
          <w:b w:val="1"/>
          <w:color w:val="333333"/>
          <w:rtl w:val="0"/>
        </w:rPr>
        <w:t xml:space="preserve">PROFESSIONAL SUMMARY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-233360</wp:posOffset>
                </wp:positionH>
                <wp:positionV relativeFrom="paragraph">
                  <wp:posOffset>287338</wp:posOffset>
                </wp:positionV>
                <wp:extent cx="6377940" cy="32385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166555" y="3773333"/>
                          <a:ext cx="6358890" cy="13335"/>
                        </a:xfrm>
                        <a:prstGeom prst="rect">
                          <a:avLst/>
                        </a:prstGeom>
                        <a:solidFill>
                          <a:srgbClr val="333333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-233360</wp:posOffset>
                </wp:positionH>
                <wp:positionV relativeFrom="paragraph">
                  <wp:posOffset>287338</wp:posOffset>
                </wp:positionV>
                <wp:extent cx="6377940" cy="32385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77940" cy="3238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8" w:line="266" w:lineRule="auto"/>
        <w:ind w:left="112" w:right="32" w:firstLine="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Seasoned AML and financial Crime Investigator with nearly a decade of experience conducting complex investigations, preparing SARs/ STRs, and ensuring compliance with regulatory requirements and standards. I am skilled in transaction monitoring, KYC/EDD/CDD, mitigating financial crime risks, consistently delivering high-quality results, and surpassing production goals.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8" w:line="266" w:lineRule="auto"/>
        <w:ind w:left="112" w:right="32" w:firstLine="0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128" w:line="266" w:lineRule="auto"/>
        <w:ind w:left="112" w:right="32" w:firstLine="0"/>
        <w:rPr>
          <w:color w:val="333333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Knowledge of Bank Secrecy Act (BSA), Anti-Money Laundering (AML) regulations, and Office of Foreign Assets Control (OFAC)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Proficient in using transactional monitoring systems to detect and analyze suspicious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analytical skills for evaluating transaction data, with a detailed narrative to support findings.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experienced in enhancing processes to improve efficiency and consistency across the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3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Strong communication skills for collaborating with cross-functional teams and providing insights on compliance issues.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36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 am also experienced in working as a QA. I ensure reviews are mitigated accurately, regulatory requirements and internal policies are followed.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PROFESSIONAL EXPERIENCE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Motion Recruitment</w:t>
      </w:r>
      <w:r w:rsidDel="00000000" w:rsidR="00000000" w:rsidRPr="00000000">
        <w:rPr>
          <w:b w:val="1"/>
          <w:sz w:val="24"/>
          <w:szCs w:val="24"/>
          <w:rtl w:val="0"/>
        </w:rPr>
        <w:t xml:space="preserve"> - Intuit (Contract)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                                                           July 2025 – Present</w:t>
      </w:r>
    </w:p>
    <w:p w:rsidR="00000000" w:rsidDel="00000000" w:rsidP="00000000" w:rsidRDefault="00000000" w:rsidRPr="00000000" w14:paraId="000000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Risk Analyst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 Enhanced Due Diligence (EDD) and Client Due Diligence (CDD) screenings on high-risk profiles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Running advanced profile searches, Know Your Customer (KYC) and Know Your Business (KYB) using Actimize, Lexis Nexis, Tax port, RMS, and GuideStar.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Facilitate the preparation for audits and assist in investigations where required.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KPMG </w:t>
        <w:tab/>
        <w:tab/>
        <w:tab/>
        <w:tab/>
        <w:t xml:space="preserve">                                                             February 2024 – July 2025  </w:t>
      </w:r>
    </w:p>
    <w:p w:rsidR="00000000" w:rsidDel="00000000" w:rsidP="00000000" w:rsidRDefault="00000000" w:rsidRPr="00000000" w14:paraId="0000001E">
      <w:pPr>
        <w:widowControl w:val="0"/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Brokerage Analyst</w:t>
      </w:r>
    </w:p>
    <w:p w:rsidR="00000000" w:rsidDel="00000000" w:rsidP="00000000" w:rsidRDefault="00000000" w:rsidRPr="00000000" w14:paraId="0000001F">
      <w:pPr>
        <w:widowControl w:val="0"/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                                    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Analyzed clients' transactional behavior following respective alerts generated, which range from a change in behavior, high-risk transactions, and funds transfer without a corresponding trade. 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Performed quality assurance on reviewed cases and team training to ensure compliance with regulatory and the firm’s standards. 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 and make SAR/Non-SAR decisions based on transactional data and investigation findings.</w:t>
      </w:r>
    </w:p>
    <w:p w:rsidR="00000000" w:rsidDel="00000000" w:rsidP="00000000" w:rsidRDefault="00000000" w:rsidRPr="00000000" w14:paraId="0000002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Transaction Monitoring Analyst     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thorough AML investigations, ensuring accuracy and compliance with regulatory requirements.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5"/>
        </w:numPr>
        <w:spacing w:after="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Make SAR/Non-SAR decisions, ensuring timely and accurate filings in accordance with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5"/>
        </w:numPr>
        <w:spacing w:after="240" w:line="240" w:lineRule="auto"/>
        <w:ind w:left="72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Perform reviews of AML protocols such as OFAC, CIP, and KYC to ensure compliance during audits.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65" w:line="217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ind w:left="720" w:firstLine="0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Goldman Sachs &amp; Co.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Transaction Surveillance Group Compliance </w:t>
      </w:r>
      <w:r w:rsidDel="00000000" w:rsidR="00000000" w:rsidRPr="00000000">
        <w:rPr>
          <w:b w:val="1"/>
          <w:sz w:val="24"/>
          <w:szCs w:val="24"/>
          <w:rtl w:val="0"/>
        </w:rPr>
        <w:t xml:space="preserve">                               </w:t>
      </w: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April 2021 – February 2022</w:t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both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6"/>
        </w:numPr>
        <w:tabs>
          <w:tab w:val="left" w:leader="none" w:pos="511"/>
        </w:tabs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Investigate and make SAR/Non-SAR decisions based on transactional data and trends related to money laundering and terrorist financing.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6"/>
        </w:numPr>
        <w:tabs>
          <w:tab w:val="left" w:leader="none" w:pos="511"/>
        </w:tabs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Ensured reviews and associated processes are completed promptly through strong organization and project management skills</w:t>
      </w:r>
    </w:p>
    <w:p w:rsidR="00000000" w:rsidDel="00000000" w:rsidP="00000000" w:rsidRDefault="00000000" w:rsidRPr="00000000" w14:paraId="0000002F">
      <w:pPr>
        <w:widowControl w:val="0"/>
        <w:numPr>
          <w:ilvl w:val="0"/>
          <w:numId w:val="6"/>
        </w:numPr>
        <w:tabs>
          <w:tab w:val="left" w:leader="none" w:pos="511"/>
        </w:tabs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 negative news screenings and assess risks associated with clients in high-risk jurisdictions, elevated financial crimes, and/or compliance with clients with complex profiles such as correspondent relationships. </w:t>
      </w:r>
    </w:p>
    <w:p w:rsidR="00000000" w:rsidDel="00000000" w:rsidP="00000000" w:rsidRDefault="00000000" w:rsidRPr="00000000" w14:paraId="00000030">
      <w:pPr>
        <w:widowControl w:val="0"/>
        <w:numPr>
          <w:ilvl w:val="0"/>
          <w:numId w:val="6"/>
        </w:numPr>
        <w:tabs>
          <w:tab w:val="left" w:leader="none" w:pos="511"/>
        </w:tabs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Review system-generated alerts and support compliance by adhering to AML laws, including OFAC, CIP, and KYC.</w:t>
      </w:r>
    </w:p>
    <w:p w:rsidR="00000000" w:rsidDel="00000000" w:rsidP="00000000" w:rsidRDefault="00000000" w:rsidRPr="00000000" w14:paraId="00000031">
      <w:pPr>
        <w:widowControl w:val="0"/>
        <w:numPr>
          <w:ilvl w:val="0"/>
          <w:numId w:val="6"/>
        </w:numPr>
        <w:tabs>
          <w:tab w:val="left" w:leader="none" w:pos="511"/>
        </w:tabs>
        <w:spacing w:after="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Collaborate with stakeholders to clarify transaction details and ensure compliance with the USA PATRIOT Act.</w:t>
      </w:r>
    </w:p>
    <w:p w:rsidR="00000000" w:rsidDel="00000000" w:rsidP="00000000" w:rsidRDefault="00000000" w:rsidRPr="00000000" w14:paraId="0000003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511"/>
        </w:tabs>
        <w:spacing w:after="0" w:line="240" w:lineRule="auto"/>
        <w:ind w:left="36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511"/>
        </w:tabs>
        <w:jc w:val="both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SQUARE</w:t>
      </w:r>
    </w:p>
    <w:p w:rsidR="00000000" w:rsidDel="00000000" w:rsidP="00000000" w:rsidRDefault="00000000" w:rsidRPr="00000000" w14:paraId="00000035">
      <w:pPr>
        <w:tabs>
          <w:tab w:val="left" w:leader="none" w:pos="511"/>
        </w:tabs>
        <w:jc w:val="both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Senior Associate Analyst II</w:t>
      </w:r>
    </w:p>
    <w:p w:rsidR="00000000" w:rsidDel="00000000" w:rsidP="00000000" w:rsidRDefault="00000000" w:rsidRPr="00000000" w14:paraId="00000036">
      <w:pPr>
        <w:tabs>
          <w:tab w:val="left" w:leader="none" w:pos="511"/>
        </w:tabs>
        <w:spacing w:after="0" w:line="240" w:lineRule="auto"/>
        <w:jc w:val="righ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 July 2020 – April 2021</w:t>
      </w:r>
    </w:p>
    <w:p w:rsidR="00000000" w:rsidDel="00000000" w:rsidP="00000000" w:rsidRDefault="00000000" w:rsidRPr="00000000" w14:paraId="00000037">
      <w:pPr>
        <w:widowControl w:val="0"/>
        <w:numPr>
          <w:ilvl w:val="0"/>
          <w:numId w:val="3"/>
        </w:numPr>
        <w:tabs>
          <w:tab w:val="left" w:leader="none" w:pos="511"/>
        </w:tabs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Conducted enhanced due diligence (EDD) reviews, ensuring effective identification and escalation of compliance risks.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tabs>
          <w:tab w:val="left" w:leader="none" w:pos="511"/>
        </w:tabs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Performed enhanced due diligence on high-risk customers, counterparties, and cases involving peer-to-peer and digital assets transactions, ensuring compliance with the US Patriot Act, BSA, OFAC, and FINCEN regulations.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tabs>
          <w:tab w:val="left" w:leader="none" w:pos="511"/>
        </w:tabs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Monitor Blockchain transactions using investigative tools such as Chainalysis, Elliptic, and Know Your Transaction (KYT) tools for potential red flags.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tabs>
          <w:tab w:val="left" w:leader="none" w:pos="511"/>
        </w:tabs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Contribute to policy development, implement permanent control policies, and ensure efficient service processing.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tabs>
          <w:tab w:val="left" w:leader="none" w:pos="511"/>
        </w:tabs>
        <w:spacing w:after="0" w:line="240" w:lineRule="auto"/>
        <w:ind w:left="36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Prepare and file suspicious activity report (SAR) in line with regulatory requirements.</w:t>
      </w:r>
    </w:p>
    <w:p w:rsidR="00000000" w:rsidDel="00000000" w:rsidP="00000000" w:rsidRDefault="00000000" w:rsidRPr="00000000" w14:paraId="0000003C">
      <w:pPr>
        <w:widowControl w:val="0"/>
        <w:tabs>
          <w:tab w:val="left" w:leader="none" w:pos="511"/>
        </w:tabs>
        <w:spacing w:after="0" w:line="240" w:lineRule="auto"/>
        <w:ind w:left="36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Travelex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Senior Compliance/Risk Analyst II  </w:t>
      </w:r>
    </w:p>
    <w:p w:rsidR="00000000" w:rsidDel="00000000" w:rsidP="00000000" w:rsidRDefault="00000000" w:rsidRPr="00000000" w14:paraId="0000004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July 2019– June 2020</w:t>
      </w:r>
    </w:p>
    <w:p w:rsidR="00000000" w:rsidDel="00000000" w:rsidP="00000000" w:rsidRDefault="00000000" w:rsidRPr="00000000" w14:paraId="00000041">
      <w:pPr>
        <w:widowControl w:val="0"/>
        <w:numPr>
          <w:ilvl w:val="0"/>
          <w:numId w:val="4"/>
        </w:numPr>
        <w:tabs>
          <w:tab w:val="left" w:leader="none" w:pos="511"/>
        </w:tabs>
        <w:spacing w:after="0" w:line="240" w:lineRule="auto"/>
        <w:ind w:left="36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Analyze complex datasets, presenting findings and recommendations to senior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4"/>
        </w:numPr>
        <w:tabs>
          <w:tab w:val="left" w:leader="none" w:pos="511"/>
        </w:tabs>
        <w:spacing w:after="0" w:line="240" w:lineRule="auto"/>
        <w:ind w:left="36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Perform KYC/AML/OFAC compliance reviews on clients and third parties, ensuring adherence to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4"/>
        </w:numPr>
        <w:tabs>
          <w:tab w:val="left" w:leader="none" w:pos="511"/>
        </w:tabs>
        <w:spacing w:after="0" w:line="240" w:lineRule="auto"/>
        <w:ind w:left="36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Escalate customer cases for further investigation, identifying potential AML/BSA violations.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numPr>
          <w:ilvl w:val="0"/>
          <w:numId w:val="4"/>
        </w:numPr>
        <w:tabs>
          <w:tab w:val="left" w:leader="none" w:pos="511"/>
        </w:tabs>
        <w:spacing w:after="0" w:line="240" w:lineRule="auto"/>
        <w:ind w:left="360" w:hanging="36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Monitor staff performance and guide the team to ensure timely and accurate compliance with expectations.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511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511"/>
        </w:tabs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Skye Bank PLC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AML and Compliance Analyst  </w:t>
      </w:r>
    </w:p>
    <w:p w:rsidR="00000000" w:rsidDel="00000000" w:rsidP="00000000" w:rsidRDefault="00000000" w:rsidRPr="00000000" w14:paraId="0000004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40" w:lineRule="auto"/>
        <w:jc w:val="right"/>
        <w:rPr>
          <w:b w:val="1"/>
          <w:color w:val="333333"/>
          <w:sz w:val="24"/>
          <w:szCs w:val="24"/>
        </w:rPr>
      </w:pPr>
      <w:r w:rsidDel="00000000" w:rsidR="00000000" w:rsidRPr="00000000">
        <w:rPr>
          <w:b w:val="1"/>
          <w:color w:val="333333"/>
          <w:sz w:val="24"/>
          <w:szCs w:val="24"/>
          <w:rtl w:val="0"/>
        </w:rPr>
        <w:t xml:space="preserve">February 2016 – September 2018</w:t>
      </w:r>
    </w:p>
    <w:p w:rsidR="00000000" w:rsidDel="00000000" w:rsidP="00000000" w:rsidRDefault="00000000" w:rsidRPr="00000000" w14:paraId="0000004A">
      <w:pPr>
        <w:widowControl w:val="0"/>
        <w:numPr>
          <w:ilvl w:val="0"/>
          <w:numId w:val="4"/>
        </w:numPr>
        <w:tabs>
          <w:tab w:val="left" w:leader="none" w:pos="511"/>
        </w:tabs>
        <w:spacing w:after="0" w:before="240" w:line="240" w:lineRule="auto"/>
        <w:ind w:left="3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Perform Enhanced Due Diligence (EDD) and Customer Due Diligence (CDD) investigations.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numPr>
          <w:ilvl w:val="0"/>
          <w:numId w:val="4"/>
        </w:numPr>
        <w:tabs>
          <w:tab w:val="left" w:leader="none" w:pos="511"/>
        </w:tabs>
        <w:spacing w:after="0" w:line="240" w:lineRule="auto"/>
        <w:ind w:left="3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File SARs in compliance with regulatory timelines and document suspicious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4"/>
        </w:numPr>
        <w:tabs>
          <w:tab w:val="left" w:leader="none" w:pos="511"/>
        </w:tabs>
        <w:spacing w:after="0" w:line="240" w:lineRule="auto"/>
        <w:ind w:left="3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Capture and analyze business requirements, ensuring accurate project documentation and stakeholder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4"/>
        </w:numPr>
        <w:tabs>
          <w:tab w:val="left" w:leader="none" w:pos="511"/>
        </w:tabs>
        <w:spacing w:after="240" w:line="240" w:lineRule="auto"/>
        <w:ind w:left="360" w:hanging="360"/>
        <w:rPr/>
      </w:pPr>
      <w:r w:rsidDel="00000000" w:rsidR="00000000" w:rsidRPr="00000000">
        <w:rPr>
          <w:sz w:val="24"/>
          <w:szCs w:val="24"/>
          <w:rtl w:val="0"/>
        </w:rPr>
        <w:t xml:space="preserve">Monitor aging cases, escalating issues as necessary to ensure timely resolution and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tabs>
          <w:tab w:val="left" w:leader="none" w:pos="511"/>
        </w:tabs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511"/>
        </w:tabs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EDUCATION</w:t>
      </w:r>
    </w:p>
    <w:p w:rsidR="00000000" w:rsidDel="00000000" w:rsidP="00000000" w:rsidRDefault="00000000" w:rsidRPr="00000000" w14:paraId="00000050">
      <w:pPr>
        <w:tabs>
          <w:tab w:val="left" w:leader="none" w:pos="511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Bachelor of Science, Sociology 2015</w:t>
      </w:r>
    </w:p>
    <w:p w:rsidR="00000000" w:rsidDel="00000000" w:rsidP="00000000" w:rsidRDefault="00000000" w:rsidRPr="00000000" w14:paraId="00000051">
      <w:pPr>
        <w:tabs>
          <w:tab w:val="left" w:leader="none" w:pos="511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CompTIA Sec+</w:t>
      </w:r>
    </w:p>
    <w:p w:rsidR="00000000" w:rsidDel="00000000" w:rsidP="00000000" w:rsidRDefault="00000000" w:rsidRPr="00000000" w14:paraId="00000052">
      <w:pPr>
        <w:tabs>
          <w:tab w:val="left" w:leader="none" w:pos="511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tabs>
          <w:tab w:val="left" w:leader="none" w:pos="511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511"/>
        </w:tabs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03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75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47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19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1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3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35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07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79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widowControl w:val="0"/>
      <w:spacing w:after="0" w:before="123" w:line="240" w:lineRule="auto"/>
      <w:ind w:left="112"/>
    </w:pPr>
    <w:rPr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20d6b18f-2e3a-4944-8c51-e882c3fe1e17</vt:lpwstr>
  </property>
</Properties>
</file>