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sz w:val="28"/>
          <w:szCs w:val="28"/>
          <w:lang w:val="en-IN"/>
        </w:rPr>
        <w:t xml:space="preserve">Vineesha Chowdary Voleti</w:t>
      </w:r>
      <w:r>
        <w:rPr>
          <w:sz w:val="28"/>
          <w:szCs w:val="28"/>
        </w:rPr>
        <w:br/>
      </w:r>
      <w:r>
        <w:rPr>
          <w:rFonts w:cs="Segoe UI Emoji"/>
          <w:sz w:val="22"/>
          <w:szCs w:val="22"/>
        </w:rPr>
        <w:t xml:space="preserve">Cloud Data Engineer</w:t>
      </w:r>
      <w:r>
        <w:rPr>
          <w:rFonts w:ascii="Segoe UI Emoji" w:hAnsi="Segoe UI Emoji" w:cs="Segoe UI Emoji"/>
          <w:sz w:val="22"/>
          <w:szCs w:val="22"/>
        </w:rPr>
        <w:t xml:space="preserve"> |</w:t>
      </w:r>
      <w:r>
        <w:rPr>
          <w:rFonts w:ascii="Segoe UI Emoji" w:hAnsi="Segoe UI Emoji" w:cs="Segoe UI Emoji"/>
          <w:sz w:val="22"/>
          <w:szCs w:val="22"/>
        </w:rPr>
        <w:t xml:space="preserve">| </w:t>
      </w:r>
      <w:r>
        <w:rPr>
          <w:rFonts w:ascii="Segoe UI Emoji" w:hAnsi="Segoe UI Emoji" w:cs="Segoe UI Emoji"/>
          <w:sz w:val="22"/>
          <w:szCs w:val="22"/>
        </w:rPr>
        <w:t xml:space="preserve">📞</w:t>
      </w:r>
      <w:r>
        <w:rPr>
          <w:rFonts w:ascii="Segoe UI Emoji" w:hAnsi="Segoe UI Emoji" w:cs="Segoe UI Emoji"/>
          <w:sz w:val="22"/>
          <w:szCs w:val="22"/>
        </w:rPr>
        <w:t xml:space="preserve">+1(646)-722-0211</w:t>
      </w:r>
      <w:r>
        <w:rPr>
          <w:rFonts w:ascii="Segoe UI Emoji" w:hAnsi="Segoe UI Emoji" w:cs="Segoe UI Emoji"/>
          <w:sz w:val="22"/>
          <w:szCs w:val="22"/>
        </w:rPr>
        <w:t xml:space="preserve"> || </w:t>
      </w:r>
      <w:hyperlink r:id="rId10" w:tooltip="mailto:vineeshachow.voleti@gmail.com" w:history="1">
        <w:r>
          <w:rPr>
            <w:rStyle w:val="907"/>
            <w:rFonts w:ascii="Segoe UI Emoji" w:hAnsi="Segoe UI Emoji" w:cs="Segoe UI Emoji"/>
            <w:sz w:val="22"/>
            <w:szCs w:val="22"/>
          </w:rPr>
          <w:t xml:space="preserve">vineeshachow.voleti@gmail.com</w:t>
        </w:r>
      </w:hyperlink>
      <w:r>
        <w:rPr>
          <w:rFonts w:ascii="Segoe UI Emoji" w:hAnsi="Segoe UI Emoji" w:cs="Segoe UI Emoji"/>
          <w:sz w:val="22"/>
          <w:szCs w:val="22"/>
        </w:rPr>
        <w:t xml:space="preserve"> || </w:t>
      </w:r>
      <w:r>
        <w:rPr>
          <w:rFonts w:ascii="Segoe UI Emoji" w:hAnsi="Segoe UI Emoji" w:cs="Segoe UI Emoji"/>
          <w:sz w:val="22"/>
          <w:szCs w:val="22"/>
        </w:rPr>
        <w:t xml:space="preserve"> </w:t>
      </w:r>
      <w:hyperlink r:id="rId11" w:tooltip="http://linkedin.com/in/vineesha-chowdary-voleti" w:history="1">
        <w:r>
          <w:rPr>
            <w:rStyle w:val="907"/>
            <w:rFonts w:ascii="Segoe UI Emoji" w:hAnsi="Segoe UI Emoji" w:cs="Segoe UI Emoji"/>
            <w:sz w:val="22"/>
            <w:szCs w:val="22"/>
          </w:rPr>
          <w:t xml:space="preserve">http://linkedin.com/in/vineesha-chowdary-voleti</w:t>
        </w:r>
      </w:hyperlink>
      <w:r>
        <w:rPr>
          <w:rFonts w:ascii="Segoe UI Emoji" w:hAnsi="Segoe UI Emoji" w:cs="Segoe UI Emoji"/>
          <w:sz w:val="22"/>
          <w:szCs w:val="22"/>
        </w:rPr>
        <w:t xml:space="preserve"> || Location </w:t>
      </w:r>
      <w:r>
        <w:rPr>
          <w:lang w:val="en-GB"/>
        </w:rPr>
        <w:t xml:space="preserve">– New Jersey</w:t>
      </w:r>
      <w:r>
        <w:br/>
      </w:r>
      <w:r>
        <w:rPr>
          <w:rFonts w:ascii="Times New Roman" w:hAnsi="Times New Roman" w:cs="Times New Roman"/>
          <w:b/>
          <w:bCs/>
        </w:rPr>
        <w:t xml:space="preserve">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br/>
      </w:r>
      <w:r>
        <w:rPr>
          <w:b/>
          <w:bCs/>
        </w:rPr>
        <w:t xml:space="preserve">PROFESSIONAL SUMMARY</w:t>
      </w:r>
      <w:r/>
    </w:p>
    <w:p>
      <w:pPr>
        <w:pStyle w:val="896"/>
        <w:numPr>
          <w:ilvl w:val="0"/>
          <w:numId w:val="2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Cloud Data Engineer with </w:t>
      </w:r>
      <w:r>
        <w:rPr>
          <w:sz w:val="22"/>
          <w:szCs w:val="22"/>
        </w:rPr>
        <w:t xml:space="preserve">4.5</w:t>
      </w:r>
      <w:r>
        <w:rPr>
          <w:sz w:val="22"/>
          <w:szCs w:val="22"/>
        </w:rPr>
        <w:t xml:space="preserve"> years of experience architecting enterprise data platforms processing 50M+ daily transactions across healthcare, retail, and financial services, reducing infrastructure costs by 40% through optimized Azure/AWS solutions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Multi-cloud specialist with production expertise in Azure (Data Factory, Synapse, SQL Database) and AWS (S3, RDS, EC2), managing petabyte-scale data lakes and streaming pipelines for Fortune 500 clients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ETL/ELT expert designing high-performance workflows using SSIS, Python, Kafka, and Hive, processing terabytes of pharmacy claims (2M+ records/hour) and financial market data with sub-second latency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BI architect delivering Power BI ecosystems (100+ dashboards), Tableau visualizations, and SSRS reporting that eliminated 80+ hours of weekly manual work while ensuring HIPAA, SOX, and GDPR compliance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2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DevOps practitioner implementing Azure DevOps CI/CD pipelines, enabling zero-downtime deployments and reducing deployment errors by 85%</w:t>
      </w:r>
      <w:r>
        <w:rPr>
          <w:sz w:val="22"/>
          <w:szCs w:val="22"/>
        </w:rPr>
        <w:br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TECHNICAL SKILLS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Cloud Platforms:</w:t>
      </w:r>
      <w:r>
        <w:rPr>
          <w:sz w:val="22"/>
          <w:szCs w:val="22"/>
        </w:rPr>
        <w:t xml:space="preserve"> Azure (Data Factory, Synapse Analytics, SQL Database, DevOps, Backup), AWS (S3, RDS, EC2, CloudWatch)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Data Engineering:</w:t>
      </w:r>
      <w:r>
        <w:rPr>
          <w:sz w:val="22"/>
          <w:szCs w:val="22"/>
        </w:rPr>
        <w:t xml:space="preserve"> ETL/ELT Pipelines, SSIS, Python, Apache Kafka, Apache Hive, Real-time Streaming, Data Lakes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Databases:</w:t>
      </w:r>
      <w:r>
        <w:rPr>
          <w:sz w:val="22"/>
          <w:szCs w:val="22"/>
        </w:rPr>
        <w:t xml:space="preserve"> SQL Server, Azure SQL Database, AWS RDS, Snowflake, Query Optimization, Stored Procedures, Indexing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Analytics &amp; BI:</w:t>
      </w:r>
      <w:r>
        <w:rPr>
          <w:sz w:val="22"/>
          <w:szCs w:val="22"/>
        </w:rPr>
        <w:t xml:space="preserve"> Power BI, Tableau, SSRS, Dashboard Development, Data Visualization, KPI Reporting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Programming:</w:t>
      </w:r>
      <w:r>
        <w:rPr>
          <w:sz w:val="22"/>
          <w:szCs w:val="22"/>
        </w:rPr>
        <w:t xml:space="preserve"> SQL, Python, T-SQL, Stored Procedures, Data Modeling (Star/Snowflake Schema)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DevOps &amp; Automation:</w:t>
      </w:r>
      <w:r>
        <w:rPr>
          <w:sz w:val="22"/>
          <w:szCs w:val="22"/>
        </w:rPr>
        <w:t xml:space="preserve"> Azure DevOps, CI/CD Pipelines, Infrastructure as Code, Automated Deployment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Data Governance:</w:t>
      </w:r>
      <w:r>
        <w:rPr>
          <w:sz w:val="22"/>
          <w:szCs w:val="22"/>
        </w:rPr>
        <w:t xml:space="preserve"> HIPAA Compliance, SOX Compliance, GDPR, Data Quality Validation, Security Policies</w:t>
      </w:r>
      <w:r>
        <w:rPr>
          <w:sz w:val="22"/>
          <w:szCs w:val="22"/>
        </w:rPr>
        <w:br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EXPERIENCE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/>
        <w:ind/>
        <w:rPr/>
      </w:pPr>
      <w:r>
        <w:rPr>
          <w:b/>
          <w:bCs/>
        </w:rPr>
        <w:t xml:space="preserve">Cloud Data Engineer </w:t>
      </w:r>
      <w:r>
        <w:rPr>
          <w:b/>
          <w:bCs/>
        </w:rPr>
        <w:br/>
      </w:r>
      <w:r>
        <w:rPr>
          <w:b/>
          <w:bCs/>
        </w:rPr>
        <w:t xml:space="preserve">Elevance Health </w:t>
      </w:r>
      <w:r>
        <w:rPr>
          <w:b/>
          <w:bCs/>
          <w:lang w:val="en-IN"/>
        </w:rPr>
        <w:t xml:space="preserve">–</w:t>
      </w:r>
      <w:r>
        <w:rPr>
          <w:b/>
          <w:bCs/>
          <w:lang w:val="en-IN"/>
        </w:rPr>
        <w:t xml:space="preserve"> </w:t>
      </w:r>
      <w:r>
        <w:rPr>
          <w:b/>
          <w:bCs/>
        </w:rPr>
        <w:t xml:space="preserve">Indianapolis, IN</w:t>
      </w:r>
      <w:r>
        <w:rPr>
          <w:b/>
          <w:bCs/>
          <w:lang w:val="en-IN"/>
        </w:rPr>
        <w:t xml:space="preserve">, </w:t>
      </w:r>
      <w:r>
        <w:rPr>
          <w:b/>
          <w:bCs/>
          <w:lang w:val="en-IN"/>
        </w:rPr>
        <w:t xml:space="preserve">Jan</w:t>
      </w:r>
      <w:r>
        <w:rPr>
          <w:b/>
          <w:bCs/>
          <w:i/>
          <w:iCs/>
        </w:rPr>
        <w:t xml:space="preserve"> 2024 - Present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t xml:space="preserve">Multi-State Health Plan Digital Transformation - Member Experience Enhancement</w:t>
      </w:r>
      <w:r/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Executed zero-downtime migration of 15TB legacy member systems to HIPAA-compliant Azure Cloud, ensuring continuous member portal access across 300+ provider locations during annual benefit enrollment periods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Built clinical data pipelines processing terabytes of member encounters, social determinants data, and provider quality metrics into Azure Health Data Services, supporting care management for 50M+ member interactions annually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Developed standardized healthcare ETL templates for clinical data integration across Medicaid, Medicare Advantage, and ACA marketplace programs, reducing new state expansion timelines by 25% while ensuring consistent member data quality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Configured Azure SQL Database clusters for member management with automated HIPAA-compliant backup/recovery, implementing read replicas for member portal queries and maintaining 99.9% uptime during open </w:t>
      </w:r>
      <w:r>
        <w:rPr>
          <w:sz w:val="22"/>
          <w:szCs w:val="22"/>
        </w:rPr>
        <w:t xml:space="preserve">enrolment.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Created member experience analytics using Power BI and Tableau, delivering real-time dashboards for member satisfaction scores, provider network adequacy, and care gap identification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enabling clinical teams to improve member outcomes within 2-hour response windows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Implemented healthcare fraud detection utilizing SQL triggers and Python ML algorithms to identify suspicious medical claims, reducing fraudulent provider billing by 40% and protecting $500K+ in member premium dollars annually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Established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clinical data validation framework ensuring 99.99% accuracy between legacy clinical systems and Azure cloud during member data migration, implementing automated alerts for critical health record discrepancies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Managed healthcare security architecture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configuring role-based access controls and PHI data masking across Azure environments, ensuring HIPAA Business Associate Agreement compliance for member health information protection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Automated clinical deployment processes through Azure DevOps with healthcare-specific testing protocols, reducing manual deployment time from 4 hours to 15 minutes while maintaining member data integrity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6"/>
        <w:numPr>
          <w:ilvl w:val="0"/>
          <w:numId w:val="5"/>
        </w:numPr>
        <w:pBdr>
          <w:bottom w:val="single" w:color="000000" w:sz="12" w:space="1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Optimized healthcare cloud costs through intelligent member data tiering and reserved instance strategies, achieving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30% reduction in cloud spending ($75K annual savings) while improving member portal performance</w:t>
      </w:r>
      <w:r>
        <w:rPr>
          <w:sz w:val="22"/>
          <w:szCs w:val="22"/>
        </w:rPr>
        <w:t xml:space="preserve">.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:b/>
          <w:bCs/>
          <w14:ligatures w14:val="none"/>
        </w:rPr>
      </w:pPr>
      <w:r>
        <w:rPr>
          <w:rFonts w:ascii="Calibri" w:hAnsi="Calibri" w:eastAsia="Times New Roman" w:cs="Calibri"/>
          <w:b/>
          <w:bCs/>
          <w14:ligatures w14:val="none"/>
        </w:rPr>
        <w:t xml:space="preserve">Cloud Data Engineer </w:t>
      </w:r>
      <w:r>
        <w:rPr>
          <w:rFonts w:ascii="Calibri" w:hAnsi="Calibri" w:eastAsia="Times New Roman" w:cs="Calibri"/>
          <w:b/>
          <w:bCs/>
          <w14:ligatures w14:val="none"/>
        </w:rPr>
        <w:br/>
      </w:r>
      <w:r>
        <w:rPr>
          <w:rFonts w:ascii="Calibri" w:hAnsi="Calibri" w:eastAsia="Times New Roman" w:cs="Calibri"/>
          <w:b/>
          <w:bCs/>
          <w14:ligatures w14:val="none"/>
        </w:rPr>
        <w:t xml:space="preserve">SUN TECH SOLUTIONS AND SERVICES PVT</w:t>
      </w:r>
      <w:r>
        <w:rPr>
          <w:rFonts w:ascii="Calibri" w:hAnsi="Calibri" w:eastAsia="Times New Roman" w:cs="Calibri"/>
          <w:b/>
          <w:bCs/>
          <w:lang w:val="en-IN"/>
          <w14:ligatures w14:val="none"/>
        </w:rPr>
        <w:t xml:space="preserve"> – </w:t>
      </w:r>
      <w:r>
        <w:rPr>
          <w:rFonts w:ascii="Calibri" w:hAnsi="Calibri" w:eastAsia="Times New Roman" w:cs="Calibri"/>
          <w:b/>
          <w:bCs/>
          <w14:ligatures w14:val="none"/>
        </w:rPr>
        <w:t xml:space="preserve">Chennai</w:t>
      </w:r>
      <w:r>
        <w:rPr>
          <w:rFonts w:ascii="Calibri" w:hAnsi="Calibri" w:eastAsia="Times New Roman" w:cs="Calibri"/>
          <w:b/>
          <w:bCs/>
          <w:lang w:val="en-IN"/>
          <w14:ligatures w14:val="none"/>
        </w:rPr>
        <w:t xml:space="preserve">, India, </w:t>
      </w:r>
      <w:r>
        <w:rPr>
          <w:rFonts w:ascii="Calibri" w:hAnsi="Calibri" w:eastAsia="Times New Roman" w:cs="Calibri"/>
          <w:b/>
          <w:bCs/>
          <w:i/>
          <w:iCs/>
          <w14:ligatures w14:val="none"/>
        </w:rPr>
        <w:t xml:space="preserve">Mar </w:t>
      </w:r>
      <w:r>
        <w:rPr>
          <w:rFonts w:ascii="Calibri" w:hAnsi="Calibri" w:eastAsia="Times New Roman" w:cs="Calibri"/>
          <w:b/>
          <w:bCs/>
          <w:i/>
          <w:iCs/>
          <w14:ligatures w14:val="none"/>
        </w:rPr>
        <w:t xml:space="preserve">2020 – Dec 2022</w:t>
      </w:r>
      <w:r>
        <w:rPr>
          <w:rFonts w:ascii="Calibri" w:hAnsi="Calibri" w:eastAsia="Times New Roman" w:cs="Calibri"/>
          <w:b/>
          <w:bCs/>
          <w14:ligatures w14:val="none"/>
        </w:rPr>
        <w:br/>
        <w:t xml:space="preserve">Multi-Cloud Retail Analytics Platform - Digital Transformation</w:t>
      </w:r>
      <w:r>
        <w:rPr>
          <w:rFonts w:ascii="Calibri" w:hAnsi="Calibri" w:eastAsia="Times New Roman" w:cs="Calibri"/>
          <w:b/>
          <w:bCs/>
          <w14:ligatures w14:val="none"/>
        </w:rPr>
      </w:r>
      <w:r>
        <w:rPr>
          <w:rFonts w:ascii="Calibri" w:hAnsi="Calibri" w:eastAsia="Times New Roman" w:cs="Calibri"/>
          <w:b/>
          <w:bCs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Executed zero-downtime migration of 15TB legacy retail systems to Azure Cloud and AWS S3, ensuring continuous operations across 300+ stores during Black Friday peak season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Built Python and Hive pipelines processing terabytes of POS transactions and customer data into </w:t>
      </w:r>
      <w:r>
        <w:rPr>
          <w:rFonts w:ascii="Calibri" w:hAnsi="Calibri" w:eastAsia="Times New Roman" w:cs="Calibri"/>
          <w14:ligatures w14:val="none"/>
        </w:rPr>
        <w:t xml:space="preserve">a </w:t>
      </w:r>
      <w:r>
        <w:rPr>
          <w:rFonts w:ascii="Calibri" w:hAnsi="Calibri" w:eastAsia="Times New Roman" w:cs="Calibri"/>
          <w14:ligatures w14:val="none"/>
        </w:rPr>
        <w:t xml:space="preserve">cloud data lake, supporting analytics for 50M+ profiles and $2B+ annual revenue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Developed reusable SSIS templates standardizing retail ETL development, reducing project timelines by 25% and ensuring consistent quality across business units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Configured Azure SQL Database and AWS RDS clusters with automated backup/recovery, implementing read replicas and maintaining 99.9% uptime during peak seasons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Created Power BI and Tableau analytics delivering real-time store KPIs and promotion tracking, enabling marketing teams to adjust campaigns within 2-hour windows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Implemented fraud detection system using SQL triggers and Python ML scripts, reducing fraudulent transactions by 40% and protecting $500K+ annually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Established data validation framework ensuring 99.99% accuracy between on-premises and cloud systems during migration, with automated discrepancy alerts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Managed enterprise security</w:t>
      </w:r>
      <w:r>
        <w:rPr>
          <w:rFonts w:ascii="Calibri" w:hAnsi="Calibri" w:eastAsia="Times New Roman" w:cs="Calibri"/>
          <w14:ligatures w14:val="none"/>
        </w:rPr>
        <w:t xml:space="preserve">,</w:t>
      </w:r>
      <w:r>
        <w:rPr>
          <w:rFonts w:ascii="Calibri" w:hAnsi="Calibri" w:eastAsia="Times New Roman" w:cs="Calibri"/>
          <w14:ligatures w14:val="none"/>
        </w:rPr>
        <w:t xml:space="preserve"> configuring RBAC and data masking across Azure/AWS, ensuring PCI-DSS compliance for payment processing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Automated deployment via Azure DevOps with CI/CD testing and rollback capabilities, reducing deployment time from 4 hours to 15 minutes 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Style w:val="896"/>
        <w:numPr>
          <w:ilvl w:val="0"/>
          <w:numId w:val="6"/>
        </w:numPr>
        <w:pBdr>
          <w:bottom w:val="single" w:color="000000" w:sz="12" w:space="1"/>
        </w:pBdr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  <w:t xml:space="preserve">Optimized cloud costs through rightsizing and reserved instances, achieving </w:t>
      </w:r>
      <w:r>
        <w:rPr>
          <w:rFonts w:ascii="Calibri" w:hAnsi="Calibri" w:eastAsia="Times New Roman" w:cs="Calibri"/>
          <w14:ligatures w14:val="none"/>
        </w:rPr>
        <w:t xml:space="preserve">a </w:t>
      </w:r>
      <w:r>
        <w:rPr>
          <w:rFonts w:ascii="Calibri" w:hAnsi="Calibri" w:eastAsia="Times New Roman" w:cs="Calibri"/>
          <w14:ligatures w14:val="none"/>
        </w:rPr>
        <w:t xml:space="preserve">30% reduction in spending ($75K annual savings) while improving performance</w:t>
      </w:r>
      <w:r>
        <w:rPr>
          <w:rFonts w:ascii="Calibri" w:hAnsi="Calibri" w:eastAsia="Times New Roman" w:cs="Calibri"/>
          <w14:ligatures w14:val="none"/>
        </w:rPr>
        <w:br/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:b/>
          <w:bCs/>
          <w14:ligatures w14:val="none"/>
        </w:rPr>
      </w:pPr>
      <w:r>
        <w:rPr>
          <w:rFonts w:ascii="Calibri" w:hAnsi="Calibri" w:eastAsia="Times New Roman" w:cs="Calibri"/>
          <w:b/>
          <w:bCs/>
          <w14:ligatures w14:val="none"/>
        </w:rPr>
        <w:br/>
      </w:r>
      <w:r>
        <w:rPr>
          <w:rFonts w:ascii="Calibri" w:hAnsi="Calibri" w:eastAsia="Times New Roman" w:cs="Calibri"/>
          <w:b/>
          <w:bCs/>
          <w14:ligatures w14:val="none"/>
        </w:rPr>
        <w:t xml:space="preserve">ACHIEVEMENTS</w:t>
      </w:r>
      <w:r>
        <w:rPr>
          <w:rFonts w:ascii="Calibri" w:hAnsi="Calibri" w:eastAsia="Times New Roman" w:cs="Calibri"/>
          <w:b/>
          <w:bCs/>
          <w14:ligatures w14:val="none"/>
        </w:rPr>
      </w:r>
      <w:r>
        <w:rPr>
          <w:rFonts w:ascii="Calibri" w:hAnsi="Calibri" w:eastAsia="Times New Roman" w:cs="Calibri"/>
          <w:b/>
          <w:bCs/>
          <w14:ligatures w14:val="none"/>
        </w:rPr>
      </w:r>
    </w:p>
    <w:p>
      <w:pPr>
        <w:numPr>
          <w:ilvl w:val="0"/>
          <w:numId w:val="8"/>
        </w:numPr>
        <w:pBdr/>
        <w:tabs>
          <w:tab w:val="num" w:leader="none" w:pos="720"/>
        </w:tabs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:b/>
          <w:bCs/>
          <w14:ligatures w14:val="none"/>
        </w:rPr>
        <w:t xml:space="preserve">Cost Optimization Excellence:</w:t>
      </w:r>
      <w:r>
        <w:rPr>
          <w:rFonts w:ascii="Calibri" w:hAnsi="Calibri" w:eastAsia="Times New Roman" w:cs="Calibri"/>
          <w14:ligatures w14:val="none"/>
        </w:rPr>
        <w:t xml:space="preserve"> Achieved cumulative $435K annual savings across three major projects through intelligent resource management and cloud architecture optimization</w:t>
      </w:r>
      <w:r>
        <w:rPr>
          <w:rFonts w:ascii="Calibri" w:hAnsi="Calibri" w:eastAsia="Times New Roman" w:cs="Calibri"/>
          <w14:ligatures w14:val="none"/>
        </w:rPr>
        <w:t xml:space="preserve">.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numPr>
          <w:ilvl w:val="0"/>
          <w:numId w:val="8"/>
        </w:numPr>
        <w:pBdr/>
        <w:tabs>
          <w:tab w:val="num" w:leader="none" w:pos="720"/>
        </w:tabs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:b/>
          <w:bCs/>
          <w14:ligatures w14:val="none"/>
        </w:rPr>
        <w:t xml:space="preserve">Performance Innovation:</w:t>
      </w:r>
      <w:r>
        <w:rPr>
          <w:rFonts w:ascii="Calibri" w:hAnsi="Calibri" w:eastAsia="Times New Roman" w:cs="Calibri"/>
          <w14:ligatures w14:val="none"/>
        </w:rPr>
        <w:t xml:space="preserve"> Delivered </w:t>
      </w:r>
      <w:r>
        <w:rPr>
          <w:rFonts w:ascii="Calibri" w:hAnsi="Calibri" w:eastAsia="Times New Roman" w:cs="Calibri"/>
          <w14:ligatures w14:val="none"/>
        </w:rPr>
        <w:t xml:space="preserve">an </w:t>
      </w:r>
      <w:r>
        <w:rPr>
          <w:rFonts w:ascii="Calibri" w:hAnsi="Calibri" w:eastAsia="Times New Roman" w:cs="Calibri"/>
          <w14:ligatures w14:val="none"/>
        </w:rPr>
        <w:t xml:space="preserve">average 35% improvement in query performance across healthcare, retail, and financial platforms through advanced SQL optimization and architectural enhancements</w:t>
      </w:r>
      <w:r>
        <w:rPr>
          <w:rFonts w:ascii="Calibri" w:hAnsi="Calibri" w:eastAsia="Times New Roman" w:cs="Calibri"/>
          <w14:ligatures w14:val="none"/>
        </w:rPr>
        <w:t xml:space="preserve">.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numPr>
          <w:ilvl w:val="0"/>
          <w:numId w:val="8"/>
        </w:numPr>
        <w:pBdr/>
        <w:tabs>
          <w:tab w:val="num" w:leader="none" w:pos="720"/>
        </w:tabs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:b/>
          <w:bCs/>
          <w14:ligatures w14:val="none"/>
        </w:rPr>
        <w:t xml:space="preserve">Compliance Leadership:</w:t>
      </w:r>
      <w:r>
        <w:rPr>
          <w:rFonts w:ascii="Calibri" w:hAnsi="Calibri" w:eastAsia="Times New Roman" w:cs="Calibri"/>
          <w14:ligatures w14:val="none"/>
        </w:rPr>
        <w:t xml:space="preserve"> Successfully maintained 100% regulatory compliance (HIPAA, SOX, GDPR, PCI-DSS) across all projects while enabling real-time analytics and reporting capabilities</w:t>
      </w:r>
      <w:r>
        <w:rPr>
          <w:rFonts w:ascii="Calibri" w:hAnsi="Calibri" w:eastAsia="Times New Roman" w:cs="Calibri"/>
          <w14:ligatures w14:val="none"/>
        </w:rPr>
        <w:t xml:space="preserve">.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numPr>
          <w:ilvl w:val="0"/>
          <w:numId w:val="8"/>
        </w:numPr>
        <w:pBdr/>
        <w:tabs>
          <w:tab w:val="num" w:leader="none" w:pos="720"/>
        </w:tabs>
        <w:spacing w:after="100" w:afterAutospacing="1" w:before="100" w:beforeAutospacing="1" w:line="240" w:lineRule="auto"/>
        <w:ind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:b/>
          <w:bCs/>
          <w14:ligatures w14:val="none"/>
        </w:rPr>
        <w:t xml:space="preserve">Zero-Downtime Delivery:</w:t>
      </w:r>
      <w:r>
        <w:rPr>
          <w:rFonts w:ascii="Calibri" w:hAnsi="Calibri" w:eastAsia="Times New Roman" w:cs="Calibri"/>
          <w14:ligatures w14:val="none"/>
        </w:rPr>
        <w:t xml:space="preserve"> Executed complex cloud migrations and system upgrades with 99.9%+ uptime, ensuring continuous business operations during critical peak periods</w:t>
      </w:r>
      <w:r>
        <w:rPr>
          <w:rFonts w:ascii="Calibri" w:hAnsi="Calibri" w:eastAsia="Times New Roman" w:cs="Calibri"/>
          <w14:ligatures w14:val="none"/>
        </w:rPr>
        <w:t xml:space="preserve">.</w:t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Bdr/>
        <w:tabs>
          <w:tab w:val="num" w:leader="none" w:pos="720"/>
        </w:tabs>
        <w:spacing w:after="100" w:afterAutospacing="1" w:before="100" w:beforeAutospacing="1" w:line="240" w:lineRule="auto"/>
        <w:ind w:firstLine="0" w:left="360"/>
        <w:outlineLvl w:val="2"/>
        <w:rPr>
          <w:rFonts w:ascii="Calibri" w:hAnsi="Calibri" w:eastAsia="Times New Roman" w:cs="Calibri"/>
          <w14:ligatures w14:val="none"/>
        </w:rPr>
      </w:pP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  <w:r>
        <w:rPr>
          <w:rFonts w:ascii="Calibri" w:hAnsi="Calibri" w:eastAsia="Times New Roman" w:cs="Calibri"/>
          <w14:ligatures w14:val="none"/>
        </w:rPr>
      </w:r>
    </w:p>
    <w:p>
      <w:pPr>
        <w:pBdr/>
        <w:tabs>
          <w:tab w:val="left" w:leader="none" w:pos="8872"/>
        </w:tabs>
        <w:spacing w:after="100" w:afterAutospacing="1" w:before="100" w:beforeAutospacing="1" w:line="240" w:lineRule="auto"/>
        <w:ind/>
        <w:rPr>
          <w:rFonts w:ascii="Calibri" w:hAnsi="Calibri" w:eastAsia="Calibri" w:cs="Calibri"/>
          <w:b/>
          <w:bCs/>
          <w:sz w:val="24"/>
          <w:szCs w:val="24"/>
          <w:lang w:val="en-GB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  <w:t xml:space="preserve">E</w:t>
      </w:r>
      <w:r>
        <w:rPr>
          <w:rFonts w:ascii="Calibri" w:hAnsi="Calibri" w:eastAsia="Calibri" w:cs="Calibri"/>
          <w:b/>
          <w:bCs/>
          <w:sz w:val="24"/>
          <w:szCs w:val="24"/>
          <w:lang w:val="en-GB"/>
          <w14:ligatures w14:val="none"/>
        </w:rPr>
        <w:t xml:space="preserve">DUCATION :</w:t>
      </w:r>
      <w:r>
        <w:rPr>
          <w:rFonts w:ascii="Calibri" w:hAnsi="Calibri" w:cs="Calibri"/>
          <w:b/>
          <w:bCs/>
          <w:sz w:val="24"/>
          <w:szCs w:val="24"/>
          <w14:ligatures w14:val="none"/>
        </w:rPr>
      </w:r>
      <w:r>
        <w:rPr>
          <w:rFonts w:ascii="Calibri" w:hAnsi="Calibri" w:eastAsia="Calibri" w:cs="Calibri"/>
          <w:b/>
          <w:bCs/>
          <w:sz w:val="24"/>
          <w:szCs w:val="24"/>
          <w:lang w:val="en-GB"/>
          <w14:ligatures w14:val="none"/>
        </w:rPr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  <w:lang w:val="en-GB"/>
        </w:rPr>
        <w:t xml:space="preserve">New york</w:t>
      </w:r>
      <w:r>
        <w:rPr>
          <w:rFonts w:ascii="Calibri" w:hAnsi="Calibri" w:eastAsia="Calibri" w:cs="Calibri"/>
          <w:sz w:val="24"/>
          <w:szCs w:val="24"/>
        </w:rPr>
        <w:t xml:space="preserve"> University - Computer Science and Inf</w:t>
      </w:r>
      <w:r>
        <w:rPr>
          <w:rFonts w:ascii="Calibri" w:hAnsi="Calibri" w:eastAsia="Calibri" w:cs="Calibri"/>
          <w:sz w:val="24"/>
          <w:szCs w:val="24"/>
        </w:rPr>
        <w:t xml:space="preserve">ormation Systems, New York, NY Master’s (MS) in Information Systems | Concentration: Information Systems </w:t>
      </w:r>
      <w:r>
        <w:rPr>
          <w:rFonts w:ascii="Calibri" w:hAnsi="Calibri" w:cs="Calibri"/>
          <w:b/>
          <w:bCs/>
          <w:sz w:val="24"/>
          <w:szCs w:val="24"/>
          <w14:ligatures w14:val="none"/>
        </w:rPr>
      </w:r>
      <w:r/>
      <w:r>
        <w:rPr>
          <w:rFonts w:ascii="Calibri" w:hAnsi="Calibri" w:eastAsia="Calibri" w:cs="Calibri"/>
          <w:b/>
          <w:bCs/>
          <w:sz w:val="24"/>
          <w:szCs w:val="24"/>
          <w:lang w:val="en-GB"/>
          <w14:ligatures w14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6" w:footer="706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ptos">
    <w:panose1 w:val="020B00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Segoe UI Emoji">
    <w:panose1 w:val="020B0502040204020203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4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98C7A3F"/>
    <w:lvl w:ilvl="0">
      <w:isLgl w:val="false"/>
      <w:lvlJc w:val="left"/>
      <w:lvlText w:val="•"/>
      <w:numFmt w:val="bullet"/>
      <w:pPr>
        <w:pBdr/>
        <w:spacing/>
        <w:ind w:hanging="360" w:left="36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">
    <w:nsid w:val="332C54F8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EFD2C4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18D79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CC26F1B"/>
    <w:lvl w:ilvl="0">
      <w:isLgl w:val="false"/>
      <w:lvlJc w:val="left"/>
      <w:lvlText w:val="•"/>
      <w:numFmt w:val="bullet"/>
      <w:pPr>
        <w:pBdr/>
        <w:spacing/>
        <w:ind w:hanging="360" w:left="36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nsid w:val="597A6896"/>
    <w:lvl w:ilvl="0">
      <w:isLgl w:val="false"/>
      <w:lvlJc w:val="left"/>
      <w:lvlText w:val="•"/>
      <w:numFmt w:val="bullet"/>
      <w:pPr>
        <w:pBdr/>
        <w:spacing/>
        <w:ind w:hanging="360" w:left="36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7">
    <w:nsid w:val="62953697"/>
    <w:lvl w:ilvl="0">
      <w:isLgl w:val="false"/>
      <w:lvlJc w:val="left"/>
      <w:lvlText w:val="•"/>
      <w:numFmt w:val="bullet"/>
      <w:pPr>
        <w:pBdr/>
        <w:spacing/>
        <w:ind w:hanging="360" w:left="360"/>
      </w:pPr>
      <w:rPr>
        <w:rFonts w:hint="default" w:ascii="Aptos" w:hAnsi="Apto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SG" w:eastAsia="zh-CN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8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No Spacing"/>
    <w:basedOn w:val="868"/>
    <w:uiPriority w:val="1"/>
    <w:qFormat/>
    <w:pPr>
      <w:pBdr/>
      <w:spacing w:after="0" w:line="240" w:lineRule="auto"/>
      <w:ind/>
    </w:pPr>
  </w:style>
  <w:style w:type="character" w:styleId="844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846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Caption"/>
    <w:basedOn w:val="868"/>
    <w:next w:val="8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9">
    <w:name w:val="footnote text"/>
    <w:basedOn w:val="868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0">
    <w:name w:val="Footnote Text Char"/>
    <w:basedOn w:val="878"/>
    <w:link w:val="849"/>
    <w:uiPriority w:val="99"/>
    <w:semiHidden/>
    <w:pPr>
      <w:pBdr/>
      <w:spacing/>
      <w:ind/>
    </w:pPr>
    <w:rPr>
      <w:sz w:val="20"/>
      <w:szCs w:val="20"/>
    </w:rPr>
  </w:style>
  <w:style w:type="character" w:styleId="851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852">
    <w:name w:val="endnote text"/>
    <w:basedOn w:val="868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Endnote Text Char"/>
    <w:basedOn w:val="878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855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6">
    <w:name w:val="toc 1"/>
    <w:basedOn w:val="868"/>
    <w:next w:val="868"/>
    <w:uiPriority w:val="39"/>
    <w:unhideWhenUsed/>
    <w:pPr>
      <w:pBdr/>
      <w:spacing w:after="100"/>
      <w:ind/>
    </w:pPr>
  </w:style>
  <w:style w:type="paragraph" w:styleId="857">
    <w:name w:val="toc 2"/>
    <w:basedOn w:val="868"/>
    <w:next w:val="868"/>
    <w:uiPriority w:val="39"/>
    <w:unhideWhenUsed/>
    <w:pPr>
      <w:pBdr/>
      <w:spacing w:after="100"/>
      <w:ind w:left="220"/>
    </w:pPr>
  </w:style>
  <w:style w:type="paragraph" w:styleId="858">
    <w:name w:val="toc 3"/>
    <w:basedOn w:val="868"/>
    <w:next w:val="868"/>
    <w:uiPriority w:val="39"/>
    <w:unhideWhenUsed/>
    <w:pPr>
      <w:pBdr/>
      <w:spacing w:after="100"/>
      <w:ind w:left="440"/>
    </w:pPr>
  </w:style>
  <w:style w:type="paragraph" w:styleId="859">
    <w:name w:val="toc 4"/>
    <w:basedOn w:val="868"/>
    <w:next w:val="868"/>
    <w:uiPriority w:val="39"/>
    <w:unhideWhenUsed/>
    <w:pPr>
      <w:pBdr/>
      <w:spacing w:after="100"/>
      <w:ind w:left="660"/>
    </w:pPr>
  </w:style>
  <w:style w:type="paragraph" w:styleId="860">
    <w:name w:val="toc 5"/>
    <w:basedOn w:val="868"/>
    <w:next w:val="868"/>
    <w:uiPriority w:val="39"/>
    <w:unhideWhenUsed/>
    <w:pPr>
      <w:pBdr/>
      <w:spacing w:after="100"/>
      <w:ind w:left="880"/>
    </w:pPr>
  </w:style>
  <w:style w:type="paragraph" w:styleId="861">
    <w:name w:val="toc 6"/>
    <w:basedOn w:val="868"/>
    <w:next w:val="868"/>
    <w:uiPriority w:val="39"/>
    <w:unhideWhenUsed/>
    <w:pPr>
      <w:pBdr/>
      <w:spacing w:after="100"/>
      <w:ind w:left="1100"/>
    </w:pPr>
  </w:style>
  <w:style w:type="paragraph" w:styleId="862">
    <w:name w:val="toc 7"/>
    <w:basedOn w:val="868"/>
    <w:next w:val="868"/>
    <w:uiPriority w:val="39"/>
    <w:unhideWhenUsed/>
    <w:pPr>
      <w:pBdr/>
      <w:spacing w:after="100"/>
      <w:ind w:left="1320"/>
    </w:pPr>
  </w:style>
  <w:style w:type="paragraph" w:styleId="863">
    <w:name w:val="toc 8"/>
    <w:basedOn w:val="868"/>
    <w:next w:val="868"/>
    <w:uiPriority w:val="39"/>
    <w:unhideWhenUsed/>
    <w:pPr>
      <w:pBdr/>
      <w:spacing w:after="100"/>
      <w:ind w:left="1540"/>
    </w:pPr>
  </w:style>
  <w:style w:type="paragraph" w:styleId="864">
    <w:name w:val="toc 9"/>
    <w:basedOn w:val="868"/>
    <w:next w:val="868"/>
    <w:uiPriority w:val="39"/>
    <w:unhideWhenUsed/>
    <w:pPr>
      <w:pBdr/>
      <w:spacing w:after="100"/>
      <w:ind w:left="1760"/>
    </w:pPr>
  </w:style>
  <w:style w:type="character" w:styleId="865">
    <w:name w:val="Placeholder Text"/>
    <w:basedOn w:val="878"/>
    <w:uiPriority w:val="99"/>
    <w:semiHidden/>
    <w:pPr>
      <w:pBdr/>
      <w:spacing/>
      <w:ind/>
    </w:pPr>
    <w:rPr>
      <w:color w:val="666666"/>
    </w:rPr>
  </w:style>
  <w:style w:type="paragraph" w:styleId="866">
    <w:name w:val="TOC Heading"/>
    <w:uiPriority w:val="39"/>
    <w:unhideWhenUsed/>
    <w:pPr>
      <w:pBdr/>
      <w:spacing/>
      <w:ind/>
    </w:pPr>
  </w:style>
  <w:style w:type="paragraph" w:styleId="867">
    <w:name w:val="table of figures"/>
    <w:basedOn w:val="868"/>
    <w:next w:val="868"/>
    <w:uiPriority w:val="99"/>
    <w:unhideWhenUsed/>
    <w:pPr>
      <w:pBdr/>
      <w:spacing w:after="0" w:afterAutospacing="0"/>
      <w:ind/>
    </w:pPr>
  </w:style>
  <w:style w:type="paragraph" w:styleId="868" w:default="1">
    <w:name w:val="Normal"/>
    <w:qFormat/>
    <w:pPr>
      <w:pBdr/>
      <w:spacing/>
      <w:ind/>
    </w:pPr>
  </w:style>
  <w:style w:type="paragraph" w:styleId="869">
    <w:name w:val="Heading 1"/>
    <w:basedOn w:val="868"/>
    <w:next w:val="868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0">
    <w:name w:val="Heading 2"/>
    <w:basedOn w:val="868"/>
    <w:next w:val="868"/>
    <w:link w:val="8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1">
    <w:name w:val="Heading 3"/>
    <w:basedOn w:val="868"/>
    <w:next w:val="868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2">
    <w:name w:val="Heading 4"/>
    <w:basedOn w:val="868"/>
    <w:next w:val="868"/>
    <w:link w:val="8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3">
    <w:name w:val="Heading 5"/>
    <w:basedOn w:val="868"/>
    <w:next w:val="868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4">
    <w:name w:val="Heading 6"/>
    <w:basedOn w:val="868"/>
    <w:next w:val="868"/>
    <w:link w:val="8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5">
    <w:name w:val="Heading 7"/>
    <w:basedOn w:val="868"/>
    <w:next w:val="868"/>
    <w:link w:val="8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6">
    <w:name w:val="Heading 8"/>
    <w:basedOn w:val="868"/>
    <w:next w:val="868"/>
    <w:link w:val="8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7">
    <w:name w:val="Heading 9"/>
    <w:basedOn w:val="868"/>
    <w:next w:val="868"/>
    <w:link w:val="8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8" w:default="1">
    <w:name w:val="Default Paragraph Font"/>
    <w:uiPriority w:val="1"/>
    <w:semiHidden/>
    <w:unhideWhenUsed/>
    <w:pPr>
      <w:pBdr/>
      <w:spacing/>
      <w:ind/>
    </w:pPr>
  </w:style>
  <w:style w:type="table" w:styleId="8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 w:customStyle="1">
    <w:name w:val="Heading 1 Char"/>
    <w:basedOn w:val="878"/>
    <w:link w:val="8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2" w:customStyle="1">
    <w:name w:val="Heading 2 Char"/>
    <w:basedOn w:val="878"/>
    <w:link w:val="8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3" w:customStyle="1">
    <w:name w:val="Heading 3 Char"/>
    <w:basedOn w:val="878"/>
    <w:link w:val="871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4" w:customStyle="1">
    <w:name w:val="Heading 4 Char"/>
    <w:basedOn w:val="878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5" w:customStyle="1">
    <w:name w:val="Heading 5 Char"/>
    <w:basedOn w:val="878"/>
    <w:link w:val="8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6" w:customStyle="1">
    <w:name w:val="Heading 6 Char"/>
    <w:basedOn w:val="878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7" w:customStyle="1">
    <w:name w:val="Heading 7 Char"/>
    <w:basedOn w:val="878"/>
    <w:link w:val="8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8" w:customStyle="1">
    <w:name w:val="Heading 8 Char"/>
    <w:basedOn w:val="878"/>
    <w:link w:val="8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9" w:customStyle="1">
    <w:name w:val="Heading 9 Char"/>
    <w:basedOn w:val="878"/>
    <w:link w:val="8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0">
    <w:name w:val="Title"/>
    <w:basedOn w:val="868"/>
    <w:next w:val="868"/>
    <w:link w:val="8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1" w:customStyle="1">
    <w:name w:val="Title Char"/>
    <w:basedOn w:val="878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2">
    <w:name w:val="Subtitle"/>
    <w:basedOn w:val="868"/>
    <w:next w:val="868"/>
    <w:link w:val="8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3" w:customStyle="1">
    <w:name w:val="Subtitle Char"/>
    <w:basedOn w:val="878"/>
    <w:link w:val="8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4">
    <w:name w:val="Quote"/>
    <w:basedOn w:val="868"/>
    <w:next w:val="868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 w:customStyle="1">
    <w:name w:val="Quote Char"/>
    <w:basedOn w:val="87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868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8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868"/>
    <w:next w:val="868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 w:customStyle="1">
    <w:name w:val="Intense Quote Char"/>
    <w:basedOn w:val="87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8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1">
    <w:name w:val="Strong"/>
    <w:basedOn w:val="878"/>
    <w:uiPriority w:val="22"/>
    <w:qFormat/>
    <w:pPr>
      <w:pBdr/>
      <w:spacing/>
      <w:ind/>
    </w:pPr>
    <w:rPr>
      <w:b/>
      <w:bCs/>
    </w:rPr>
  </w:style>
  <w:style w:type="paragraph" w:styleId="902" w:customStyle="1">
    <w:name w:val="whitespace-normal"/>
    <w:basedOn w:val="86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  <w:style w:type="paragraph" w:styleId="903">
    <w:name w:val="Header"/>
    <w:basedOn w:val="868"/>
    <w:link w:val="90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04" w:customStyle="1">
    <w:name w:val="Header Char"/>
    <w:basedOn w:val="878"/>
    <w:link w:val="903"/>
    <w:uiPriority w:val="99"/>
    <w:pPr>
      <w:pBdr/>
      <w:spacing/>
      <w:ind/>
    </w:pPr>
  </w:style>
  <w:style w:type="paragraph" w:styleId="905">
    <w:name w:val="Footer"/>
    <w:basedOn w:val="868"/>
    <w:link w:val="90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06" w:customStyle="1">
    <w:name w:val="Footer Char"/>
    <w:basedOn w:val="878"/>
    <w:link w:val="905"/>
    <w:uiPriority w:val="99"/>
    <w:pPr>
      <w:pBdr/>
      <w:spacing/>
      <w:ind/>
    </w:pPr>
  </w:style>
  <w:style w:type="character" w:styleId="907">
    <w:name w:val="Hyperlink"/>
    <w:basedOn w:val="87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8">
    <w:name w:val="Unresolved Mention"/>
    <w:basedOn w:val="87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mailto:vineeshachow.voleti@gmail.com" TargetMode="External"/><Relationship Id="rId11" Type="http://schemas.openxmlformats.org/officeDocument/2006/relationships/hyperlink" Target="http://linkedin.com/in/vineesha-chowdary-volet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108D7-BFA8-4AB6-81A6-BB11FCB60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Uppalapati, Naveen</dc:creator>
  <cp:keywords/>
  <dc:description/>
  <cp:revision>7</cp:revision>
  <dcterms:created xsi:type="dcterms:W3CDTF">2025-09-23T15:28:00Z</dcterms:created>
  <dcterms:modified xsi:type="dcterms:W3CDTF">2025-10-16T16:04:37Z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abe7df57-6c2c-4030-963b-f96c7461b85c</vt:lpwstr>
  </property>
</Properties>
</file>