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both"/>
        <w:rPr>
          <w:rFonts w:ascii="Open Sans" w:cs="Open Sans" w:eastAsia="Open Sans" w:hAnsi="Open Sans"/>
          <w:sz w:val="16"/>
          <w:szCs w:val="16"/>
        </w:rPr>
      </w:pPr>
      <w:r w:rsidDel="00000000" w:rsidR="00000000" w:rsidRPr="00000000">
        <w:rPr>
          <w:rtl w:val="0"/>
        </w:rPr>
      </w:r>
    </w:p>
    <w:tbl>
      <w:tblPr>
        <w:tblStyle w:val="Table1"/>
        <w:tblW w:w="10350.0" w:type="dxa"/>
        <w:jc w:val="left"/>
        <w:tblLayout w:type="fixed"/>
        <w:tblLook w:val="0600"/>
      </w:tblPr>
      <w:tblGrid>
        <w:gridCol w:w="1725"/>
        <w:gridCol w:w="1725"/>
        <w:gridCol w:w="3345"/>
        <w:gridCol w:w="105"/>
        <w:gridCol w:w="1725"/>
        <w:gridCol w:w="1725"/>
        <w:tblGridChange w:id="0">
          <w:tblGrid>
            <w:gridCol w:w="1725"/>
            <w:gridCol w:w="1725"/>
            <w:gridCol w:w="3345"/>
            <w:gridCol w:w="105"/>
            <w:gridCol w:w="1725"/>
            <w:gridCol w:w="1725"/>
          </w:tblGrid>
        </w:tblGridChange>
      </w:tblGrid>
      <w:tr>
        <w:trPr>
          <w:cantSplit w:val="0"/>
          <w:trHeight w:val="1305" w:hRule="atLeast"/>
          <w:tblHeader w:val="0"/>
        </w:trPr>
        <w:tc>
          <w:tcPr>
            <w:gridSpan w:val="6"/>
            <w:tcBorders>
              <w:bottom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ExtraBold" w:cs="Open Sans ExtraBold" w:eastAsia="Open Sans ExtraBold" w:hAnsi="Open Sans ExtraBold"/>
                <w:color w:val="1e2733"/>
                <w:sz w:val="50"/>
                <w:szCs w:val="50"/>
              </w:rPr>
            </w:pPr>
            <w:r w:rsidDel="00000000" w:rsidR="00000000" w:rsidRPr="00000000">
              <w:rPr>
                <w:rFonts w:ascii="Open Sans ExtraBold" w:cs="Open Sans ExtraBold" w:eastAsia="Open Sans ExtraBold" w:hAnsi="Open Sans ExtraBold"/>
                <w:color w:val="1e2733"/>
                <w:sz w:val="50"/>
                <w:szCs w:val="50"/>
                <w:rtl w:val="0"/>
              </w:rPr>
              <w:t xml:space="preserve">Michael Hoellen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color w:val="787979"/>
                <w:sz w:val="30"/>
                <w:szCs w:val="30"/>
              </w:rPr>
            </w:pPr>
            <w:r w:rsidDel="00000000" w:rsidR="00000000" w:rsidRPr="00000000">
              <w:rPr>
                <w:rFonts w:ascii="Open Sans" w:cs="Open Sans" w:eastAsia="Open Sans" w:hAnsi="Open Sans"/>
                <w:color w:val="787979"/>
                <w:sz w:val="30"/>
                <w:szCs w:val="30"/>
                <w:rtl w:val="0"/>
              </w:rPr>
              <w:t xml:space="preserve">Data Analyst</w:t>
            </w:r>
          </w:p>
        </w:tc>
      </w:tr>
      <w:tr>
        <w:trPr>
          <w:cantSplit w:val="0"/>
          <w:trHeight w:val="530.126953125" w:hRule="atLeast"/>
          <w:tblHeader w:val="0"/>
        </w:trPr>
        <w:tc>
          <w:tcPr>
            <w:gridSpan w:val="6"/>
            <w:tcBorders>
              <w:top w:color="000000" w:space="0" w:sz="0" w:val="nil"/>
            </w:tcBorders>
            <w:shd w:fill="dff3fd"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16" w:lineRule="auto"/>
              <w:jc w:val="center"/>
              <w:rPr>
                <w:rFonts w:ascii="Open Sans" w:cs="Open Sans" w:eastAsia="Open Sans" w:hAnsi="Open Sans"/>
                <w:color w:val="1e2733"/>
                <w:sz w:val="8"/>
                <w:szCs w:val="8"/>
              </w:rPr>
            </w:pPr>
            <w:r w:rsidDel="00000000" w:rsidR="00000000" w:rsidRPr="00000000">
              <w:rPr>
                <w:rFonts w:ascii="Open Sans SemiBold" w:cs="Open Sans SemiBold" w:eastAsia="Open Sans SemiBold" w:hAnsi="Open Sans SemiBold"/>
                <w:color w:val="1e2733"/>
                <w:sz w:val="20"/>
                <w:szCs w:val="20"/>
                <w:rtl w:val="0"/>
              </w:rPr>
              <w:t xml:space="preserve">+(1) 402-216-1452 | Seattle, Washington  | mike.hoellen@gmail.com</w:t>
            </w:r>
            <w:r w:rsidDel="00000000" w:rsidR="00000000" w:rsidRPr="00000000">
              <w:rPr>
                <w:rtl w:val="0"/>
              </w:rPr>
            </w:r>
          </w:p>
        </w:tc>
      </w:tr>
      <w:tr>
        <w:trPr>
          <w:cantSplit w:val="0"/>
          <w:trHeight w:val="407.36328125" w:hRule="atLeast"/>
          <w:tblHeader w:val="0"/>
        </w:trPr>
        <w:tc>
          <w:tcPr>
            <w:gridSpan w:val="6"/>
            <w:shd w:fill="auto"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1e2733"/>
                <w:sz w:val="20"/>
                <w:szCs w:val="20"/>
              </w:rPr>
            </w:pPr>
            <w:r w:rsidDel="00000000" w:rsidR="00000000" w:rsidRPr="00000000">
              <w:rPr>
                <w:rtl w:val="0"/>
              </w:rPr>
            </w:r>
          </w:p>
        </w:tc>
      </w:tr>
      <w:tr>
        <w:trPr>
          <w:cantSplit w:val="0"/>
          <w:trHeight w:val="1185" w:hRule="atLeast"/>
          <w:tblHeader w:val="0"/>
        </w:trPr>
        <w:tc>
          <w:tcPr>
            <w:gridSpan w:val="6"/>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before="0" w:line="216" w:lineRule="auto"/>
              <w:jc w:val="both"/>
              <w:rPr>
                <w:rFonts w:ascii="Open Sans" w:cs="Open Sans" w:eastAsia="Open Sans" w:hAnsi="Open Sans"/>
                <w:i w:val="1"/>
                <w:color w:val="1e2733"/>
                <w:sz w:val="20"/>
                <w:szCs w:val="20"/>
              </w:rPr>
            </w:pPr>
            <w:r w:rsidDel="00000000" w:rsidR="00000000" w:rsidRPr="00000000">
              <w:rPr>
                <w:rFonts w:ascii="Open Sans" w:cs="Open Sans" w:eastAsia="Open Sans" w:hAnsi="Open Sans"/>
                <w:i w:val="1"/>
                <w:color w:val="1e2733"/>
                <w:sz w:val="20"/>
                <w:szCs w:val="20"/>
                <w:rtl w:val="0"/>
              </w:rPr>
              <w:t xml:space="preserve">Analytical and detail-oriented Data Analyst with over four years of experience in transforming complex data into actionable insights. Proficient in leveraging SQL, Python, R, and Tableau, with a strong foundation in mathematics and computer science. Demonstrated ability to drive data-informed decisions and improve operational efficiency. Committed to continuous learning and innovative solutions to complex problems. </w:t>
            </w:r>
          </w:p>
        </w:tc>
      </w:tr>
      <w:tr>
        <w:trPr>
          <w:cantSplit w:val="0"/>
          <w:trHeight w:val="420" w:hRule="atLeast"/>
          <w:tblHeader w:val="0"/>
        </w:trPr>
        <w:tc>
          <w:tcPr>
            <w:gridSpan w:val="6"/>
            <w:tcBorders>
              <w:bottom w:color="5cadd6"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color w:val="5cadd6"/>
                <w:sz w:val="24"/>
                <w:szCs w:val="24"/>
              </w:rPr>
            </w:pPr>
            <w:r w:rsidDel="00000000" w:rsidR="00000000" w:rsidRPr="00000000">
              <w:rPr>
                <w:rFonts w:ascii="Open Sans" w:cs="Open Sans" w:eastAsia="Open Sans" w:hAnsi="Open Sans"/>
                <w:b w:val="1"/>
                <w:color w:val="5cadd6"/>
                <w:sz w:val="24"/>
                <w:szCs w:val="24"/>
                <w:rtl w:val="0"/>
              </w:rPr>
              <w:t xml:space="preserve">SKILLS</w:t>
            </w:r>
          </w:p>
        </w:tc>
      </w:tr>
      <w:tr>
        <w:trPr>
          <w:cantSplit w:val="0"/>
          <w:trHeight w:val="2100" w:hRule="atLeast"/>
          <w:tblHeader w:val="0"/>
        </w:trPr>
        <w:tc>
          <w:tcPr>
            <w:gridSpan w:val="2"/>
            <w:tcBorders>
              <w:top w:color="5cadd6" w:space="0" w:sz="8"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1">
            <w:pPr>
              <w:widowControl w:val="0"/>
              <w:numPr>
                <w:ilvl w:val="0"/>
                <w:numId w:val="2"/>
              </w:numPr>
              <w:spacing w:before="10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b w:val="1"/>
                <w:color w:val="1e2733"/>
                <w:sz w:val="20"/>
                <w:szCs w:val="20"/>
                <w:rtl w:val="0"/>
              </w:rPr>
              <w:t xml:space="preserve">Programming Languages:</w:t>
            </w:r>
            <w:r w:rsidDel="00000000" w:rsidR="00000000" w:rsidRPr="00000000">
              <w:rPr>
                <w:rFonts w:ascii="Open Sans" w:cs="Open Sans" w:eastAsia="Open Sans" w:hAnsi="Open Sans"/>
                <w:color w:val="1e2733"/>
                <w:sz w:val="20"/>
                <w:szCs w:val="20"/>
                <w:rtl w:val="0"/>
              </w:rPr>
              <w:t xml:space="preserve"> Python (Pandas), R, SQL</w:t>
            </w:r>
          </w:p>
          <w:p w:rsidR="00000000" w:rsidDel="00000000" w:rsidP="00000000" w:rsidRDefault="00000000" w:rsidRPr="00000000" w14:paraId="00000022">
            <w:pPr>
              <w:widowControl w:val="0"/>
              <w:spacing w:before="100" w:line="240" w:lineRule="auto"/>
              <w:ind w:left="720" w:firstLine="0"/>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23">
            <w:pPr>
              <w:widowControl w:val="0"/>
              <w:numPr>
                <w:ilvl w:val="0"/>
                <w:numId w:val="3"/>
              </w:numPr>
              <w:spacing w:before="100" w:line="240" w:lineRule="auto"/>
              <w:ind w:left="720" w:hanging="360"/>
              <w:rPr>
                <w:rFonts w:ascii="Open Sans" w:cs="Open Sans" w:eastAsia="Open Sans" w:hAnsi="Open Sans"/>
                <w:color w:val="1e2733"/>
                <w:sz w:val="20"/>
                <w:szCs w:val="20"/>
                <w:u w:val="none"/>
              </w:rPr>
            </w:pPr>
            <w:r w:rsidDel="00000000" w:rsidR="00000000" w:rsidRPr="00000000">
              <w:rPr>
                <w:rFonts w:ascii="Open Sans" w:cs="Open Sans" w:eastAsia="Open Sans" w:hAnsi="Open Sans"/>
                <w:b w:val="1"/>
                <w:color w:val="1e2733"/>
                <w:sz w:val="20"/>
                <w:szCs w:val="20"/>
                <w:rtl w:val="0"/>
              </w:rPr>
              <w:t xml:space="preserve">Other Tools:</w:t>
            </w:r>
            <w:r w:rsidDel="00000000" w:rsidR="00000000" w:rsidRPr="00000000">
              <w:rPr>
                <w:rFonts w:ascii="Open Sans" w:cs="Open Sans" w:eastAsia="Open Sans" w:hAnsi="Open Sans"/>
                <w:color w:val="1e2733"/>
                <w:sz w:val="20"/>
                <w:szCs w:val="20"/>
                <w:rtl w:val="0"/>
              </w:rPr>
              <w:t xml:space="preserve"> </w:t>
            </w:r>
          </w:p>
          <w:p w:rsidR="00000000" w:rsidDel="00000000" w:rsidP="00000000" w:rsidRDefault="00000000" w:rsidRPr="00000000" w14:paraId="00000024">
            <w:pPr>
              <w:widowControl w:val="0"/>
              <w:spacing w:before="100" w:line="240" w:lineRule="auto"/>
              <w:ind w:left="720" w:firstLine="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Excel, Git</w:t>
            </w:r>
          </w:p>
        </w:tc>
        <w:tc>
          <w:tcPr>
            <w:gridSpan w:val="2"/>
            <w:tcBorders>
              <w:top w:color="5cadd6" w:space="0" w:sz="8"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6">
            <w:pPr>
              <w:widowControl w:val="0"/>
              <w:numPr>
                <w:ilvl w:val="0"/>
                <w:numId w:val="2"/>
              </w:numPr>
              <w:spacing w:before="10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b w:val="1"/>
                <w:color w:val="1e2733"/>
                <w:sz w:val="20"/>
                <w:szCs w:val="20"/>
                <w:rtl w:val="0"/>
              </w:rPr>
              <w:t xml:space="preserve">Data Visualization:</w:t>
            </w:r>
            <w:r w:rsidDel="00000000" w:rsidR="00000000" w:rsidRPr="00000000">
              <w:rPr>
                <w:rFonts w:ascii="Open Sans" w:cs="Open Sans" w:eastAsia="Open Sans" w:hAnsi="Open Sans"/>
                <w:color w:val="1e2733"/>
                <w:sz w:val="20"/>
                <w:szCs w:val="20"/>
                <w:rtl w:val="0"/>
              </w:rPr>
              <w:t xml:space="preserve"> Tableau, PowerBI</w:t>
            </w:r>
          </w:p>
        </w:tc>
        <w:tc>
          <w:tcPr>
            <w:gridSpan w:val="2"/>
            <w:tcBorders>
              <w:top w:color="5cadd6" w:space="0" w:sz="8"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8">
            <w:pPr>
              <w:widowControl w:val="0"/>
              <w:numPr>
                <w:ilvl w:val="0"/>
                <w:numId w:val="2"/>
              </w:numPr>
              <w:spacing w:before="100" w:line="240"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b w:val="1"/>
                <w:color w:val="1e2733"/>
                <w:sz w:val="20"/>
                <w:szCs w:val="20"/>
                <w:rtl w:val="0"/>
              </w:rPr>
              <w:t xml:space="preserve">Database Management:</w:t>
            </w:r>
            <w:r w:rsidDel="00000000" w:rsidR="00000000" w:rsidRPr="00000000">
              <w:rPr>
                <w:rFonts w:ascii="Open Sans" w:cs="Open Sans" w:eastAsia="Open Sans" w:hAnsi="Open Sans"/>
                <w:color w:val="1e2733"/>
                <w:sz w:val="20"/>
                <w:szCs w:val="20"/>
                <w:rtl w:val="0"/>
              </w:rPr>
              <w:t xml:space="preserve"> MySQL, PostgreSQL</w:t>
            </w:r>
          </w:p>
        </w:tc>
      </w:tr>
      <w:tr>
        <w:trPr>
          <w:cantSplit w:val="0"/>
          <w:trHeight w:val="450" w:hRule="atLeast"/>
          <w:tblHeader w:val="0"/>
        </w:trPr>
        <w:tc>
          <w:tcPr>
            <w:gridSpan w:val="6"/>
            <w:tcBorders>
              <w:bottom w:color="5cadd6"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color w:val="5cadd6"/>
                <w:sz w:val="24"/>
                <w:szCs w:val="24"/>
              </w:rPr>
            </w:pPr>
            <w:r w:rsidDel="00000000" w:rsidR="00000000" w:rsidRPr="00000000">
              <w:rPr>
                <w:rFonts w:ascii="Open Sans" w:cs="Open Sans" w:eastAsia="Open Sans" w:hAnsi="Open Sans"/>
                <w:b w:val="1"/>
                <w:color w:val="5cadd6"/>
                <w:sz w:val="24"/>
                <w:szCs w:val="24"/>
                <w:rtl w:val="0"/>
              </w:rPr>
              <w:t xml:space="preserve">Professional Experience</w:t>
            </w:r>
          </w:p>
        </w:tc>
      </w:tr>
      <w:tr>
        <w:trPr>
          <w:cantSplit w:val="0"/>
          <w:trHeight w:val="5505" w:hRule="atLeast"/>
          <w:tblHeader w:val="0"/>
        </w:trPr>
        <w:tc>
          <w:tcPr>
            <w:gridSpan w:val="6"/>
            <w:tcBorders>
              <w:top w:color="5cadd6"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31">
            <w:pPr>
              <w:widowControl w:val="0"/>
              <w:spacing w:after="40" w:line="240" w:lineRule="auto"/>
              <w:rPr>
                <w:rFonts w:ascii="Open Sans" w:cs="Open Sans" w:eastAsia="Open Sans" w:hAnsi="Open Sans"/>
                <w:b w:val="1"/>
                <w:color w:val="1e2733"/>
                <w:sz w:val="24"/>
                <w:szCs w:val="24"/>
              </w:rPr>
            </w:pPr>
            <w:r w:rsidDel="00000000" w:rsidR="00000000" w:rsidRPr="00000000">
              <w:rPr>
                <w:rFonts w:ascii="Open Sans" w:cs="Open Sans" w:eastAsia="Open Sans" w:hAnsi="Open Sans"/>
                <w:b w:val="1"/>
                <w:color w:val="1e2733"/>
                <w:sz w:val="24"/>
                <w:szCs w:val="24"/>
                <w:rtl w:val="0"/>
              </w:rPr>
              <w:t xml:space="preserve">Data Analyst at Biscred, March 2022 – April 2025</w:t>
            </w:r>
          </w:p>
          <w:p w:rsidR="00000000" w:rsidDel="00000000" w:rsidP="00000000" w:rsidRDefault="00000000" w:rsidRPr="00000000" w14:paraId="00000032">
            <w:pPr>
              <w:widowControl w:val="0"/>
              <w:numPr>
                <w:ilvl w:val="0"/>
                <w:numId w:val="4"/>
              </w:numPr>
              <w:spacing w:after="200" w:before="100" w:line="216"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Developed and maintained dashboards to monitor vital performance indicators to inform key decision makers. Examples include platform usage to drive customer retention, sales call data to identify ideal customers for ad targeting, and data fill rates across our data sets. </w:t>
              <w:br w:type="textWrapping"/>
            </w:r>
          </w:p>
          <w:p w:rsidR="00000000" w:rsidDel="00000000" w:rsidP="00000000" w:rsidRDefault="00000000" w:rsidRPr="00000000" w14:paraId="00000033">
            <w:pPr>
              <w:widowControl w:val="0"/>
              <w:numPr>
                <w:ilvl w:val="0"/>
                <w:numId w:val="4"/>
              </w:numPr>
              <w:spacing w:after="200" w:before="100" w:line="216"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Utilized SQL and Python to extract, clean, and analyze large datasets for various projects and requests from clients. </w:t>
              <w:br w:type="textWrapping"/>
            </w:r>
          </w:p>
          <w:p w:rsidR="00000000" w:rsidDel="00000000" w:rsidP="00000000" w:rsidRDefault="00000000" w:rsidRPr="00000000" w14:paraId="00000034">
            <w:pPr>
              <w:widowControl w:val="0"/>
              <w:numPr>
                <w:ilvl w:val="0"/>
                <w:numId w:val="4"/>
              </w:numPr>
              <w:spacing w:after="200" w:before="100" w:line="216"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Collaborated with cross-functional teams to identify data-driven solutions for business problems.</w:t>
              <w:br w:type="textWrapping"/>
            </w:r>
          </w:p>
          <w:p w:rsidR="00000000" w:rsidDel="00000000" w:rsidP="00000000" w:rsidRDefault="00000000" w:rsidRPr="00000000" w14:paraId="00000035">
            <w:pPr>
              <w:widowControl w:val="0"/>
              <w:numPr>
                <w:ilvl w:val="0"/>
                <w:numId w:val="4"/>
              </w:numPr>
              <w:spacing w:after="200" w:before="100" w:line="216" w:lineRule="auto"/>
              <w:ind w:left="720" w:hanging="360"/>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Automated reporting processes, reducing manual workload across several departments.</w:t>
            </w:r>
            <w:r w:rsidDel="00000000" w:rsidR="00000000" w:rsidRPr="00000000">
              <w:rPr>
                <w:rtl w:val="0"/>
              </w:rPr>
            </w:r>
          </w:p>
          <w:p w:rsidR="00000000" w:rsidDel="00000000" w:rsidP="00000000" w:rsidRDefault="00000000" w:rsidRPr="00000000" w14:paraId="00000036">
            <w:pPr>
              <w:widowControl w:val="0"/>
              <w:spacing w:after="40" w:line="192.00000000000003" w:lineRule="auto"/>
              <w:rPr>
                <w:rFonts w:ascii="Open Sans" w:cs="Open Sans" w:eastAsia="Open Sans" w:hAnsi="Open Sans"/>
                <w:b w:val="1"/>
                <w:color w:val="1e2733"/>
                <w:sz w:val="24"/>
                <w:szCs w:val="24"/>
              </w:rPr>
            </w:pPr>
            <w:r w:rsidDel="00000000" w:rsidR="00000000" w:rsidRPr="00000000">
              <w:rPr>
                <w:rFonts w:ascii="Open Sans" w:cs="Open Sans" w:eastAsia="Open Sans" w:hAnsi="Open Sans"/>
                <w:b w:val="1"/>
                <w:color w:val="1e2733"/>
                <w:sz w:val="24"/>
                <w:szCs w:val="24"/>
                <w:rtl w:val="0"/>
              </w:rPr>
              <w:t xml:space="preserve">Junior Data Analyst at NTT Data, </w:t>
            </w:r>
            <w:r w:rsidDel="00000000" w:rsidR="00000000" w:rsidRPr="00000000">
              <w:rPr>
                <w:rFonts w:ascii="Century Gothic" w:cs="Century Gothic" w:eastAsia="Century Gothic" w:hAnsi="Century Gothic"/>
                <w:b w:val="1"/>
                <w:sz w:val="24"/>
                <w:szCs w:val="24"/>
                <w:rtl w:val="0"/>
              </w:rPr>
              <w:t xml:space="preserve">Jan 2018 – Jan 2019 </w:t>
            </w:r>
            <w:r w:rsidDel="00000000" w:rsidR="00000000" w:rsidRPr="00000000">
              <w:rPr>
                <w:rtl w:val="0"/>
              </w:rPr>
            </w:r>
          </w:p>
          <w:p w:rsidR="00000000" w:rsidDel="00000000" w:rsidP="00000000" w:rsidRDefault="00000000" w:rsidRPr="00000000" w14:paraId="00000037">
            <w:pPr>
              <w:widowControl w:val="0"/>
              <w:numPr>
                <w:ilvl w:val="0"/>
                <w:numId w:val="1"/>
              </w:numPr>
              <w:spacing w:after="200" w:before="100" w:line="216" w:lineRule="auto"/>
              <w:ind w:left="720" w:hanging="360"/>
              <w:rPr>
                <w:rFonts w:ascii="Open Sans" w:cs="Open Sans" w:eastAsia="Open Sans" w:hAnsi="Open Sans"/>
                <w:color w:val="1e2733"/>
                <w:sz w:val="20"/>
                <w:szCs w:val="20"/>
                <w:u w:val="none"/>
              </w:rPr>
            </w:pPr>
            <w:r w:rsidDel="00000000" w:rsidR="00000000" w:rsidRPr="00000000">
              <w:rPr>
                <w:rFonts w:ascii="Open Sans" w:cs="Open Sans" w:eastAsia="Open Sans" w:hAnsi="Open Sans"/>
                <w:color w:val="1e2733"/>
                <w:sz w:val="20"/>
                <w:szCs w:val="20"/>
                <w:rtl w:val="0"/>
              </w:rPr>
              <w:t xml:space="preserve">Assisted in the development of data models and reports to support business operations.</w:t>
            </w:r>
            <w:r w:rsidDel="00000000" w:rsidR="00000000" w:rsidRPr="00000000">
              <w:rPr>
                <w:rtl w:val="0"/>
              </w:rPr>
            </w:r>
          </w:p>
          <w:p w:rsidR="00000000" w:rsidDel="00000000" w:rsidP="00000000" w:rsidRDefault="00000000" w:rsidRPr="00000000" w14:paraId="00000038">
            <w:pPr>
              <w:widowControl w:val="0"/>
              <w:numPr>
                <w:ilvl w:val="0"/>
                <w:numId w:val="1"/>
              </w:numPr>
              <w:spacing w:after="200" w:before="100" w:line="216" w:lineRule="auto"/>
              <w:ind w:left="720" w:hanging="360"/>
              <w:rPr>
                <w:rFonts w:ascii="Open Sans" w:cs="Open Sans" w:eastAsia="Open Sans" w:hAnsi="Open Sans"/>
                <w:color w:val="1e2733"/>
                <w:sz w:val="20"/>
                <w:szCs w:val="20"/>
                <w:u w:val="none"/>
              </w:rPr>
            </w:pPr>
            <w:r w:rsidDel="00000000" w:rsidR="00000000" w:rsidRPr="00000000">
              <w:rPr>
                <w:rFonts w:ascii="Open Sans" w:cs="Open Sans" w:eastAsia="Open Sans" w:hAnsi="Open Sans"/>
                <w:color w:val="1e2733"/>
                <w:sz w:val="20"/>
                <w:szCs w:val="20"/>
                <w:rtl w:val="0"/>
              </w:rPr>
              <w:t xml:space="preserve">Conducted data quality assessments and implemented data cleansing procedures, improving data accuracy.</w:t>
            </w:r>
          </w:p>
          <w:p w:rsidR="00000000" w:rsidDel="00000000" w:rsidP="00000000" w:rsidRDefault="00000000" w:rsidRPr="00000000" w14:paraId="00000039">
            <w:pPr>
              <w:widowControl w:val="0"/>
              <w:numPr>
                <w:ilvl w:val="0"/>
                <w:numId w:val="1"/>
              </w:numPr>
              <w:spacing w:after="200" w:before="100" w:line="216" w:lineRule="auto"/>
              <w:ind w:left="720" w:hanging="360"/>
              <w:rPr>
                <w:rFonts w:ascii="Open Sans" w:cs="Open Sans" w:eastAsia="Open Sans" w:hAnsi="Open Sans"/>
                <w:color w:val="1e2733"/>
                <w:sz w:val="20"/>
                <w:szCs w:val="20"/>
                <w:u w:val="none"/>
              </w:rPr>
            </w:pPr>
            <w:r w:rsidDel="00000000" w:rsidR="00000000" w:rsidRPr="00000000">
              <w:rPr>
                <w:rFonts w:ascii="Open Sans" w:cs="Open Sans" w:eastAsia="Open Sans" w:hAnsi="Open Sans"/>
                <w:color w:val="1e2733"/>
                <w:sz w:val="20"/>
                <w:szCs w:val="20"/>
                <w:rtl w:val="0"/>
              </w:rPr>
              <w:t xml:space="preserve">Supported senior analysts in the analysis of customer trends to provide playbooks for management.</w:t>
            </w:r>
          </w:p>
        </w:tc>
      </w:tr>
      <w:tr>
        <w:trPr>
          <w:cantSplit w:val="0"/>
          <w:trHeight w:val="435" w:hRule="atLeast"/>
          <w:tblHeader w:val="0"/>
        </w:trPr>
        <w:tc>
          <w:tcPr>
            <w:gridSpan w:val="6"/>
            <w:tcBorders>
              <w:bottom w:color="5cadd6"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color w:val="5cadd6"/>
                <w:sz w:val="24"/>
                <w:szCs w:val="24"/>
              </w:rPr>
            </w:pPr>
            <w:r w:rsidDel="00000000" w:rsidR="00000000" w:rsidRPr="00000000">
              <w:rPr>
                <w:rFonts w:ascii="Open Sans" w:cs="Open Sans" w:eastAsia="Open Sans" w:hAnsi="Open Sans"/>
                <w:b w:val="1"/>
                <w:color w:val="5cadd6"/>
                <w:sz w:val="24"/>
                <w:szCs w:val="24"/>
                <w:rtl w:val="0"/>
              </w:rPr>
              <w:t xml:space="preserve">EDUCATION</w:t>
            </w:r>
          </w:p>
        </w:tc>
      </w:tr>
      <w:tr>
        <w:trPr>
          <w:cantSplit w:val="0"/>
          <w:trHeight w:val="200" w:hRule="atLeast"/>
          <w:tblHeader w:val="0"/>
        </w:trPr>
        <w:tc>
          <w:tcPr>
            <w:gridSpan w:val="6"/>
            <w:tcBorders>
              <w:top w:color="5cadd6"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46">
            <w:pPr>
              <w:widowControl w:val="0"/>
              <w:spacing w:after="40" w:line="240" w:lineRule="auto"/>
              <w:rPr>
                <w:rFonts w:ascii="Open Sans" w:cs="Open Sans" w:eastAsia="Open Sans" w:hAnsi="Open Sans"/>
                <w:b w:val="1"/>
                <w:color w:val="1e2733"/>
                <w:sz w:val="24"/>
                <w:szCs w:val="24"/>
              </w:rPr>
            </w:pPr>
            <w:r w:rsidDel="00000000" w:rsidR="00000000" w:rsidRPr="00000000">
              <w:rPr>
                <w:rFonts w:ascii="Century Gothic" w:cs="Century Gothic" w:eastAsia="Century Gothic" w:hAnsi="Century Gothic"/>
                <w:b w:val="1"/>
                <w:color w:val="222222"/>
                <w:sz w:val="24"/>
                <w:szCs w:val="24"/>
                <w:highlight w:val="white"/>
                <w:rtl w:val="0"/>
              </w:rPr>
              <w:t xml:space="preserve">University of Nebraska – Lincoln</w:t>
            </w:r>
            <w:r w:rsidDel="00000000" w:rsidR="00000000" w:rsidRPr="00000000">
              <w:rPr>
                <w:rFonts w:ascii="Open Sans" w:cs="Open Sans" w:eastAsia="Open Sans" w:hAnsi="Open Sans"/>
                <w:b w:val="1"/>
                <w:color w:val="1e2733"/>
                <w:sz w:val="24"/>
                <w:szCs w:val="24"/>
                <w:rtl w:val="0"/>
              </w:rPr>
              <w:t xml:space="preserve"> </w:t>
            </w:r>
            <w:r w:rsidDel="00000000" w:rsidR="00000000" w:rsidRPr="00000000">
              <w:rPr>
                <w:rFonts w:ascii="Century Gothic" w:cs="Century Gothic" w:eastAsia="Century Gothic" w:hAnsi="Century Gothic"/>
                <w:b w:val="1"/>
                <w:color w:val="222222"/>
                <w:sz w:val="24"/>
                <w:szCs w:val="24"/>
                <w:highlight w:val="white"/>
                <w:rtl w:val="0"/>
              </w:rPr>
              <w:t xml:space="preserve">2021</w:t>
            </w:r>
            <w:r w:rsidDel="00000000" w:rsidR="00000000" w:rsidRPr="00000000">
              <w:rPr>
                <w:rtl w:val="0"/>
              </w:rPr>
            </w:r>
          </w:p>
          <w:p w:rsidR="00000000" w:rsidDel="00000000" w:rsidP="00000000" w:rsidRDefault="00000000" w:rsidRPr="00000000" w14:paraId="00000047">
            <w:pPr>
              <w:widowControl w:val="0"/>
              <w:spacing w:after="60" w:line="216" w:lineRule="auto"/>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Bachelor of Arts and Science in Mathematics and Physics</w:t>
            </w:r>
          </w:p>
          <w:p w:rsidR="00000000" w:rsidDel="00000000" w:rsidP="00000000" w:rsidRDefault="00000000" w:rsidRPr="00000000" w14:paraId="00000048">
            <w:pPr>
              <w:widowControl w:val="0"/>
              <w:spacing w:after="60" w:line="216" w:lineRule="auto"/>
              <w:rPr>
                <w:rFonts w:ascii="Open Sans" w:cs="Open Sans" w:eastAsia="Open Sans" w:hAnsi="Open Sans"/>
                <w:color w:val="1e2733"/>
                <w:sz w:val="20"/>
                <w:szCs w:val="20"/>
              </w:rPr>
            </w:pPr>
            <w:r w:rsidDel="00000000" w:rsidR="00000000" w:rsidRPr="00000000">
              <w:rPr>
                <w:rFonts w:ascii="Open Sans" w:cs="Open Sans" w:eastAsia="Open Sans" w:hAnsi="Open Sans"/>
                <w:color w:val="1e2733"/>
                <w:sz w:val="20"/>
                <w:szCs w:val="20"/>
                <w:rtl w:val="0"/>
              </w:rPr>
              <w:t xml:space="preserve">Minor: Computer Science</w:t>
            </w:r>
            <w:r w:rsidDel="00000000" w:rsidR="00000000" w:rsidRPr="00000000">
              <w:rPr>
                <w:rtl w:val="0"/>
              </w:rPr>
            </w:r>
          </w:p>
          <w:p w:rsidR="00000000" w:rsidDel="00000000" w:rsidP="00000000" w:rsidRDefault="00000000" w:rsidRPr="00000000" w14:paraId="00000049">
            <w:pPr>
              <w:widowControl w:val="0"/>
              <w:spacing w:line="240" w:lineRule="auto"/>
              <w:rPr>
                <w:rFonts w:ascii="Open Sans" w:cs="Open Sans" w:eastAsia="Open Sans" w:hAnsi="Open Sans"/>
                <w:color w:val="1e2733"/>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1e2733"/>
                <w:sz w:val="20"/>
                <w:szCs w:val="20"/>
              </w:rPr>
            </w:pPr>
            <w:r w:rsidDel="00000000" w:rsidR="00000000" w:rsidRPr="00000000">
              <w:rPr>
                <w:rtl w:val="0"/>
              </w:rPr>
            </w:r>
          </w:p>
        </w:tc>
      </w:tr>
    </w:tbl>
    <w:p w:rsidR="00000000" w:rsidDel="00000000" w:rsidP="00000000" w:rsidRDefault="00000000" w:rsidRPr="00000000" w14:paraId="00000050">
      <w:pPr>
        <w:widowControl w:val="0"/>
        <w:spacing w:after="200" w:line="240" w:lineRule="auto"/>
        <w:ind w:left="0" w:firstLine="0"/>
        <w:rPr>
          <w:rFonts w:ascii="Poppins Light" w:cs="Poppins Light" w:eastAsia="Poppins Light" w:hAnsi="Poppins Light"/>
          <w:color w:val="717373"/>
          <w:sz w:val="20"/>
          <w:szCs w:val="20"/>
        </w:rPr>
      </w:pPr>
      <w:r w:rsidDel="00000000" w:rsidR="00000000" w:rsidRPr="00000000">
        <w:rPr>
          <w:rtl w:val="0"/>
        </w:rPr>
      </w:r>
    </w:p>
    <w:sectPr>
      <w:headerReference r:id="rId6" w:type="default"/>
      <w:headerReference r:id="rId7" w:type="even"/>
      <w:footerReference r:id="rId8" w:type="even"/>
      <w:pgSz w:h="15840" w:w="12240" w:orient="portrait"/>
      <w:pgMar w:bottom="0" w:top="0" w:left="936.0000000000001" w:right="936.0000000000001"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ExtraBold">
    <w:embedBold w:fontKey="{00000000-0000-0000-0000-000000000000}" r:id="rId13" w:subsetted="0"/>
    <w:embedBoldItalic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Century Gothic">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CenturyGothic-bold.ttf"/><Relationship Id="rId11" Type="http://schemas.openxmlformats.org/officeDocument/2006/relationships/font" Target="fonts/OpenSansSemiBold-italic.ttf"/><Relationship Id="rId22" Type="http://schemas.openxmlformats.org/officeDocument/2006/relationships/font" Target="fonts/CenturyGothic-boldItalic.ttf"/><Relationship Id="rId10" Type="http://schemas.openxmlformats.org/officeDocument/2006/relationships/font" Target="fonts/OpenSansSemiBold-bold.ttf"/><Relationship Id="rId21" Type="http://schemas.openxmlformats.org/officeDocument/2006/relationships/font" Target="fonts/CenturyGothic-italic.ttf"/><Relationship Id="rId13" Type="http://schemas.openxmlformats.org/officeDocument/2006/relationships/font" Target="fonts/OpenSansExtraBold-bold.ttf"/><Relationship Id="rId12" Type="http://schemas.openxmlformats.org/officeDocument/2006/relationships/font" Target="fonts/OpenSansSemiBold-boldItalic.ttf"/><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9" Type="http://schemas.openxmlformats.org/officeDocument/2006/relationships/font" Target="fonts/OpenSansSemiBold-regular.ttf"/><Relationship Id="rId15" Type="http://schemas.openxmlformats.org/officeDocument/2006/relationships/font" Target="fonts/OpenSans-regular.ttf"/><Relationship Id="rId14" Type="http://schemas.openxmlformats.org/officeDocument/2006/relationships/font" Target="fonts/OpenSansExtraBold-boldItalic.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PoppinsLight-regular.ttf"/><Relationship Id="rId19" Type="http://schemas.openxmlformats.org/officeDocument/2006/relationships/font" Target="fonts/CenturyGothic-regular.ttf"/><Relationship Id="rId6" Type="http://schemas.openxmlformats.org/officeDocument/2006/relationships/font" Target="fonts/PoppinsLight-bold.ttf"/><Relationship Id="rId18" Type="http://schemas.openxmlformats.org/officeDocument/2006/relationships/font" Target="fonts/OpenSans-boldItalic.ttf"/><Relationship Id="rId7" Type="http://schemas.openxmlformats.org/officeDocument/2006/relationships/font" Target="fonts/PoppinsLight-italic.ttf"/><Relationship Id="rId8" Type="http://schemas.openxmlformats.org/officeDocument/2006/relationships/font" Target="fonts/Poppi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