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TAGFC — NATOPS Research</w:t>
      </w:r>
    </w:p>
    <w:p>
      <w:pPr>
        <w:spacing w:after="80" w:before="80"/>
        <w:jc w:val="center"/>
      </w:pPr>
      <w:r>
        <w:rPr>
          <w:rFonts w:ascii="Arial" w:cs="Arial" w:eastAsia="Arial" w:hAnsi="Arial"/>
          <w:i/>
          <w:iCs/>
          <w:color w:val="2E75B6"/>
          <w:sz w:val="30"/>
          <w:szCs w:val="30"/>
        </w:rPr>
        <w:t xml:space="preserve">Transformer Attention-Guided Frequency Counterfactual</w:t>
      </w:r>
    </w:p>
    <w:p>
      <w:pPr>
        <w:spacing w:after="80" w:before="80"/>
        <w:jc w:val="center"/>
      </w:pPr>
      <w:r>
        <w:rPr>
          <w:rFonts w:ascii="Arial" w:cs="Arial" w:eastAsia="Arial" w:hAnsi="Arial"/>
          <w:color w:val="444444"/>
          <w:sz w:val="22"/>
          <w:szCs w:val="22"/>
        </w:rPr>
        <w:t xml:space="preserve">Applied to NATOPS 6-class Gesture Recognition (UEA Archive)</w:t>
      </w:r>
    </w:p>
    <w:p>
      <w:pPr>
        <w:spacing w:after="600" w:before="120"/>
        <w:jc w:val="center"/>
      </w:pPr>
      <w:r>
        <w:rPr>
          <w:rFonts w:ascii="Arial" w:cs="Arial" w:eastAsia="Arial" w:hAnsi="Arial"/>
          <w:i/>
          <w:iCs/>
          <w:color w:val="444444"/>
          <w:sz w:val="20"/>
          <w:szCs w:val="20"/>
        </w:rPr>
        <w:t xml:space="preserve">Complete Context for New Chat Session  |  PhD / MTP Thesis Work</w:t>
      </w:r>
    </w:p>
    <w:p>
      <w:r>
        <w:br w:type="page"/>
      </w:r>
    </w:p>
    <w:p>
      <w:pPr>
        <w:pStyle w:val="Heading1"/>
        <w:spacing w:after="120" w:before="300"/>
      </w:pPr>
      <w:r>
        <w:rPr>
          <w:rFonts w:ascii="Arial" w:cs="Arial" w:eastAsia="Arial" w:hAnsi="Arial"/>
          <w:b/>
          <w:bCs/>
          <w:color w:val="1F3864"/>
          <w:sz w:val="30"/>
          <w:szCs w:val="30"/>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One-Sentence Summary</w:t>
            </w:r>
          </w:p>
          <w:p>
            <w:pPr>
              <w:spacing w:before="40"/>
            </w:pPr>
            <w:r>
              <w:rPr>
                <w:rFonts w:ascii="Arial" w:cs="Arial" w:eastAsia="Arial" w:hAnsi="Arial"/>
                <w:color w:val="000000"/>
                <w:sz w:val="20"/>
                <w:szCs w:val="20"/>
              </w:rPr>
              <w:t xml:space="preserve">TAGFC generates minimal, sparse, physically-coherent counterfactual explanations for a Transformer-based multivariate time series classifier by combining (1) Attention Rollout saliency, (2) Haar wavelet-domain perturbation, (3) Mahalanobis cross-sensor coherence, and (4) Proximal Gradient Descent with soft-thresholding for exact L1 sparsity.</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1.1 Research Goal</w:t>
      </w:r>
    </w:p>
    <w:p>
      <w:pPr>
        <w:spacing w:after="60" w:before="60"/>
      </w:pPr>
      <w:r>
        <w:rPr>
          <w:rFonts w:ascii="Arial" w:cs="Arial" w:eastAsia="Arial" w:hAnsi="Arial"/>
          <w:color w:val="000000"/>
          <w:sz w:val="20"/>
          <w:szCs w:val="20"/>
        </w:rPr>
        <w:t xml:space="preserve">Given a Transformer that classifies a 51-timestep, 24-channel gesture sequence into one of 6 NATOPS classes, produce a counterfactual X_cf — minimally different from the query X — such that the model predicts a different target class y*. The counterfactual should be (a) valid (actually flips prediction), (b) sparse (few coefficients changed), (c) physically plausible (respects inter-sensor correlations), and (d) interpretable in 3 dimensions: which sensor, which timestep, which frequency band.</w:t>
      </w:r>
    </w:p>
    <w:p>
      <w:pPr>
        <w:spacing w:after="60" w:before="60"/>
      </w:pPr>
      <w:r>
        <w:t xml:space="preserve"/>
      </w:r>
    </w:p>
    <w:p>
      <w:pPr>
        <w:pStyle w:val="Heading2"/>
        <w:spacing w:after="80" w:before="220"/>
      </w:pPr>
      <w:r>
        <w:rPr>
          <w:rFonts w:ascii="Arial" w:cs="Arial" w:eastAsia="Arial" w:hAnsi="Arial"/>
          <w:b/>
          <w:bCs/>
          <w:color w:val="2E75B6"/>
          <w:sz w:val="24"/>
          <w:szCs w:val="24"/>
        </w:rPr>
        <w:t xml:space="preserve">1.2 Dataset: NATOPS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Full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Naval Air Training and Operating Procedures Standardization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UEA Multivariate Time Series Archive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NATOPS_TRAIN.arff  |  NATOPS_TEST.arff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Shape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 = 51 timesteps,  D = 24 sensor channels,  K = 6 gesture classes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Sensors (24)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Right/Left: Hand (x,y,z), Elbow (x,y,z), Wrist (x,y,z), Thumb (x,y,z)</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Classes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0=I have command, 1=All clear, 2=Not clear, 3=Spread wings, 4=Fold wings, 5=Lock wings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Preprocessing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Z-score normalise per channel (fit on TRAIN only). Labels re-indexed 0..5.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data/raw/NATOPS/NATOPS_TRAIN.arff  and  NATOPS_TEST.arff</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2. Codebase Structure — 4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TAGFC_Natops/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MAIN FOLDER. Full TAGFC pipeline + all 3 baselines in one place. Has run successfully — outputs, figures, model, and pkl results all saved.</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00000"/>
                <w:sz w:val="18"/>
                <w:szCs w:val="18"/>
              </w:rPr>
              <w:t xml:space="preserve">Comte_Natops/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Standalone CoMTE-only pipeline. Separate Transformer trained. Own figures (F1-F11). Already run.</w:t>
            </w:r>
          </w:p>
        </w:tc>
      </w:tr>
      <w:tr>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00000"/>
                <w:sz w:val="18"/>
                <w:szCs w:val="18"/>
              </w:rPr>
              <w:t xml:space="preserve">AB_CF_Natops/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Standalone AB-CF-only pipeline. Separate Transformer trained. Own figures (F1-F13). Already run.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NATOPS_XAI/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Earlier combined version (TAGFC + baselines). Also has results_natops.pkl and figures. Predecessor to TAGFC_Natops/.</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2.1 TAGFC_Natops/ —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Single Config dataclass. All hyperparameters, paths, dataset constants. Singleton cfg = Config().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data_pipeline.py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load_natops() — reads .arff, strips labels, z-scores. get_dataloaders() — PyTorch DataLoader wrappers.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transformer_model.py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TransformerNATOPS class. Architecture + training utilities + attention_rollout() + input_gradient().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haar_wavelet.py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HaarWT class. dwt2d(X:(T,D)) → (D,L). idwt2d(C:(D,L)) → (T,D). Pure NumPy, 3 levels, T=51 → L=64.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tagfc_core.py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compute_omega() function + TAGFCOptimizer class. The full TAGFC algorithm.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baselines.py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CoMTE class (greedy channel swap) + ABCF class (entropy segment swap). Both use NUN from training set.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evaluation.py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compute_metrics() (8 metrics per pair) + aggregate() + run_wilcoxon() with Bonferroni correction.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visualization.py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13 figure-generating functions (F1-F13). All save to outputs/figures/.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main.py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7-step pipeline: data → train → explain (TAGFC+CoMTE+AB-CF) → metrics → Wilcoxon → figures.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outputs/results_natops_tagfc.pkl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Saved raw results dict: keys tagfc, comte, abcf, tagfc_cfs.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outputs/models/transformer_natops_tagfc.pt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Saved PyTorch state dict for TransformerNATOPS.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outputs/figures/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F1-F13 PNG figures — training curves, confusion matrix, CF explanations, metrics, Wilcoxon scatter.</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3. TransformerNATOPS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 T=51, D=24) batch of gesture sequences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Linear(24 → 64) + sinusoidal positional encoding (SinPE)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Encoder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 × TransformerEncoderLayer(d_model=64, nhead=4, d_ff=128, dropout=0.1, norm_first=True, batch_first=True)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Pooling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LayerNorm → MeanPool over T dimension → Dropout(0.1)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Output head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Linear(64 → 6) → logits (B, 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Training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AdamW(lr=1e-3, wd=1e-4) + CosineAnnealingLR, 200 epochs, batch=32, CrossEntropyLoss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Best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Checkpoint saved when val_acc improves. Restored at end of training.</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3.1 attention_rollout(x_np) — Abnar &amp; Zuidema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x_np: (T=51, D=24) numpy array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Step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Forward pass with capture_attn=True. Each layer manually runs self_attn(need_weights=True, average_attn_weights=False) to capture per-head (H, T, T) attention matrices.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Average over H heads per layer: A_mean = attn[0].mean(dim=0) → (T, 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Residual correction: A_hat = 0.5 * A_mean + 0.5 * I_T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Step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Row-normalise: A_hat = A_hat / rowsum(A_hat)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Step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Rollout: R = I_T; for each layer: R = R @ A_hat. Result: (T, 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 = R.sum(dim=0) → (T,). Min-max normalise to [0,1]. High s_t = Transformer attended heavily to timestep t.</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3.2 input_gradient(x_np, target_class)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Compute |∂logit[target_class] / ∂X| — how sensitive the model output is to each input feature.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Enable requires_grad on input tensor. Forward pass. Call .backward() on logit of target class. Return x.grad[0]: (T, 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Used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compute_omega() in tagfc_core.py to build the wavelet-domain gradient importance map.</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4. Haar Wavelet Transform (haar_wavelet.py)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HaarWT(levels=3)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dwt2d(X)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Input: (T=51, D=24). For each of D channels independently: apply 3-level Haar DWT. Pads to next power-of-2 if needed. Returns C: (D=24, L=64) — all coefficients concatenated.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idwt2d(C)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Input: (D=24, L=64). Reconstructs (T, D) time series. Haar is orthogonal so iDWT is exact inverse.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Coefficient 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L=64 coefficients per sensor: [approx_L3 | detail_L3 | detail_L2 | detail_L1]. Approx = slow motion trend. Detail_L1 = fast joint transitions.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Key property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Orthogonality: gradient w.r.t. coefficients = DWT(gradient w.r.t. X). Allows converting time-domain gradients to coefficient-domain gradients exactly.</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5. TAGFC Algorithm — Complete 5-Step Detail</w:t>
      </w:r>
    </w:p>
    <w:p>
      <w:pPr>
        <w:pStyle w:val="Heading2"/>
        <w:spacing w:after="80" w:before="220"/>
      </w:pPr>
      <w:r>
        <w:rPr>
          <w:rFonts w:ascii="Arial" w:cs="Arial" w:eastAsia="Arial" w:hAnsi="Arial"/>
          <w:b/>
          <w:bCs/>
          <w:color w:val="2E75B6"/>
          <w:sz w:val="24"/>
          <w:szCs w:val="24"/>
        </w:rPr>
        <w:t xml:space="preserve">Step 1: Attention Rollout → Temporal Saliency s ∈ [0,1]^T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Formula</w:t>
            </w:r>
          </w:p>
          <w:p>
            <w:pPr>
              <w:spacing w:before="40"/>
            </w:pPr>
            <w:r>
              <w:rPr>
                <w:rFonts w:ascii="Arial" w:cs="Arial" w:eastAsia="Arial" w:hAnsi="Arial"/>
                <w:color w:val="000000"/>
                <w:sz w:val="20"/>
                <w:szCs w:val="20"/>
              </w:rPr>
              <w:t xml:space="preserve">A_hat^l = 0.5 * A^l + 0.5 * I_T   (per layer, averaged over heads)
Rollout = I_T @ A_hat^1 @ A_hat^2 @ ... @ A_hat^L
s_t = column_sum(Rollout),  then min-max normalise to [0,1]
High s_t = model attends to timestep t. Low s_t = model ignores timestep t.</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Step 2: Haar DWT → Coefficient Space C ∈ R^{D×L}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Formula</w:t>
            </w:r>
          </w:p>
          <w:p>
            <w:pPr>
              <w:spacing w:before="40"/>
            </w:pPr>
            <w:r>
              <w:rPr>
                <w:rFonts w:ascii="Arial" w:cs="Arial" w:eastAsia="Arial" w:hAnsi="Arial"/>
                <w:color w:val="000000"/>
                <w:sz w:val="20"/>
                <w:szCs w:val="20"/>
              </w:rPr>
              <w:t xml:space="preserve">C = HaarWT.dwt2d(X)   shape: (D=24, L=64)
Separates each sensor into 3 frequency scales:
  Approx (L3): slow overall gesture trajectory
  Detail L3: medium-speed joint transitions
  Detail L1: fast tremor / noise
Perturbation delta acts in this coefficient space.</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Step 3: Omega Weights → Per-Coefficient Penalty ω ∈ [0,1]^{D×L}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Formula</w:t>
            </w:r>
          </w:p>
          <w:p>
            <w:pPr>
              <w:spacing w:before="40"/>
            </w:pPr>
            <w:r>
              <w:rPr>
                <w:rFonts w:ascii="Arial" w:cs="Arial" w:eastAsia="Arial" w:hAnsi="Arial"/>
                <w:color w:val="000000"/>
                <w:sz w:val="20"/>
                <w:szCs w:val="20"/>
              </w:rPr>
              <w:t xml:space="preserve">G = |∂logit_{y_tgt}/∂X|                   (input gradient, shape T×D)
G_smooth = GaussianFilter(G, sigma=1.5)      (smooth noise)
G_norm = G_smooth / G_smooth.max()           (normalise to [0,1])
G_wav = HaarWT.dwt2d(|G_norm|)               (wavelet-domain gradient, shape D×L)
G_wav = G_wav / G_wav.max()                  (normalise)
s_coeff[l] = s[round(l/L * T)]               (map temporal saliency to coeff positions)
M = s_coeff[None,:] * G_wav + 1e-8           (joint attention × gradient importance)
omega = 1/M,  then normalise to [0,1]
Low omega = IMPORTANT coefficient (expensive to change).
High omega = UNIMPORTANT coefficient (cheap to change freely).</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Step 4: Four-Term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Formula</w:t>
            </w:r>
          </w:p>
          <w:p>
            <w:pPr>
              <w:spacing w:before="40"/>
            </w:pPr>
            <w:r>
              <w:rPr>
                <w:rFonts w:ascii="Arial" w:cs="Arial" w:eastAsia="Arial" w:hAnsi="Arial"/>
                <w:color w:val="000000"/>
                <w:sz w:val="20"/>
                <w:szCs w:val="20"/>
              </w:rPr>
              <w:t xml:space="preserve">delta* = argmin_delta  L_flip + lambda1*L_sparse + lambda2*L_cross + lambda3*L_manifold
L_flip     = -log P(y_tgt | iDWT(C + delta))     [push model toward target class]
L_sparse   = sum_{d,l} omega_{d,l} * |delta_{d,l}|  [omega-weighted L1 sparsity]
L_cross    = diff^T * Sigma^{-1} * diff             [Mahalanobis cross-sensor coherence]
             where diff = mean_T(X_cf - X)  shape (D,)
L_manifold = ||X_cf - X_nn||^2_F / (T*D)           [stay near real training data]
             where X_nn = nearest training sample of class y_tgt
Hyperparameters: lambda1=0.02, lambda2=0.01, lambda3=0.10
Sigma_inv computed from training data: cov(X_train.reshape(-1, D)) + 1e-4*I, then inverted.</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Step 5: Proximal Gradient Descent with Soft-Thresholding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Formula</w:t>
            </w:r>
          </w:p>
          <w:p>
            <w:pPr>
              <w:spacing w:before="40"/>
            </w:pPr>
            <w:r>
              <w:rPr>
                <w:rFonts w:ascii="Arial" w:cs="Arial" w:eastAsia="Arial" w:hAnsi="Arial"/>
                <w:color w:val="000000"/>
                <w:sz w:val="20"/>
                <w:szCs w:val="20"/>
              </w:rPr>
              <w:t xml:space="preserve">For k = 1 ... MAX_ITER=300:
  X_cf = iDWT(C + delta)
  grad_flip     = backward(-log P(y_tgt | X_cf)) w.r.t. X_cf   [shape: T×D]
  grad_cross    = Sigma^{-1} @ mean_T(X_cf - X) / T            [shape: D, broadcast]
  grad_manifold = 2*(X_cf - X_nn) / (T*D)                      [shape: T×D]
  grad_X = grad_flip + lambda2*grad_cross + lambda3*grad_manifold
  grad_delta = HaarWT.dwt2d(grad_X)             [convert to coeff domain]
  Gradient step:  delta_new = delta - LR_OPT * grad_delta
  Soft threshold: delta_prox = sign(delta_new) * max(|delta_new| - LR_OPT*lambda1*omega, 0)
  Bound clip:     delta = clip(delta_prox, -2.5, +2.5)
  If model predicts y_tgt: patience++. Stop when patience &gt;= PATIENCE=25.
Output: X_cf_final = iDWT(C + best_delta)</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5.1 3D Explanation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Sensor importance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sensor_imp[d] = sum_l |best_delta[d,l]|  — which of 24 sensors was changed most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Temporal saliency (T,)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temporal_saliency = attention_rollout(X)  — which of 51 timesteps model attended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Frequency importance (L,)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freq_imp[l] = sum_d |best_delta[d,l]|  — which wavelet band (slow/medium/fast) was modified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Raw delta (D×L)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best_delta: the full wavelet-coefficient perturbation matrix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Omega (D×L)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omega: the penalty weight matrix (visualised as F9 heatmap)</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6. Baselines (baselines.py)</w:t>
      </w:r>
    </w:p>
    <w:p>
      <w:pPr>
        <w:pStyle w:val="Heading2"/>
        <w:spacing w:after="80" w:before="220"/>
      </w:pPr>
      <w:r>
        <w:rPr>
          <w:rFonts w:ascii="Arial" w:cs="Arial" w:eastAsia="Arial" w:hAnsi="Arial"/>
          <w:b/>
          <w:bCs/>
          <w:color w:val="2E75B6"/>
          <w:sz w:val="24"/>
          <w:szCs w:val="24"/>
        </w:rPr>
        <w:t xml:space="preserve">6.1 CoMTE — Ates et al. (ICAPAI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18"/>
                <w:szCs w:val="18"/>
              </w:rPr>
              <w:t xml:space="preserve">Citation</w:t>
            </w:r>
          </w:p>
          <w:p>
            <w:pPr>
              <w:spacing w:before="40"/>
            </w:pPr>
            <w:r>
              <w:rPr>
                <w:rFonts w:ascii="Arial" w:cs="Arial" w:eastAsia="Arial" w:hAnsi="Arial"/>
                <w:color w:val="000000"/>
                <w:sz w:val="20"/>
                <w:szCs w:val="20"/>
              </w:rPr>
              <w:t xml:space="preserve">Ates, E., Aksar, B., Leung, V.J., Coskun, A.K. "Counterfactual Explanations for Multivariate Time Series." ICAPAI 2021. DOI: 10.1109/ICAPAI49758.2021.9462056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Core idea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Find Nearest Unlike Neighbour (NUN) of target class. Greedily swap entire channels (all T timesteps) from NUN. At each step, pick the unswapped channel that maximises P(y_tgt | X_cf). Stop when prediction flips.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class CoMTE. explain(X, y_tgt) → (X_cf, info). NUN found by L2 distance in flattened space. Greedy loop over D channels. Returns channels_swapped count.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Limitation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Swaps ENTIRE channels — no temporal or frequency granularity. Explanation = only "which sensor", not "when" or "which frequency".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Key difference from TAGFC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CoMTE: binary channel-swap decision. TAGFC: continuous wavelet-coefficient perturbation guided by attention saliency.</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6.2 AB-CF — Li et al. (DaWaK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18"/>
                <w:szCs w:val="18"/>
              </w:rPr>
              <w:t xml:space="preserve">Citation</w:t>
            </w:r>
          </w:p>
          <w:p>
            <w:pPr>
              <w:spacing w:before="40"/>
            </w:pPr>
            <w:r>
              <w:rPr>
                <w:rFonts w:ascii="Arial" w:cs="Arial" w:eastAsia="Arial" w:hAnsi="Arial"/>
                <w:color w:val="000000"/>
                <w:sz w:val="20"/>
                <w:szCs w:val="20"/>
              </w:rPr>
              <w:t xml:space="preserve">Li, P., Bahri, O., Boubrahimi, S.F., Hamdi, S.M. "Attention-Based Counterfactual Explanation for Multivariate Time Series." DaWaK 2023. DOI: 10.1007/978-3-031-39831-5_26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Core idea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Find NUN of target class. Slide window of length L=int(0.15*T)~7 over all D channels and time segments. Zero-pad each (channel, segment) probe and feed to model. Rank by Shannon entropy H = -sum(p_c * log2(p_c)). Lowest entropy = most discriminative. Swap from NUN in that order until flip.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class ABCF(window_frac=0.15). explain(X, y_tgt) → (X_cf, info). Generates D * ceil(T/L) candidates. Sorts ascending by entropy. Swaps in order.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Limitation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Window-level granularity only. No frequency domain. No cross-sensor coherence. Single attention metric (entropy).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Key difference from TAGFC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AB-CF uses model output entropy as proxy for importance. TAGFC uses Transformer attention rollout across ALL layers combined with input gradient in wavelet domain.</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7. Evaluation Framework (evaluation.py)</w:t>
      </w:r>
    </w:p>
    <w:p>
      <w:pPr>
        <w:pStyle w:val="Heading2"/>
        <w:spacing w:after="80" w:before="220"/>
      </w:pPr>
      <w:r>
        <w:rPr>
          <w:rFonts w:ascii="Arial" w:cs="Arial" w:eastAsia="Arial" w:hAnsi="Arial"/>
          <w:b/>
          <w:bCs/>
          <w:color w:val="2E75B6"/>
          <w:sz w:val="24"/>
          <w:szCs w:val="24"/>
        </w:rPr>
        <w:t xml:space="preserve">7.1 Eight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validity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Did CF flip prediction? (y_tgt == argmax P(y|X_cf)). Binary 0/1.   HIGHER IS BETTER.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proximity_l1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L1 distance ||X_cf - X_orig||_1. LOWER IS BETTER.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proximity_l2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L2 distance ||X_cf - X_orig||_2. LOWER IS BETTER.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proximity_linf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L-infinity distance max|X_cf - X_orig|. LOWER IS BETTER.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sparsity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Fraction of (T,D) features unchanged: mean(|X_cf - X_orig| &lt; 1e-6). HIGHER IS BETTER.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coherence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Mahalanobis distance: mean_T(X_cf-X)^T * Sigma_inv * mean_T(X_cf-X). LOWER IS BETTER.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cf_confidence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Model confidence on target class P(y_tgt | X_cf). HIGHER IS BETTER.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rcf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Relative CF distance: L2(X,X_cf) / L2(X,NUN). &lt; 1 means CF closer than NUN. LOWER IS BETTER.</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7.2 Statistical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Paired Wilcoxon signed-rank test (non-parametric, does not assume normality).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Correction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Bonferroni: alpha_corr = 0.05 / 6 metrics = 0.0083.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Comparisons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TAGFC vs CoMTE  AND  TAGFC vs AB-CF. Both run in main.py step 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Reporting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TAGFC better (p &lt; alpha_corr AND TAGFC mean better). (!!) baseline better. Blank = not significant.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Raw values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per-sample metric values saved in results_natops_tagfc.pkl for offline analysis.</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8. Current Status — What Has Already Been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All three pipelines have been executed</w:t>
            </w:r>
          </w:p>
          <w:p>
            <w:pPr>
              <w:spacing w:before="40"/>
            </w:pPr>
            <w:r>
              <w:rPr>
                <w:rFonts w:ascii="Arial" w:cs="Arial" w:eastAsia="Arial" w:hAnsi="Arial"/>
                <w:color w:val="000000"/>
                <w:sz w:val="20"/>
                <w:szCs w:val="20"/>
              </w:rPr>
              <w:t xml:space="preserve">TAGFC_Natops/main.py has completed. Model trained, counterfactuals generated for N_EXPLAIN=30 test samples (5 per class, balanced), all 3 methods compared, Wilcoxon tests run, all 13 figures saved.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TAGFC_Natops/outputs/results_natops_tagfc.pkl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Raw results dict with keys: tagfc, comte, abcf, tagfc_cfs. Contains per-sample metric dicts.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TAGFC_Natops/outputs/models/transformer_natops_tagfc.pt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Trained TransformerNATOPS state dict. Loads without retraining.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TAGFC_Natops/outputs/figures/F1_training_curves.png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Train/val loss and accuracy over 200 epochs.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F2_confusion_matrix.png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6x6 confusion matrix on test set.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F3_class_distribution.png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Class balance in train/test.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F4_cf_timeseries_sample{0,1,2}.png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Original vs CF overlay for first 3 samples (24 sensors shown).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F5_temporal_saliency_sample{0,1,2}.png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Attention rollout saliency bar chart across T=51 timesteps.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F6_sensor_importance_sample{0,1,2}.png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Per-sensor importance V_d across 24 channels.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F7_freq_importance_sample{0,1,2}.png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Per-frequency-band importance F_l across L=64 coefficients.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F8_delta_heatmap_sample{0,1,2}.png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Heatmap of best_delta (D×L) — what was perturbed where in wavelet space.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F9_omega_heatmap_sample{0,1,2}.png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Heatmap of omega (D×L) — the penalty weight / importance map.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F10_metric_comparison.png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 chart: TAGFC vs CoMTE vs AB-CF on all 8 metrics (with error bars).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F11_proximity_validity_scatter.png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Scatter: proximity_l1 vs validity rate for all 3 methods.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F12_per_class_validity.png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Validity rate broken down by original gesture class (6 classes).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F13_convergence_sample{0,1,2}.png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Optimisation history: L_flip, L_sparse, L_cross, L_manifold per iteration.</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9. Why TAGFC Is Better — 5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F3864" w:val="clear"/>
            <w:tcMar>
              <w:top w:type="dxa" w:w="70"/>
              <w:left w:type="dxa" w:w="90"/>
              <w:bottom w:type="dxa" w:w="70"/>
              <w:right w:type="dxa" w:w="90"/>
            </w:tcMar>
          </w:tcPr>
          <w:p>
            <w:r>
              <w:rPr>
                <w:rFonts w:ascii="Arial" w:cs="Arial" w:eastAsia="Arial" w:hAnsi="Arial"/>
                <w:b/>
                <w:bCs/>
                <w:color w:val="FFFFFF"/>
                <w:sz w:val="16"/>
                <w:szCs w:val="16"/>
              </w:rPr>
              <w:t xml:space="preserve">Property</w:t>
            </w:r>
          </w:p>
        </w:tc>
        <w:tc>
          <w:tcPr>
            <w:tcW w:type="dxa" w:w="1800"/>
            <w:tcBorders>
              <w:top w:val="single" w:color="CCCCCC" w:sz="1"/>
              <w:left w:val="single" w:color="CCCCCC" w:sz="1"/>
              <w:bottom w:val="single" w:color="CCCCCC" w:sz="1"/>
              <w:right w:val="single" w:color="CCCCCC" w:sz="1"/>
            </w:tcBorders>
            <w:shd w:fill="1F3864" w:val="clear"/>
            <w:tcMar>
              <w:top w:type="dxa" w:w="70"/>
              <w:left w:type="dxa" w:w="90"/>
              <w:bottom w:type="dxa" w:w="70"/>
              <w:right w:type="dxa" w:w="90"/>
            </w:tcMar>
          </w:tcPr>
          <w:p>
            <w:r>
              <w:rPr>
                <w:rFonts w:ascii="Arial" w:cs="Arial" w:eastAsia="Arial" w:hAnsi="Arial"/>
                <w:b/>
                <w:bCs/>
                <w:color w:val="FFFFFF"/>
                <w:sz w:val="16"/>
                <w:szCs w:val="16"/>
              </w:rPr>
              <w:t xml:space="preserve">CoMTE</w:t>
            </w:r>
          </w:p>
        </w:tc>
        <w:tc>
          <w:tcPr>
            <w:tcW w:type="dxa" w:w="1800"/>
            <w:tcBorders>
              <w:top w:val="single" w:color="CCCCCC" w:sz="1"/>
              <w:left w:val="single" w:color="CCCCCC" w:sz="1"/>
              <w:bottom w:val="single" w:color="CCCCCC" w:sz="1"/>
              <w:right w:val="single" w:color="CCCCCC" w:sz="1"/>
            </w:tcBorders>
            <w:shd w:fill="1F3864" w:val="clear"/>
            <w:tcMar>
              <w:top w:type="dxa" w:w="70"/>
              <w:left w:type="dxa" w:w="90"/>
              <w:bottom w:type="dxa" w:w="70"/>
              <w:right w:type="dxa" w:w="90"/>
            </w:tcMar>
          </w:tcPr>
          <w:p>
            <w:r>
              <w:rPr>
                <w:rFonts w:ascii="Arial" w:cs="Arial" w:eastAsia="Arial" w:hAnsi="Arial"/>
                <w:b/>
                <w:bCs/>
                <w:color w:val="FFFFFF"/>
                <w:sz w:val="16"/>
                <w:szCs w:val="16"/>
              </w:rPr>
              <w:t xml:space="preserve">AB-CF</w:t>
            </w:r>
          </w:p>
        </w:tc>
        <w:tc>
          <w:tcPr>
            <w:tcW w:type="dxa" w:w="2960"/>
            <w:tcBorders>
              <w:top w:val="single" w:color="CCCCCC" w:sz="1"/>
              <w:left w:val="single" w:color="CCCCCC" w:sz="1"/>
              <w:bottom w:val="single" w:color="CCCCCC" w:sz="1"/>
              <w:right w:val="single" w:color="CCCCCC" w:sz="1"/>
            </w:tcBorders>
            <w:shd w:fill="1F3864" w:val="clear"/>
            <w:tcMar>
              <w:top w:type="dxa" w:w="70"/>
              <w:left w:type="dxa" w:w="90"/>
              <w:bottom w:type="dxa" w:w="70"/>
              <w:right w:type="dxa" w:w="90"/>
            </w:tcMar>
          </w:tcPr>
          <w:p>
            <w:r>
              <w:rPr>
                <w:rFonts w:ascii="Arial" w:cs="Arial" w:eastAsia="Arial" w:hAnsi="Arial"/>
                <w:b/>
                <w:bCs/>
                <w:color w:val="FFFFFF"/>
                <w:sz w:val="16"/>
                <w:szCs w:val="16"/>
              </w:rPr>
              <w:t xml:space="preserve">TAGFC (yours)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Model access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Black box (NUN only)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Black box (entropy probe)</w:t>
            </w:r>
          </w:p>
        </w:tc>
        <w:tc>
          <w:tcPr>
            <w:tcW w:type="dxa" w:w="2960"/>
            <w:tcBorders>
              <w:top w:val="single" w:color="CCCCCC" w:sz="1"/>
              <w:left w:val="single" w:color="CCCCCC" w:sz="1"/>
              <w:bottom w:val="single" w:color="CCCCCC" w:sz="1"/>
              <w:right w:val="single" w:color="CCCCCC" w:sz="1"/>
            </w:tcBorders>
            <w:shd w:fill="E1F5EE" w:val="clear"/>
            <w:tcMar>
              <w:top w:type="dxa" w:w="60"/>
              <w:left w:type="dxa" w:w="90"/>
              <w:bottom w:type="dxa" w:w="60"/>
              <w:right w:type="dxa" w:w="90"/>
            </w:tcMar>
          </w:tcPr>
          <w:p>
            <w:r>
              <w:rPr>
                <w:rFonts w:ascii="Arial" w:cs="Arial" w:eastAsia="Arial" w:hAnsi="Arial"/>
                <w:b/>
                <w:bCs/>
                <w:color w:val="000000"/>
                <w:sz w:val="15"/>
                <w:szCs w:val="15"/>
              </w:rPr>
              <w:t xml:space="preserve">White box — Attention Rollout ALL L layers ALL H heads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b w:val="false"/>
                <w:bCs w:val="false"/>
                <w:color w:val="000000"/>
                <w:sz w:val="15"/>
                <w:szCs w:val="15"/>
              </w:rPr>
              <w:t xml:space="preserve">Granularity</w:t>
            </w:r>
          </w:p>
        </w:tc>
        <w:tc>
          <w:tcPr>
            <w:tcW w:type="dxa" w:w="18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b w:val="false"/>
                <w:bCs w:val="false"/>
                <w:color w:val="000000"/>
                <w:sz w:val="15"/>
                <w:szCs w:val="15"/>
              </w:rPr>
              <w:t xml:space="preserve">Whole channel (T timesteps)</w:t>
            </w:r>
          </w:p>
        </w:tc>
        <w:tc>
          <w:tcPr>
            <w:tcW w:type="dxa" w:w="18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b w:val="false"/>
                <w:bCs w:val="false"/>
                <w:color w:val="000000"/>
                <w:sz w:val="15"/>
                <w:szCs w:val="15"/>
              </w:rPr>
              <w:t xml:space="preserve">Window segment (~7 timesteps)</w:t>
            </w:r>
          </w:p>
        </w:tc>
        <w:tc>
          <w:tcPr>
            <w:tcW w:type="dxa" w:w="2960"/>
            <w:tcBorders>
              <w:top w:val="single" w:color="CCCCCC" w:sz="1"/>
              <w:left w:val="single" w:color="CCCCCC" w:sz="1"/>
              <w:bottom w:val="single" w:color="CCCCCC" w:sz="1"/>
              <w:right w:val="single" w:color="CCCCCC" w:sz="1"/>
            </w:tcBorders>
            <w:shd w:fill="E1F5EE" w:val="clear"/>
            <w:tcMar>
              <w:top w:type="dxa" w:w="60"/>
              <w:left w:type="dxa" w:w="90"/>
              <w:bottom w:type="dxa" w:w="60"/>
              <w:right w:type="dxa" w:w="90"/>
            </w:tcMar>
          </w:tcPr>
          <w:p>
            <w:r>
              <w:rPr>
                <w:rFonts w:ascii="Arial" w:cs="Arial" w:eastAsia="Arial" w:hAnsi="Arial"/>
                <w:b/>
                <w:bCs/>
                <w:color w:val="000000"/>
                <w:sz w:val="15"/>
                <w:szCs w:val="15"/>
              </w:rPr>
              <w:t xml:space="preserve">Wavelet coefficient (D×L=24×64 space)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Frequency domain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No</w:t>
            </w:r>
          </w:p>
        </w:tc>
        <w:tc>
          <w:tcPr>
            <w:tcW w:type="dxa" w:w="2960"/>
            <w:tcBorders>
              <w:top w:val="single" w:color="CCCCCC" w:sz="1"/>
              <w:left w:val="single" w:color="CCCCCC" w:sz="1"/>
              <w:bottom w:val="single" w:color="CCCCCC" w:sz="1"/>
              <w:right w:val="single" w:color="CCCCCC" w:sz="1"/>
            </w:tcBorders>
            <w:shd w:fill="E1F5EE" w:val="clear"/>
            <w:tcMar>
              <w:top w:type="dxa" w:w="60"/>
              <w:left w:type="dxa" w:w="90"/>
              <w:bottom w:type="dxa" w:w="60"/>
              <w:right w:type="dxa" w:w="90"/>
            </w:tcMar>
          </w:tcPr>
          <w:p>
            <w:r>
              <w:rPr>
                <w:rFonts w:ascii="Arial" w:cs="Arial" w:eastAsia="Arial" w:hAnsi="Arial"/>
                <w:b/>
                <w:bCs/>
                <w:color w:val="000000"/>
                <w:sz w:val="15"/>
                <w:szCs w:val="15"/>
              </w:rPr>
              <w:t xml:space="preserve">YES — Haar DWT decomposes into slow/medium/fast bands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b w:val="false"/>
                <w:bCs w:val="false"/>
                <w:color w:val="000000"/>
                <w:sz w:val="15"/>
                <w:szCs w:val="15"/>
              </w:rPr>
              <w:t xml:space="preserve">Cross-sensor coherence</w:t>
            </w:r>
          </w:p>
        </w:tc>
        <w:tc>
          <w:tcPr>
            <w:tcW w:type="dxa" w:w="18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b w:val="false"/>
                <w:bCs w:val="false"/>
                <w:color w:val="000000"/>
                <w:sz w:val="15"/>
                <w:szCs w:val="15"/>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b w:val="false"/>
                <w:bCs w:val="false"/>
                <w:color w:val="000000"/>
                <w:sz w:val="15"/>
                <w:szCs w:val="15"/>
              </w:rPr>
              <w:t xml:space="preserve">No</w:t>
            </w:r>
          </w:p>
        </w:tc>
        <w:tc>
          <w:tcPr>
            <w:tcW w:type="dxa" w:w="2960"/>
            <w:tcBorders>
              <w:top w:val="single" w:color="CCCCCC" w:sz="1"/>
              <w:left w:val="single" w:color="CCCCCC" w:sz="1"/>
              <w:bottom w:val="single" w:color="CCCCCC" w:sz="1"/>
              <w:right w:val="single" w:color="CCCCCC" w:sz="1"/>
            </w:tcBorders>
            <w:shd w:fill="E1F5EE" w:val="clear"/>
            <w:tcMar>
              <w:top w:type="dxa" w:w="60"/>
              <w:left w:type="dxa" w:w="90"/>
              <w:bottom w:type="dxa" w:w="60"/>
              <w:right w:type="dxa" w:w="90"/>
            </w:tcMar>
          </w:tcPr>
          <w:p>
            <w:r>
              <w:rPr>
                <w:rFonts w:ascii="Arial" w:cs="Arial" w:eastAsia="Arial" w:hAnsi="Arial"/>
                <w:b/>
                <w:bCs/>
                <w:color w:val="000000"/>
                <w:sz w:val="15"/>
                <w:szCs w:val="15"/>
              </w:rPr>
              <w:t xml:space="preserve">YES — Mahalanobis Sigma^{-1} penalises physically impossible changes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Sparsity method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Binary channel swap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Greedy window swap</w:t>
            </w:r>
          </w:p>
        </w:tc>
        <w:tc>
          <w:tcPr>
            <w:tcW w:type="dxa" w:w="2960"/>
            <w:tcBorders>
              <w:top w:val="single" w:color="CCCCCC" w:sz="1"/>
              <w:left w:val="single" w:color="CCCCCC" w:sz="1"/>
              <w:bottom w:val="single" w:color="CCCCCC" w:sz="1"/>
              <w:right w:val="single" w:color="CCCCCC" w:sz="1"/>
            </w:tcBorders>
            <w:shd w:fill="E1F5EE" w:val="clear"/>
            <w:tcMar>
              <w:top w:type="dxa" w:w="60"/>
              <w:left w:type="dxa" w:w="90"/>
              <w:bottom w:type="dxa" w:w="60"/>
              <w:right w:type="dxa" w:w="90"/>
            </w:tcMar>
          </w:tcPr>
          <w:p>
            <w:r>
              <w:rPr>
                <w:rFonts w:ascii="Arial" w:cs="Arial" w:eastAsia="Arial" w:hAnsi="Arial"/>
                <w:b/>
                <w:bCs/>
                <w:color w:val="000000"/>
                <w:sz w:val="15"/>
                <w:szCs w:val="15"/>
              </w:rPr>
              <w:t xml:space="preserve">Exact L1 via Proximal GD soft-thresholding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b w:val="false"/>
                <w:bCs w:val="false"/>
                <w:color w:val="000000"/>
                <w:sz w:val="15"/>
                <w:szCs w:val="15"/>
              </w:rPr>
              <w:t xml:space="preserve">Explanation output</w:t>
            </w:r>
          </w:p>
        </w:tc>
        <w:tc>
          <w:tcPr>
            <w:tcW w:type="dxa" w:w="18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b w:val="false"/>
                <w:bCs w:val="false"/>
                <w:color w:val="000000"/>
                <w:sz w:val="15"/>
                <w:szCs w:val="15"/>
              </w:rPr>
              <w:t xml:space="preserve">1D: sensor only</w:t>
            </w:r>
          </w:p>
        </w:tc>
        <w:tc>
          <w:tcPr>
            <w:tcW w:type="dxa" w:w="18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b w:val="false"/>
                <w:bCs w:val="false"/>
                <w:color w:val="000000"/>
                <w:sz w:val="15"/>
                <w:szCs w:val="15"/>
              </w:rPr>
              <w:t xml:space="preserve">2D: sensor + segment</w:t>
            </w:r>
          </w:p>
        </w:tc>
        <w:tc>
          <w:tcPr>
            <w:tcW w:type="dxa" w:w="2960"/>
            <w:tcBorders>
              <w:top w:val="single" w:color="CCCCCC" w:sz="1"/>
              <w:left w:val="single" w:color="CCCCCC" w:sz="1"/>
              <w:bottom w:val="single" w:color="CCCCCC" w:sz="1"/>
              <w:right w:val="single" w:color="CCCCCC" w:sz="1"/>
            </w:tcBorders>
            <w:shd w:fill="E1F5EE" w:val="clear"/>
            <w:tcMar>
              <w:top w:type="dxa" w:w="60"/>
              <w:left w:type="dxa" w:w="90"/>
              <w:bottom w:type="dxa" w:w="60"/>
              <w:right w:type="dxa" w:w="90"/>
            </w:tcMar>
          </w:tcPr>
          <w:p>
            <w:r>
              <w:rPr>
                <w:rFonts w:ascii="Arial" w:cs="Arial" w:eastAsia="Arial" w:hAnsi="Arial"/>
                <w:b/>
                <w:bCs/>
                <w:color w:val="000000"/>
                <w:sz w:val="15"/>
                <w:szCs w:val="15"/>
              </w:rPr>
              <w:t xml:space="preserve">3D: sensor + timestep + frequency band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Saliency metric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000000"/>
                <w:sz w:val="15"/>
                <w:szCs w:val="15"/>
              </w:rPr>
              <w:t xml:space="preserve">Shannon entropy (output only)</w:t>
            </w:r>
          </w:p>
        </w:tc>
        <w:tc>
          <w:tcPr>
            <w:tcW w:type="dxa" w:w="2960"/>
            <w:tcBorders>
              <w:top w:val="single" w:color="CCCCCC" w:sz="1"/>
              <w:left w:val="single" w:color="CCCCCC" w:sz="1"/>
              <w:bottom w:val="single" w:color="CCCCCC" w:sz="1"/>
              <w:right w:val="single" w:color="CCCCCC" w:sz="1"/>
            </w:tcBorders>
            <w:shd w:fill="E1F5EE" w:val="clear"/>
            <w:tcMar>
              <w:top w:type="dxa" w:w="60"/>
              <w:left w:type="dxa" w:w="90"/>
              <w:bottom w:type="dxa" w:w="60"/>
              <w:right w:type="dxa" w:w="90"/>
            </w:tcMar>
          </w:tcPr>
          <w:p>
            <w:r>
              <w:rPr>
                <w:rFonts w:ascii="Arial" w:cs="Arial" w:eastAsia="Arial" w:hAnsi="Arial"/>
                <w:b/>
                <w:bCs/>
                <w:color w:val="000000"/>
                <w:sz w:val="15"/>
                <w:szCs w:val="15"/>
              </w:rPr>
              <w:t xml:space="preserve">Attention rollout × input gradient in wavelet space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1 — Model-Aware Saliency (All Layers)</w:t>
            </w:r>
          </w:p>
          <w:p>
            <w:pPr>
              <w:spacing w:before="40"/>
            </w:pPr>
            <w:r>
              <w:rPr>
                <w:rFonts w:ascii="Arial" w:cs="Arial" w:eastAsia="Arial" w:hAnsi="Arial"/>
                <w:color w:val="000000"/>
                <w:sz w:val="20"/>
                <w:szCs w:val="20"/>
              </w:rPr>
              <w:t xml:space="preserve">TAGFC uses Attention Rollout (Abnar &amp; Zuidema ACL 2020) which multiplies residual-corrected attention matrices across ALL L=3 Transformer layers and averages over ALL H=4 heads. CoMTE and AB-CF treat the model as a black box. AB-CF uses model output entropy but only as a single-layer probe. TAGFC reads what the Transformer genuinely attended to across all its reasoning steps.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2 — Frequency Domain Perturbation</w:t>
            </w:r>
          </w:p>
          <w:p>
            <w:pPr>
              <w:spacing w:before="40"/>
            </w:pPr>
            <w:r>
              <w:rPr>
                <w:rFonts w:ascii="Arial" w:cs="Arial" w:eastAsia="Arial" w:hAnsi="Arial"/>
                <w:color w:val="000000"/>
                <w:sz w:val="20"/>
                <w:szCs w:val="20"/>
              </w:rPr>
              <w:t xml:space="preserve">No existing MTS counterfactual method operates in the frequency domain. TAGFC uses Haar DWT to decompose each of 24 gesture channels into approximation (slow overall motion) and detail coefficients (fast transitions). This allows TAGFC to explain WHICH FREQUENCY BAND of motion changed the prediction — e.g., "the slow trend in right-hand x changed, not the fast tremor". CoMTE and AB-CF can only say WHICH segment changed.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3 — Cross-Sensor Physical Coherence</w:t>
            </w:r>
          </w:p>
          <w:p>
            <w:pPr>
              <w:spacing w:before="40"/>
            </w:pPr>
            <w:r>
              <w:rPr>
                <w:rFonts w:ascii="Arial" w:cs="Arial" w:eastAsia="Arial" w:hAnsi="Arial"/>
                <w:color w:val="000000"/>
                <w:sz w:val="20"/>
                <w:szCs w:val="20"/>
              </w:rPr>
              <w:t xml:space="preserve">Arm joints are mechanically constrained: elbow and wrist positions are physically correlated. TAGFC enforces L_cross = diff^T * Sigma^{-1} * diff where Sigma is the inter-sensor covariance of real training data. This penalises counterfactuals that violate these constraints — e.g., right elbow moving without corresponding right wrist movement. Neither CoMTE nor AB-CF have any such constraint.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4 — Mathematically Exact L1 Sparsity</w:t>
            </w:r>
          </w:p>
          <w:p>
            <w:pPr>
              <w:spacing w:before="40"/>
            </w:pPr>
            <w:r>
              <w:rPr>
                <w:rFonts w:ascii="Arial" w:cs="Arial" w:eastAsia="Arial" w:hAnsi="Arial"/>
                <w:color w:val="000000"/>
                <w:sz w:val="20"/>
                <w:szCs w:val="20"/>
              </w:rPr>
              <w:t xml:space="preserve">TAGFC uses Proximal Gradient Descent. The soft-threshold operation delta_prox = sign(delta) * max(|delta| - eta*lambda1*omega, 0) sets coefficients EXACTLY to zero when they are below threshold — this is the exact mathematical solution to the L1 proximal operator. AB-CF achieves window-level sparsity (replaces whole segments). CoMTE achieves channel-level sparsity (replaces whole channels). TAGFC achieves coefficient-level sparsity guided by attention importance weights.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00000"/>
                <w:sz w:val="18"/>
                <w:szCs w:val="18"/>
              </w:rPr>
              <w:t xml:space="preserve">Argument 5 — 3-Dimensional Explanation</w:t>
            </w:r>
          </w:p>
          <w:p>
            <w:pPr>
              <w:spacing w:before="40"/>
            </w:pPr>
            <w:r>
              <w:rPr>
                <w:rFonts w:ascii="Arial" w:cs="Arial" w:eastAsia="Arial" w:hAnsi="Arial"/>
                <w:color w:val="000000"/>
                <w:sz w:val="20"/>
                <w:szCs w:val="20"/>
              </w:rPr>
              <w:t xml:space="preserve">TAGFC is the only method that simultaneously answers three questions: (1) WHICH SENSOR changed? (sensor_importance V_d, shape D=24) (2) WHEN did the model attend? (temporal_saliency s_t, shape T=51) (3) WHICH FREQUENCY BAND was modified? (freq_importance F_l, shape L=64). CoMTE answers only (1). AB-CF answers (1)+(2) partially. TAGFC answers all three with separate, interpretable outputs.</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10. Key Hyperparameters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 = 51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Timesteps per gesture sequence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 = 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Sensor channels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K =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Gesture classes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WAV_LEVELS =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Haar DWT levels. T=51 → L=64 coefficients per sensor (padded to 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D_MODEL = 64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Transformer embedding dimension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N_HEADS =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Attention heads per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N_LAYERS =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Transformer encoder layers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D_FF = 128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Feed-forward hidden dimension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TRAIN_LR = 1e-3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AdamW learning rate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EPOCHS = 200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Training epochs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LAMBDA_SPARSE = 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lambda1: weight of omega-weighted L1 sparsity term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LAMBDA_CROSS = 0.01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lambda2: weight of Mahalanobis cross-sensor coherence term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LAMBDA_MANIFOLD = 0.10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lambda3: weight of nearest-neighbour manifold plausibility term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LR_OPT = 0.05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Proximal GD step size (eta)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MAX_ITER = 300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Maximum optimisation iterations per sample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PATIENCE = 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Stop after this many consecutive flipped iterations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DELTA_BOUND = 2.5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Hard clip on wavelet coefficient perturbation magnitude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GRAD_SMOOTH_SIGMA = 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Gaussian smoothing sigma for input gradient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N_EXPLAIN = 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Number of test samples explained (5 per class, balanced)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ABCF_WINDOW_FRAC = 0.15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AB-CF window length as fraction of T (0.15*51 ~ 7 timesteps)</w:t>
            </w:r>
          </w:p>
        </w:tc>
      </w:tr>
    </w:tbl>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11. How to Run / Continue</w:t>
      </w:r>
    </w:p>
    <w:p>
      <w:pPr>
        <w:pStyle w:val="Heading2"/>
        <w:spacing w:after="80" w:before="220"/>
      </w:pPr>
      <w:r>
        <w:rPr>
          <w:rFonts w:ascii="Arial" w:cs="Arial" w:eastAsia="Arial" w:hAnsi="Arial"/>
          <w:b/>
          <w:bCs/>
          <w:color w:val="2E75B6"/>
          <w:sz w:val="24"/>
          <w:szCs w:val="24"/>
        </w:rPr>
        <w:t xml:space="preserve">11.1 Re-run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18"/>
                <w:szCs w:val="18"/>
              </w:rPr>
              <w:t xml:space="preserve">Commands</w:t>
            </w:r>
          </w:p>
          <w:p>
            <w:pPr>
              <w:spacing w:before="40"/>
            </w:pPr>
            <w:r>
              <w:rPr>
                <w:rFonts w:ascii="Arial" w:cs="Arial" w:eastAsia="Arial" w:hAnsi="Arial"/>
                <w:color w:val="000000"/>
                <w:sz w:val="20"/>
                <w:szCs w:val="20"/>
              </w:rPr>
              <w:t xml:space="preserve">cd counterfactual_basis_kernel-main/TAGFC_Natops
python main.py
Model will be loaded from outputs/models/ (already trained — no retraining).
All 3 methods will re-run on N_EXPLAIN=30 samples.
Results saved to outputs/results_natops_tagfc.pkl.
All figures regenerated.</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11.2 Increase Sample Size for Publication</w:t>
      </w:r>
    </w:p>
    <w:p>
      <w:pPr>
        <w:pStyle w:val="ListParagraph"/>
        <w:numPr>
          <w:ilvl w:val="0"/>
          <w:numId w:val="2"/>
        </w:numPr>
        <w:spacing w:after="40" w:before="40"/>
      </w:pPr>
      <w:r>
        <w:rPr>
          <w:rFonts w:ascii="Arial" w:cs="Arial" w:eastAsia="Arial" w:hAnsi="Arial"/>
          <w:b w:val="false"/>
          <w:bCs w:val="false"/>
          <w:color w:val="000000"/>
          <w:sz w:val="20"/>
          <w:szCs w:val="20"/>
        </w:rPr>
        <w:t xml:space="preserve">Change N_EXPLAIN = 30 → 200 in config.py for publishable Wilcoxon test power</w:t>
      </w:r>
    </w:p>
    <w:p>
      <w:pPr>
        <w:pStyle w:val="ListParagraph"/>
        <w:numPr>
          <w:ilvl w:val="0"/>
          <w:numId w:val="2"/>
        </w:numPr>
        <w:spacing w:after="40" w:before="40"/>
      </w:pPr>
      <w:r>
        <w:rPr>
          <w:rFonts w:ascii="Arial" w:cs="Arial" w:eastAsia="Arial" w:hAnsi="Arial"/>
          <w:b w:val="false"/>
          <w:bCs w:val="false"/>
          <w:color w:val="000000"/>
          <w:sz w:val="20"/>
          <w:szCs w:val="20"/>
        </w:rPr>
        <w:t xml:space="preserve">Wilcoxon needs n &gt;= 20 per comparison. 200 samples gives robust statistics.</w:t>
      </w:r>
    </w:p>
    <w:p>
      <w:pPr>
        <w:pStyle w:val="ListParagraph"/>
        <w:numPr>
          <w:ilvl w:val="0"/>
          <w:numId w:val="2"/>
        </w:numPr>
        <w:spacing w:after="40" w:before="40"/>
      </w:pPr>
      <w:r>
        <w:rPr>
          <w:rFonts w:ascii="Arial" w:cs="Arial" w:eastAsia="Arial" w:hAnsi="Arial"/>
          <w:b w:val="false"/>
          <w:bCs w:val="false"/>
          <w:color w:val="000000"/>
          <w:sz w:val="20"/>
          <w:szCs w:val="20"/>
        </w:rPr>
        <w:t xml:space="preserve">Bonferroni alpha_corr = 0.05 / 6 = 0.0083. Report p-values with this threshold.</w:t>
      </w:r>
    </w:p>
    <w:p>
      <w:pPr>
        <w:spacing w:after="60" w:before="60"/>
      </w:pPr>
      <w:r>
        <w:t xml:space="preserve"/>
      </w:r>
    </w:p>
    <w:p>
      <w:pPr>
        <w:pStyle w:val="Heading2"/>
        <w:spacing w:after="80" w:before="220"/>
      </w:pPr>
      <w:r>
        <w:rPr>
          <w:rFonts w:ascii="Arial" w:cs="Arial" w:eastAsia="Arial" w:hAnsi="Arial"/>
          <w:b/>
          <w:bCs/>
          <w:color w:val="2E75B6"/>
          <w:sz w:val="24"/>
          <w:szCs w:val="24"/>
        </w:rPr>
        <w:t xml:space="preserve">11.3 Load and Inspect Saved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00000"/>
                <w:sz w:val="18"/>
                <w:szCs w:val="18"/>
              </w:rPr>
              <w:t xml:space="preserve">Python snippet</w:t>
            </w:r>
          </w:p>
          <w:p>
            <w:pPr>
              <w:spacing w:before="40"/>
            </w:pPr>
            <w:r>
              <w:rPr>
                <w:rFonts w:ascii="Arial" w:cs="Arial" w:eastAsia="Arial" w:hAnsi="Arial"/>
                <w:color w:val="000000"/>
                <w:sz w:val="20"/>
                <w:szCs w:val="20"/>
              </w:rPr>
              <w:t xml:space="preserve">import pickle
with open("TAGFC_Natops/outputs/results_natops_tagfc.pkl", "rb") as f:
    data = pickle.load(f)
tagfc_results = data["tagfc"]   # list of per-sample metric dicts
comte_results = data["comte"]
abcf_results  = data["abcf"]
tagfc_cfs     = data["tagfc_cfs"]  # list of (X_orig, X_cf, info) tuples
# Print mean validity:
import numpy as np
print("TAGFC validity:", np.mean([r["validity"] for r in tagfc_results]))
print("CoMTE validity:", np.mean([r["validity"] for r in comte_results]))
print("AB-CF validity:", np.mean([r["validity"] for r in abcf_results]))</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11.4 Run Ablation Study</w:t>
      </w:r>
    </w:p>
    <w:p>
      <w:pPr>
        <w:pStyle w:val="ListParagraph"/>
        <w:numPr>
          <w:ilvl w:val="0"/>
          <w:numId w:val="2"/>
        </w:numPr>
        <w:spacing w:after="40" w:before="40"/>
      </w:pPr>
      <w:r>
        <w:rPr>
          <w:rFonts w:ascii="Arial" w:cs="Arial" w:eastAsia="Arial" w:hAnsi="Arial"/>
          <w:b w:val="false"/>
          <w:bCs w:val="false"/>
          <w:color w:val="000000"/>
          <w:sz w:val="20"/>
          <w:szCs w:val="20"/>
        </w:rPr>
        <w:t xml:space="preserve">TAGFC-full: current method (lambda1=0.02, lambda2=0.01, lambda3=0.10) — BASELINE</w:t>
      </w:r>
    </w:p>
    <w:p>
      <w:pPr>
        <w:pStyle w:val="ListParagraph"/>
        <w:numPr>
          <w:ilvl w:val="0"/>
          <w:numId w:val="2"/>
        </w:numPr>
        <w:spacing w:after="40" w:before="40"/>
      </w:pPr>
      <w:r>
        <w:rPr>
          <w:rFonts w:ascii="Arial" w:cs="Arial" w:eastAsia="Arial" w:hAnsi="Arial"/>
          <w:b w:val="false"/>
          <w:bCs w:val="false"/>
          <w:color w:val="000000"/>
          <w:sz w:val="20"/>
          <w:szCs w:val="20"/>
        </w:rPr>
        <w:t xml:space="preserve">TAGFC-noRollout: set omega = ones (uniform weights everywhere, no attention guidance)</w:t>
      </w:r>
    </w:p>
    <w:p>
      <w:pPr>
        <w:pStyle w:val="ListParagraph"/>
        <w:numPr>
          <w:ilvl w:val="0"/>
          <w:numId w:val="2"/>
        </w:numPr>
        <w:spacing w:after="40" w:before="40"/>
      </w:pPr>
      <w:r>
        <w:rPr>
          <w:rFonts w:ascii="Arial" w:cs="Arial" w:eastAsia="Arial" w:hAnsi="Arial"/>
          <w:b w:val="false"/>
          <w:bCs w:val="false"/>
          <w:color w:val="000000"/>
          <w:sz w:val="20"/>
          <w:szCs w:val="20"/>
        </w:rPr>
        <w:t xml:space="preserve">TAGFC-noWavelet: perturb raw time-domain X instead of wavelet coefficients</w:t>
      </w:r>
    </w:p>
    <w:p>
      <w:pPr>
        <w:pStyle w:val="ListParagraph"/>
        <w:numPr>
          <w:ilvl w:val="0"/>
          <w:numId w:val="2"/>
        </w:numPr>
        <w:spacing w:after="40" w:before="40"/>
      </w:pPr>
      <w:r>
        <w:rPr>
          <w:rFonts w:ascii="Arial" w:cs="Arial" w:eastAsia="Arial" w:hAnsi="Arial"/>
          <w:b w:val="false"/>
          <w:bCs w:val="false"/>
          <w:color w:val="000000"/>
          <w:sz w:val="20"/>
          <w:szCs w:val="20"/>
        </w:rPr>
        <w:t xml:space="preserve">TAGFC-noCross: set LAMBDA_CROSS = 0.0 (remove Mahalanobis coherence term)</w:t>
      </w:r>
    </w:p>
    <w:p>
      <w:pPr>
        <w:pStyle w:val="ListParagraph"/>
        <w:numPr>
          <w:ilvl w:val="0"/>
          <w:numId w:val="2"/>
        </w:numPr>
        <w:spacing w:after="40" w:before="40"/>
      </w:pPr>
      <w:r>
        <w:rPr>
          <w:rFonts w:ascii="Arial" w:cs="Arial" w:eastAsia="Arial" w:hAnsi="Arial"/>
          <w:b w:val="false"/>
          <w:bCs w:val="false"/>
          <w:color w:val="000000"/>
          <w:sz w:val="20"/>
          <w:szCs w:val="20"/>
        </w:rPr>
        <w:t xml:space="preserve">TAGFC-noManifold: set LAMBDA_MANIFOLD = 0.0 (remove nearest-neighbour term)</w:t>
      </w:r>
    </w:p>
    <w:p>
      <w:pPr>
        <w:pStyle w:val="ListParagraph"/>
        <w:numPr>
          <w:ilvl w:val="0"/>
          <w:numId w:val="2"/>
        </w:numPr>
        <w:spacing w:after="40" w:before="40"/>
      </w:pPr>
      <w:r>
        <w:rPr>
          <w:rFonts w:ascii="Arial" w:cs="Arial" w:eastAsia="Arial" w:hAnsi="Arial"/>
          <w:b w:val="false"/>
          <w:bCs w:val="false"/>
          <w:color w:val="000000"/>
          <w:sz w:val="20"/>
          <w:szCs w:val="20"/>
        </w:rPr>
        <w:t xml:space="preserve">Each ablation that performs worse PROVES that component contributes to the method</w:t>
      </w:r>
    </w:p>
    <w:p>
      <w:pPr>
        <w:spacing w:after="60" w:before="60"/>
      </w:pPr>
      <w:r>
        <w:t xml:space="preserve"/>
      </w:r>
    </w:p>
    <w:p>
      <w:r>
        <w:br w:type="page"/>
      </w:r>
    </w:p>
    <w:p>
      <w:pPr>
        <w:pStyle w:val="Heading1"/>
        <w:spacing w:after="120" w:before="300"/>
      </w:pPr>
      <w:r>
        <w:rPr>
          <w:rFonts w:ascii="Arial" w:cs="Arial" w:eastAsia="Arial" w:hAnsi="Arial"/>
          <w:b/>
          <w:bCs/>
          <w:color w:val="1F3864"/>
          <w:sz w:val="30"/>
          <w:szCs w:val="30"/>
        </w:rPr>
        <w:t xml:space="preserve">12. Context to Give New Chat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b/>
                <w:bCs/>
                <w:color w:val="000000"/>
                <w:sz w:val="18"/>
                <w:szCs w:val="18"/>
              </w:rPr>
              <w:t xml:space="preserve">Copy-paste this at the start of your new chat</w:t>
            </w:r>
          </w:p>
          <w:p>
            <w:pPr>
              <w:spacing w:before="40"/>
            </w:pPr>
            <w:r>
              <w:rPr>
                <w:rFonts w:ascii="Arial" w:cs="Arial" w:eastAsia="Arial" w:hAnsi="Arial"/>
                <w:color w:val="000000"/>
                <w:sz w:val="20"/>
                <w:szCs w:val="20"/>
              </w:rPr>
              <w:t xml:space="preserve">I am a PhD/MTP student. I have implemented TAGFC (Transformer Attention-Guided Frequency Counterfactual), a novel XAI method for multivariate time series. It is applied to the NATOPS 6-class gesture dataset (T=51, D=24 sensors, K=6 classes from the UEA archive).
My codebase is at: counterfactual_basis_kernel-main/TAGFC_Natops/
Key files: tagfc_core.py (optimizer), transformer_model.py (attention rollout), haar_wavelet.py (DWT), baselines.py (CoMTE + AB-CF), evaluation.py (Wilcoxon), main.py (full pipeline).
The pipeline has ALREADY been run on N_EXPLAIN=30 samples. Results are saved in outputs/results_natops_tagfc.pkl. Figures F1-F13 are in outputs/figures/. Trained model is in outputs/models/transformer_natops_tagfc.pt.
TAGFC has 5 steps: (1) Attention Rollout → saliency, (2) Haar DWT → coefficient space, (3) Omega weights (attention × gradient), (4) 4-term objective (flip + sparse + cross + manifold), (5) Proximal GD with soft-thresholding.
Hyperparams: lambda1=0.02, lambda2=0.01, lambda3=0.10, LR=0.05, MAX_ITER=300, PATIENCE=25, DELTA_BOUND=2.5, WAV_LEVELS=3 (T=51 → L=64 coefficients).</w:t>
            </w:r>
          </w:p>
        </w:tc>
      </w:tr>
    </w:tbl>
    <w:p>
      <w:pPr>
        <w:spacing w:after="60" w:before="60"/>
      </w:pPr>
      <w:r>
        <w:t xml:space="preserve"/>
      </w:r>
    </w:p>
    <w:p>
      <w:pPr>
        <w:pStyle w:val="ListParagraph"/>
        <w:numPr>
          <w:ilvl w:val="0"/>
          <w:numId w:val="2"/>
        </w:numPr>
        <w:spacing w:after="40" w:before="40"/>
      </w:pPr>
      <w:r>
        <w:rPr>
          <w:rFonts w:ascii="Arial" w:cs="Arial" w:eastAsia="Arial" w:hAnsi="Arial"/>
          <w:b/>
          <w:bCs/>
          <w:color w:val="000000"/>
          <w:sz w:val="20"/>
          <w:szCs w:val="20"/>
        </w:rPr>
        <w:t xml:space="preserve">Working directory: c:\Users\abhia\Desktop\counterfactual_basis_kernel-main</w:t>
      </w:r>
    </w:p>
    <w:p>
      <w:pPr>
        <w:pStyle w:val="ListParagraph"/>
        <w:numPr>
          <w:ilvl w:val="0"/>
          <w:numId w:val="2"/>
        </w:numPr>
        <w:spacing w:after="40" w:before="40"/>
      </w:pPr>
      <w:r>
        <w:rPr>
          <w:rFonts w:ascii="Arial" w:cs="Arial" w:eastAsia="Arial" w:hAnsi="Arial"/>
          <w:b/>
          <w:bCs/>
          <w:color w:val="000000"/>
          <w:sz w:val="20"/>
          <w:szCs w:val="20"/>
        </w:rPr>
        <w:t xml:space="preserve">NATOPS data: data/raw/NATOPS/NATOPS_TRAIN.arff + NATOPS_TEST.arff</w:t>
      </w:r>
    </w:p>
    <w:p>
      <w:pPr>
        <w:pStyle w:val="ListParagraph"/>
        <w:numPr>
          <w:ilvl w:val="0"/>
          <w:numId w:val="2"/>
        </w:numPr>
        <w:spacing w:after="40" w:before="40"/>
      </w:pPr>
      <w:r>
        <w:rPr>
          <w:rFonts w:ascii="Arial" w:cs="Arial" w:eastAsia="Arial" w:hAnsi="Arial"/>
          <w:b/>
          <w:bCs/>
          <w:color w:val="000000"/>
          <w:sz w:val="20"/>
          <w:szCs w:val="20"/>
        </w:rPr>
        <w:t xml:space="preserve">N_EXPLAIN=30 done. Need N_EXPLAIN=200 for publication-quality statistics.</w:t>
      </w:r>
    </w:p>
    <w:p>
      <w:pPr>
        <w:pStyle w:val="ListParagraph"/>
        <w:numPr>
          <w:ilvl w:val="0"/>
          <w:numId w:val="2"/>
        </w:numPr>
        <w:spacing w:after="40" w:before="40"/>
      </w:pPr>
      <w:r>
        <w:rPr>
          <w:rFonts w:ascii="Arial" w:cs="Arial" w:eastAsia="Arial" w:hAnsi="Arial"/>
          <w:b/>
          <w:bCs/>
          <w:color w:val="000000"/>
          <w:sz w:val="20"/>
          <w:szCs w:val="20"/>
        </w:rPr>
        <w:t xml:space="preserve">Ablation study (5 variants) not yet run — needed to justify each TAGFC component.</w:t>
      </w:r>
    </w:p>
    <w:p>
      <w:pPr>
        <w:pStyle w:val="ListParagraph"/>
        <w:numPr>
          <w:ilvl w:val="0"/>
          <w:numId w:val="2"/>
        </w:numPr>
        <w:spacing w:after="40" w:before="40"/>
      </w:pPr>
      <w:r>
        <w:rPr>
          <w:rFonts w:ascii="Arial" w:cs="Arial" w:eastAsia="Arial" w:hAnsi="Arial"/>
          <w:b/>
          <w:bCs/>
          <w:color w:val="000000"/>
          <w:sz w:val="20"/>
          <w:szCs w:val="20"/>
        </w:rPr>
        <w:t xml:space="preserve">Standalone folders also exist: Comte_Natops/, AB_CF_Natops/, NATOPS_XAI/</w:t>
      </w:r>
    </w:p>
    <w:p>
      <w:pPr>
        <w:pStyle w:val="ListParagraph"/>
        <w:numPr>
          <w:ilvl w:val="0"/>
          <w:numId w:val="2"/>
        </w:numPr>
        <w:spacing w:after="40" w:before="40"/>
      </w:pPr>
      <w:r>
        <w:rPr>
          <w:rFonts w:ascii="Arial" w:cs="Arial" w:eastAsia="Arial" w:hAnsi="Arial"/>
          <w:b/>
          <w:bCs/>
          <w:color w:val="000000"/>
          <w:sz w:val="20"/>
          <w:szCs w:val="20"/>
        </w:rPr>
        <w:t xml:space="preserve">All three methods (TAGFC, CoMTE, AB-CF) run together in TAGFC_Natops/main.py</w:t>
      </w:r>
    </w:p>
    <w:p>
      <w:pPr>
        <w:spacing w:after="60" w:before="60"/>
      </w:pPr>
      <w:r>
        <w:t xml:space="preserve"/>
      </w:r>
    </w:p>
    <w:p>
      <w:pPr>
        <w:pStyle w:val="Heading2"/>
        <w:spacing w:after="80" w:before="220"/>
      </w:pPr>
      <w:r>
        <w:rPr>
          <w:rFonts w:ascii="Arial" w:cs="Arial" w:eastAsia="Arial" w:hAnsi="Arial"/>
          <w:b/>
          <w:bCs/>
          <w:color w:val="2E75B6"/>
          <w:sz w:val="24"/>
          <w:szCs w:val="24"/>
        </w:rPr>
        <w:t xml:space="preserve">12.1 Pending Work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00000"/>
                <w:sz w:val="18"/>
                <w:szCs w:val="18"/>
              </w:rPr>
              <w:t xml:space="preserve">1. Scale to N=200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Change N_EXPLAIN=200 in config.py. Re-run main.py. Required for Wilcoxon statistical power.</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00000"/>
                <w:sz w:val="18"/>
                <w:szCs w:val="18"/>
              </w:rPr>
              <w:t xml:space="preserve">2. Ablation study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Run 5 TAGFC variants (noRollout, noWavelet, noCross, noManifold, full). Proves each component is necessary.</w:t>
            </w:r>
          </w:p>
        </w:tc>
      </w:tr>
      <w:tr>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3. MMD plausibility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Compute Maximum Mean Discrepancy between CF distribution and training distribution. Currently only Mahalanobis coherence is computed.</w:t>
            </w:r>
          </w:p>
        </w:tc>
      </w:tr>
      <w:tr>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000000"/>
                <w:sz w:val="18"/>
                <w:szCs w:val="18"/>
              </w:rPr>
              <w:t xml:space="preserve">4. Paper writing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Chapter 4: TAGFC method. Chapter 5: Experiments. Chapter 3: Related work (Native Guide, CoMTE, AB-CF, SETS, Attention Rollout).</w:t>
            </w:r>
          </w:p>
        </w:tc>
      </w:tr>
      <w:tr>
        <w:tc>
          <w:tcPr>
            <w:tcW w:type="dxa" w:w="2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000000"/>
                <w:sz w:val="18"/>
                <w:szCs w:val="18"/>
              </w:rPr>
              <w:t xml:space="preserve">5. Human evaluation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User study: ask humans if CFs are "believable". Required before top-tier conference submission.</w:t>
            </w:r>
          </w:p>
        </w:tc>
      </w:tr>
    </w:tbl>
    <w:p>
      <w:pPr>
        <w:spacing w:after="60" w:before="60"/>
      </w:pPr>
      <w:r>
        <w:t xml:space="preserve"/>
      </w:r>
    </w:p>
    <w:p>
      <w:pPr>
        <w:pStyle w:val="Heading2"/>
        <w:spacing w:after="80" w:before="220"/>
      </w:pPr>
      <w:r>
        <w:rPr>
          <w:rFonts w:ascii="Arial" w:cs="Arial" w:eastAsia="Arial" w:hAnsi="Arial"/>
          <w:b/>
          <w:bCs/>
          <w:color w:val="2E75B6"/>
          <w:sz w:val="24"/>
          <w:szCs w:val="24"/>
        </w:rPr>
        <w:t xml:space="preserve">12.2 Key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Attention Rollout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Abnar, S., Zuidema, W. "Quantifying Attention Flow in Transformers." ACL 2020. arXiv:2005.00928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CoMTE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Ates et al. "Counterfactual Explanations for Multivariate Time Series." ICAPAI 2021. DOI: 10.1109/ICAPAI49758.2021.9462056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AB-CF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 et al. "Attention-Based Counterfactual Explanation for Multivariate Time Series." DaWaK 2023. DOI: 10.1007/978-3-031-39831-5_26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Native Guide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Delaney et al. "Instance-based Counterfactual Explanations for Time Series Classification." ICCBR 2021. arXiv:2009.13211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Bahri et al. "Shapelet-Based Counterfactual Explanations for Multivariate Time Series." KDD MiLeTS 2022. arXiv:2208.10462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Haar Wavelet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Mallat, S. "A Wavelet Tour of Signal Processing." 3rd ed. Academic Press, 2009.</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Proximal GD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Parikh, N., Boyd, S. "Proximal Algorithms." Foundations and Trends in Optimization. 2014.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NATOPS 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UEA Multivariate Time Series Classification Archive. Bagnall et al. arXiv:1811.00075</w:t>
            </w:r>
          </w:p>
        </w:tc>
      </w:tr>
    </w:tbl>
    <w:p>
      <w:pPr>
        <w:spacing w:after="60" w:before="60"/>
      </w:pPr>
      <w:r>
        <w:t xml:space="preserve"/>
      </w:r>
    </w:p>
    <w:p>
      <w:pPr>
        <w:spacing w:before="300"/>
        <w:jc w:val="center"/>
      </w:pPr>
      <w:r>
        <w:rPr>
          <w:rFonts w:ascii="Arial" w:cs="Arial" w:eastAsia="Arial" w:hAnsi="Arial"/>
          <w:i/>
          <w:iCs/>
          <w:color w:val="444444"/>
          <w:sz w:val="18"/>
          <w:szCs w:val="18"/>
        </w:rPr>
        <w:t xml:space="preserve">End of Summary — Ready for New Chat Session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2026-06-02T17:19:11.309Z</dcterms:created>
  <dcterms:modified xsi:type="dcterms:W3CDTF">2026-06-02T17:19:11.310Z</dcterms:modified>
</cp:coreProperties>
</file>

<file path=docProps/custom.xml><?xml version="1.0" encoding="utf-8"?>
<Properties xmlns="http://schemas.openxmlformats.org/officeDocument/2006/custom-properties" xmlns:vt="http://schemas.openxmlformats.org/officeDocument/2006/docPropsVTypes"/>
</file>