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A3154"/>
          <w:sz w:val="52"/>
          <w:szCs w:val="52"/>
        </w:rPr>
        <w:t xml:space="preserve">RAKE &amp; TRUCKING CONTROL TOWER</w:t>
      </w:r>
    </w:p>
    <w:p>
      <w:pPr>
        <w:spacing w:after="240" w:before="0"/>
        <w:jc w:val="center"/>
      </w:pPr>
      <w:r>
        <w:rPr>
          <w:rFonts w:ascii="Arial" w:cs="Arial" w:eastAsia="Arial" w:hAnsi="Arial"/>
          <w:color w:val="6B7F96"/>
          <w:sz w:val="32"/>
          <w:szCs w:val="32"/>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5F" w:val="clear"/>
            <w:tcMar>
              <w:top w:type="dxa" w:w="120"/>
              <w:left w:type="dxa" w:w="180"/>
              <w:bottom w:type="dxa" w:w="120"/>
              <w:right w:type="dxa" w:w="180"/>
            </w:tcMar>
          </w:tcPr>
          <w:p>
            <w:r>
              <w:rPr>
                <w:rFonts w:ascii="Arial" w:cs="Arial" w:eastAsia="Arial" w:hAnsi="Arial"/>
                <w:b/>
                <w:bCs/>
                <w:color w:val="FFFFFF"/>
                <w:sz w:val="24"/>
                <w:szCs w:val="24"/>
              </w:rPr>
              <w:t xml:space="preserve">OPS LAYER 2 — PLANNING ENGINE (72-HOUR HORIZON)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Operational BRD — Layer 2 of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Engine / 72-Hour Horizon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Planning Team, Rake Allocation, Indent Desk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Dashboard Tabs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Overview, Planning &amp; Ops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Version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1.1 — Data Entry tab removed; static DATA object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May 2026</w:t>
            </w:r>
          </w:p>
        </w:tc>
      </w:tr>
    </w:tbl>
    <w:p>
      <w:pPr>
        <w:spacing w:after="32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1. Purpose &amp; Scope</w:t>
      </w:r>
    </w:p>
    <w:p>
      <w:pPr>
        <w:spacing w:after="100" w:before="80"/>
      </w:pPr>
      <w:r>
        <w:rPr>
          <w:rFonts w:ascii="Arial" w:cs="Arial" w:eastAsia="Arial" w:hAnsi="Arial"/>
          <w:color w:val="1E2D3D"/>
          <w:sz w:val="22"/>
          <w:szCs w:val="22"/>
        </w:rPr>
        <w:t xml:space="preserve">This document defines the business requirements for Layer 2: the forward planning engine. It is written for planning teams responsible for allocating rakes, managing indent requirements, and coordinating container volume across four operational quadrants 72 hours in advance.</w:t>
      </w:r>
    </w:p>
    <w:p>
      <w:pPr>
        <w:spacing w:after="100" w:before="80"/>
      </w:pPr>
      <w:r>
        <w:rPr>
          <w:rFonts w:ascii="Arial" w:cs="Arial" w:eastAsia="Arial" w:hAnsi="Arial"/>
          <w:color w:val="1E2D3D"/>
          <w:sz w:val="22"/>
          <w:szCs w:val="22"/>
        </w:rPr>
        <w:t xml:space="preserve">Layer 2 answers the question: what will we need over the next 72 hours, and are we positioned to meet it — by quadrant, by port, and by destination mode?</w:t>
      </w:r>
    </w:p>
    <w:p>
      <w:pPr>
        <w:pStyle w:val="Heading2"/>
        <w:spacing w:after="120" w:before="280"/>
      </w:pPr>
      <w:r>
        <w:rPr>
          <w:rFonts w:ascii="Arial" w:cs="Arial" w:eastAsia="Arial" w:hAnsi="Arial"/>
          <w:b/>
          <w:bCs/>
          <w:color w:val="1A3154"/>
          <w:sz w:val="26"/>
          <w:szCs w:val="26"/>
        </w:rPr>
        <w:t xml:space="preserve">1.1 The Core Problem</w:t>
      </w:r>
    </w:p>
    <w:p>
      <w:pPr>
        <w:spacing w:after="100" w:before="80"/>
      </w:pPr>
      <w:r>
        <w:rPr>
          <w:rFonts w:ascii="Arial" w:cs="Arial" w:eastAsia="Arial" w:hAnsi="Arial"/>
          <w:color w:val="1E2D3D"/>
          <w:sz w:val="22"/>
          <w:szCs w:val="22"/>
        </w:rPr>
        <w:t xml:space="preserve">The four quadrants — Rail &amp; Ops, Trucking, International Freight Forwarding (IFF), and EXIM Yard — currently plan in isolation. Each has its own view of incoming container volume, but nobody has a consolidated picture across all four simultaneously. The result:</w:t>
      </w:r>
    </w:p>
    <w:p>
      <w:pPr>
        <w:pStyle w:val="ListParagraph"/>
        <w:numPr>
          <w:ilvl w:val="0"/>
          <w:numId w:val="2"/>
        </w:numPr>
        <w:spacing w:after="60" w:before="60"/>
      </w:pPr>
      <w:r>
        <w:rPr>
          <w:rFonts w:ascii="Arial" w:cs="Arial" w:eastAsia="Arial" w:hAnsi="Arial"/>
          <w:color w:val="1E2D3D"/>
          <w:sz w:val="22"/>
          <w:szCs w:val="22"/>
        </w:rPr>
        <w:t xml:space="preserve">Rake requirements are discovered too late to reposition empties</w:t>
      </w:r>
    </w:p>
    <w:p>
      <w:pPr>
        <w:pStyle w:val="ListParagraph"/>
        <w:numPr>
          <w:ilvl w:val="0"/>
          <w:numId w:val="2"/>
        </w:numPr>
        <w:spacing w:after="60" w:before="60"/>
      </w:pPr>
      <w:r>
        <w:rPr>
          <w:rFonts w:ascii="Arial" w:cs="Arial" w:eastAsia="Arial" w:hAnsi="Arial"/>
          <w:color w:val="1E2D3D"/>
          <w:sz w:val="22"/>
          <w:szCs w:val="22"/>
        </w:rPr>
        <w:t xml:space="preserve">Trucking indent is placed reactively, driving up spot rates</w:t>
      </w:r>
    </w:p>
    <w:p>
      <w:pPr>
        <w:pStyle w:val="ListParagraph"/>
        <w:numPr>
          <w:ilvl w:val="0"/>
          <w:numId w:val="2"/>
        </w:numPr>
        <w:spacing w:after="60" w:before="60"/>
      </w:pPr>
      <w:r>
        <w:rPr>
          <w:rFonts w:ascii="Arial" w:cs="Arial" w:eastAsia="Arial" w:hAnsi="Arial"/>
          <w:color w:val="1E2D3D"/>
          <w:sz w:val="22"/>
          <w:szCs w:val="22"/>
        </w:rPr>
        <w:t xml:space="preserve">IFF and EXIM Yard volumes are not visible to Rail &amp; Ops until containers arrive at port</w:t>
      </w:r>
    </w:p>
    <w:p>
      <w:pPr>
        <w:pStyle w:val="ListParagraph"/>
        <w:numPr>
          <w:ilvl w:val="0"/>
          <w:numId w:val="2"/>
        </w:numPr>
        <w:spacing w:after="60" w:before="60"/>
      </w:pPr>
      <w:r>
        <w:rPr>
          <w:rFonts w:ascii="Arial" w:cs="Arial" w:eastAsia="Arial" w:hAnsi="Arial"/>
          <w:color w:val="1E2D3D"/>
          <w:sz w:val="22"/>
          <w:szCs w:val="22"/>
        </w:rPr>
        <w:t xml:space="preserve">Destination mode decisions (Rail vs Truck vs Container Yard) are made ad hoc without a log</w:t>
      </w:r>
    </w:p>
    <w:p>
      <w:pPr>
        <w:pStyle w:val="ListParagraph"/>
        <w:numPr>
          <w:ilvl w:val="0"/>
          <w:numId w:val="2"/>
        </w:numPr>
        <w:spacing w:after="60" w:before="60"/>
      </w:pPr>
      <w:r>
        <w:rPr>
          <w:rFonts w:ascii="Arial" w:cs="Arial" w:eastAsia="Arial" w:hAnsi="Arial"/>
          <w:color w:val="1E2D3D"/>
          <w:sz w:val="22"/>
          <w:szCs w:val="22"/>
        </w:rPr>
        <w:t xml:space="preserve">No baseline exists to compare actual volume against budget for the coming days</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2. What the Planning Engine Layer Delivers</w:t>
      </w:r>
    </w:p>
    <w:p>
      <w:pPr>
        <w:pStyle w:val="Heading2"/>
        <w:spacing w:after="120" w:before="280"/>
      </w:pPr>
      <w:r>
        <w:rPr>
          <w:rFonts w:ascii="Arial" w:cs="Arial" w:eastAsia="Arial" w:hAnsi="Arial"/>
          <w:b/>
          <w:bCs/>
          <w:color w:val="1A3154"/>
          <w:sz w:val="26"/>
          <w:szCs w:val="26"/>
        </w:rPr>
        <w:t xml:space="preserve">2.1 Overview Tab — Cross-Quadrant Traffic Visibility</w:t>
      </w:r>
    </w:p>
    <w:p>
      <w:pPr>
        <w:spacing w:after="100" w:before="80"/>
      </w:pPr>
      <w:r>
        <w:rPr>
          <w:rFonts w:ascii="Arial" w:cs="Arial" w:eastAsia="Arial" w:hAnsi="Arial"/>
          <w:color w:val="1E2D3D"/>
          <w:sz w:val="22"/>
          <w:szCs w:val="22"/>
        </w:rPr>
        <w:t xml:space="preserve">The Overview tab is the first tab on the dashboard and the primary planning tool. It shows consolidated container traffic volume across all four quadrants, all three ports (JNPT, Mundra, PIPAVAV), for T+0, T+1, and T+2.</w:t>
      </w:r>
    </w:p>
    <w:p>
      <w:pPr>
        <w:pStyle w:val="Heading3"/>
        <w:spacing w:after="80" w:before="200"/>
      </w:pPr>
      <w:r>
        <w:rPr>
          <w:rFonts w:ascii="Arial" w:cs="Arial" w:eastAsia="Arial" w:hAnsi="Arial"/>
          <w:b/>
          <w:bCs/>
          <w:color w:val="0D7A5F"/>
          <w:sz w:val="22"/>
          <w:szCs w:val="22"/>
        </w:rPr>
        <w:t xml:space="preserve">2.1.1 Three Display Sections</w:t>
      </w:r>
    </w:p>
    <w:p>
      <w:pPr>
        <w:pStyle w:val="ListParagraph"/>
        <w:numPr>
          <w:ilvl w:val="0"/>
          <w:numId w:val="2"/>
        </w:numPr>
        <w:spacing w:after="60" w:before="60"/>
      </w:pPr>
      <w:r>
        <w:rPr>
          <w:rFonts w:ascii="Arial" w:cs="Arial" w:eastAsia="Arial" w:hAnsi="Arial"/>
          <w:color w:val="1E2D3D"/>
          <w:sz w:val="22"/>
          <w:szCs w:val="22"/>
        </w:rPr>
        <w:t xml:space="preserve">Section 1 — Quadrant-wise Volume: rows by quadrant, columns by horizon day (Actual / Budget / Balance per day)</w:t>
      </w:r>
    </w:p>
    <w:p>
      <w:pPr>
        <w:pStyle w:val="ListParagraph"/>
        <w:numPr>
          <w:ilvl w:val="0"/>
          <w:numId w:val="2"/>
        </w:numPr>
        <w:spacing w:after="60" w:before="60"/>
      </w:pPr>
      <w:r>
        <w:rPr>
          <w:rFonts w:ascii="Arial" w:cs="Arial" w:eastAsia="Arial" w:hAnsi="Arial"/>
          <w:color w:val="1E2D3D"/>
          <w:sz w:val="22"/>
          <w:szCs w:val="22"/>
        </w:rPr>
        <w:t xml:space="preserve">Section 2 — Port-wise Volume: same structure but rows by port</w:t>
      </w:r>
    </w:p>
    <w:p>
      <w:pPr>
        <w:pStyle w:val="ListParagraph"/>
        <w:numPr>
          <w:ilvl w:val="0"/>
          <w:numId w:val="2"/>
        </w:numPr>
        <w:spacing w:after="60" w:before="60"/>
      </w:pPr>
      <w:r>
        <w:rPr>
          <w:rFonts w:ascii="Arial" w:cs="Arial" w:eastAsia="Arial" w:hAnsi="Arial"/>
          <w:color w:val="1E2D3D"/>
          <w:sz w:val="22"/>
          <w:szCs w:val="22"/>
        </w:rPr>
        <w:t xml:space="preserve">Section 3 — At-Port Quadrant Breakdown: filtered by selected port, with destination mode columns</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2.1.2 The Actual / Budget / Balance Column Structure</w:t>
      </w:r>
    </w:p>
    <w:p>
      <w:pPr>
        <w:spacing w:after="100" w:before="80"/>
      </w:pPr>
      <w:r>
        <w:rPr>
          <w:rFonts w:ascii="Arial" w:cs="Arial" w:eastAsia="Arial" w:hAnsi="Arial"/>
          <w:color w:val="1E2D3D"/>
          <w:sz w:val="22"/>
          <w:szCs w:val="22"/>
        </w:rPr>
        <w:t xml:space="preserve">Each horizon day has three columns. This forces the planning team to see not just what is coming, but whether it is on track against the monthly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9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Decision It Enables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Actual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TEUs confirmed or expected based on current bookings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How much capacity to plan for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Budget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Monthly target prorated to this horizon day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Whether we are ahead or behind 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Balance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Actual minus Budget (negative = behind target)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Whether to push commercial to fill gaps</w:t>
            </w:r>
          </w:p>
        </w:tc>
      </w:tr>
    </w:tbl>
    <w:p>
      <w:pPr>
        <w:spacing w:after="160" w:before="0"/>
      </w:pPr>
      <w:r>
        <w:t xml:space="preserve"/>
      </w:r>
    </w:p>
    <w:p>
      <w:pPr>
        <w:pStyle w:val="Heading3"/>
        <w:spacing w:after="80" w:before="200"/>
      </w:pPr>
      <w:r>
        <w:rPr>
          <w:rFonts w:ascii="Arial" w:cs="Arial" w:eastAsia="Arial" w:hAnsi="Arial"/>
          <w:b/>
          <w:bCs/>
          <w:color w:val="0D7A5F"/>
          <w:sz w:val="22"/>
          <w:szCs w:val="22"/>
        </w:rPr>
        <w:t xml:space="preserve">2.1.3 Total / Export / Import Toggle</w:t>
      </w:r>
    </w:p>
    <w:p>
      <w:pPr>
        <w:spacing w:after="100" w:before="80"/>
      </w:pPr>
      <w:r>
        <w:rPr>
          <w:rFonts w:ascii="Arial" w:cs="Arial" w:eastAsia="Arial" w:hAnsi="Arial"/>
          <w:color w:val="1E2D3D"/>
          <w:sz w:val="22"/>
          <w:szCs w:val="22"/>
        </w:rPr>
        <w:t xml:space="preserve">The view can be filtered to show combined volumes, export-only, or import-only across all three sections simultaneously.</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2.1.4 Bar Chart — Volume Distribution</w:t>
      </w:r>
    </w:p>
    <w:p>
      <w:pPr>
        <w:spacing w:after="100" w:before="80"/>
      </w:pPr>
      <w:r>
        <w:rPr>
          <w:rFonts w:ascii="Arial" w:cs="Arial" w:eastAsia="Arial" w:hAnsi="Arial"/>
          <w:color w:val="1E2D3D"/>
          <w:sz w:val="22"/>
          <w:szCs w:val="22"/>
        </w:rPr>
        <w:t xml:space="preserve">A SVG bar chart between Section 1 and Section 2 visualises actual TEU volumes per quadrant (or per port, toggled) across T+0, T+1, T+2. The chart responds to the Total/Export/Import toggle and switches between By Quadrant and By Port groupings.</w:t>
      </w:r>
    </w:p>
    <w:p>
      <w:pPr>
        <w:spacing w:after="160" w:before="0"/>
      </w:pPr>
      <w:r>
        <w:t xml:space="preserve"/>
      </w:r>
    </w:p>
    <w:p>
      <w:pPr>
        <w:pStyle w:val="Heading2"/>
        <w:spacing w:after="120" w:before="280"/>
      </w:pPr>
      <w:r>
        <w:rPr>
          <w:rFonts w:ascii="Arial" w:cs="Arial" w:eastAsia="Arial" w:hAnsi="Arial"/>
          <w:b/>
          <w:bCs/>
          <w:color w:val="1A3154"/>
          <w:sz w:val="26"/>
          <w:szCs w:val="26"/>
        </w:rPr>
        <w:t xml:space="preserve">2.2 Destination Mode Planning (Section 3 — At-Port)</w:t>
      </w:r>
    </w:p>
    <w:p>
      <w:pPr>
        <w:spacing w:after="100" w:before="80"/>
      </w:pPr>
      <w:r>
        <w:rPr>
          <w:rFonts w:ascii="Arial" w:cs="Arial" w:eastAsia="Arial" w:hAnsi="Arial"/>
          <w:color w:val="1E2D3D"/>
          <w:sz w:val="22"/>
          <w:szCs w:val="22"/>
        </w:rPr>
        <w:t xml:space="preserve">The most operationally important planning action in Layer 2 is assigning a destination mode to each incoming container batch.</w:t>
      </w:r>
    </w:p>
    <w:p>
      <w:pPr>
        <w:pStyle w:val="Heading3"/>
        <w:spacing w:after="80" w:before="200"/>
      </w:pPr>
      <w:r>
        <w:rPr>
          <w:rFonts w:ascii="Arial" w:cs="Arial" w:eastAsia="Arial" w:hAnsi="Arial"/>
          <w:b/>
          <w:bCs/>
          <w:color w:val="0D7A5F"/>
          <w:sz w:val="22"/>
          <w:szCs w:val="22"/>
        </w:rPr>
        <w:t xml:space="preserve">2.2.1 The Three Destination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Rail → ICD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moved via rake to an Inland Container Depot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When rail connectivity exists and volume justifies a full rake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Direct to Customer</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Container delivered directly to the consignee's premises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For priority / time-sensitive customers with direct truck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Yard (CY)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held at a CY for truck pickup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When rail infrastructure is absent or demand is below rake threshold</w:t>
            </w:r>
          </w:p>
        </w:tc>
      </w:tr>
    </w:tbl>
    <w:p>
      <w:pPr>
        <w:spacing w:after="160" w:before="0"/>
      </w:pPr>
      <w:r>
        <w:t xml:space="preserve"/>
      </w:r>
    </w:p>
    <w:p>
      <w:pPr>
        <w:pStyle w:val="Heading3"/>
        <w:spacing w:after="80" w:before="200"/>
      </w:pPr>
      <w:r>
        <w:rPr>
          <w:rFonts w:ascii="Arial" w:cs="Arial" w:eastAsia="Arial" w:hAnsi="Arial"/>
          <w:b/>
          <w:bCs/>
          <w:color w:val="0D7A5F"/>
          <w:sz w:val="22"/>
          <w:szCs w:val="22"/>
        </w:rPr>
        <w:t xml:space="preserve">2.2.2 Mode Assignment Flow</w:t>
      </w:r>
    </w:p>
    <w:p>
      <w:pPr>
        <w:pStyle w:val="ListParagraph"/>
        <w:numPr>
          <w:ilvl w:val="0"/>
          <w:numId w:val="3"/>
        </w:numPr>
        <w:spacing w:after="60" w:before="60"/>
      </w:pPr>
      <w:r>
        <w:rPr>
          <w:rFonts w:ascii="Arial" w:cs="Arial" w:eastAsia="Arial" w:hAnsi="Arial"/>
          <w:color w:val="1E2D3D"/>
          <w:sz w:val="22"/>
          <w:szCs w:val="22"/>
        </w:rPr>
        <w:t xml:space="preserve">Planner opens Section 3 and selects the relevant port tab (JNPT / Mundra / PIPAVAV)</w:t>
      </w:r>
    </w:p>
    <w:p>
      <w:pPr>
        <w:pStyle w:val="ListParagraph"/>
        <w:numPr>
          <w:ilvl w:val="0"/>
          <w:numId w:val="3"/>
        </w:numPr>
        <w:spacing w:after="60" w:before="60"/>
      </w:pPr>
      <w:r>
        <w:rPr>
          <w:rFonts w:ascii="Arial" w:cs="Arial" w:eastAsia="Arial" w:hAnsi="Arial"/>
          <w:color w:val="1E2D3D"/>
          <w:sz w:val="22"/>
          <w:szCs w:val="22"/>
        </w:rPr>
        <w:t xml:space="preserve">Clicks '+ Assign Destination Mode'</w:t>
      </w:r>
    </w:p>
    <w:p>
      <w:pPr>
        <w:pStyle w:val="ListParagraph"/>
        <w:numPr>
          <w:ilvl w:val="0"/>
          <w:numId w:val="3"/>
        </w:numPr>
        <w:spacing w:after="60" w:before="60"/>
      </w:pPr>
      <w:r>
        <w:rPr>
          <w:rFonts w:ascii="Arial" w:cs="Arial" w:eastAsia="Arial" w:hAnsi="Arial"/>
          <w:color w:val="1E2D3D"/>
          <w:sz w:val="22"/>
          <w:szCs w:val="22"/>
        </w:rPr>
        <w:t xml:space="preserve">Fills in: Batch/BL reference, quadrant, segment (Import/Export), horizon day, TEU counts</w:t>
      </w:r>
    </w:p>
    <w:p>
      <w:pPr>
        <w:pStyle w:val="ListParagraph"/>
        <w:numPr>
          <w:ilvl w:val="0"/>
          <w:numId w:val="3"/>
        </w:numPr>
        <w:spacing w:after="60" w:before="60"/>
      </w:pPr>
      <w:r>
        <w:rPr>
          <w:rFonts w:ascii="Arial" w:cs="Arial" w:eastAsia="Arial" w:hAnsi="Arial"/>
          <w:color w:val="1E2D3D"/>
          <w:sz w:val="22"/>
          <w:szCs w:val="22"/>
        </w:rPr>
        <w:t xml:space="preserve">Selects destination mode via the three visual buttons</w:t>
      </w:r>
    </w:p>
    <w:p>
      <w:pPr>
        <w:pStyle w:val="ListParagraph"/>
        <w:numPr>
          <w:ilvl w:val="0"/>
          <w:numId w:val="3"/>
        </w:numPr>
        <w:spacing w:after="60" w:before="60"/>
      </w:pPr>
      <w:r>
        <w:rPr>
          <w:rFonts w:ascii="Arial" w:cs="Arial" w:eastAsia="Arial" w:hAnsi="Arial"/>
          <w:color w:val="1E2D3D"/>
          <w:sz w:val="22"/>
          <w:szCs w:val="22"/>
        </w:rPr>
        <w:t xml:space="preserve">Assignment is saved in-session and immediately reflected in the Section 3 table</w:t>
      </w:r>
    </w:p>
    <w:p>
      <w:pPr>
        <w:pStyle w:val="ListParagraph"/>
        <w:numPr>
          <w:ilvl w:val="0"/>
          <w:numId w:val="3"/>
        </w:numPr>
        <w:spacing w:after="60" w:before="60"/>
      </w:pPr>
      <w:r>
        <w:rPr>
          <w:rFonts w:ascii="Arial" w:cs="Arial" w:eastAsia="Arial" w:hAnsi="Arial"/>
          <w:color w:val="1E2D3D"/>
          <w:sz w:val="22"/>
          <w:szCs w:val="22"/>
        </w:rPr>
        <w:t xml:space="preserve">Assignment log at the bottom of Section 3 shows all entries with delete capability</w:t>
      </w:r>
    </w:p>
    <w:p>
      <w:pPr>
        <w:spacing w:after="160" w:before="0"/>
      </w:pPr>
      <w:r>
        <w:t xml:space="preserve"/>
      </w:r>
    </w:p>
    <w:p>
      <w:pPr>
        <w:spacing w:after="100" w:before="80"/>
      </w:pPr>
      <w:r>
        <w:rPr>
          <w:rFonts w:ascii="Arial" w:cs="Arial" w:eastAsia="Arial" w:hAnsi="Arial"/>
          <w:i/>
          <w:iCs/>
          <w:color w:val="6B7F96"/>
          <w:sz w:val="22"/>
          <w:szCs w:val="22"/>
        </w:rPr>
        <w:t xml:space="preserve">Note: in the current static MVP, mode assignments persist for the browser session only. They are not saved to a database. Phase 2 (IT team) will add permanent storage.</w:t>
      </w:r>
    </w:p>
    <w:p>
      <w:pPr>
        <w:spacing w:after="160" w:before="0"/>
      </w:pPr>
      <w:r>
        <w:t xml:space="preserve"/>
      </w:r>
    </w:p>
    <w:p>
      <w:pPr>
        <w:pStyle w:val="Heading2"/>
        <w:spacing w:after="120" w:before="280"/>
      </w:pPr>
      <w:r>
        <w:rPr>
          <w:rFonts w:ascii="Arial" w:cs="Arial" w:eastAsia="Arial" w:hAnsi="Arial"/>
          <w:b/>
          <w:bCs/>
          <w:color w:val="1A3154"/>
          <w:sz w:val="26"/>
          <w:szCs w:val="26"/>
        </w:rPr>
        <w:t xml:space="preserve">2.3 Planning &amp; Ops Tab — Rake and Vehicle Horizon</w:t>
      </w:r>
    </w:p>
    <w:p>
      <w:pPr>
        <w:spacing w:after="100" w:before="80"/>
      </w:pPr>
      <w:r>
        <w:rPr>
          <w:rFonts w:ascii="Arial" w:cs="Arial" w:eastAsia="Arial" w:hAnsi="Arial"/>
          <w:color w:val="1E2D3D"/>
          <w:sz w:val="22"/>
          <w:szCs w:val="22"/>
        </w:rPr>
        <w:t xml:space="preserve">The Planning &amp; Ops tab provides the supply-side view: how many rakes and trucks are required vs available for each of the next three days.</w:t>
      </w:r>
    </w:p>
    <w:p>
      <w:pPr>
        <w:pStyle w:val="Heading3"/>
        <w:spacing w:after="80" w:before="200"/>
      </w:pPr>
      <w:r>
        <w:rPr>
          <w:rFonts w:ascii="Arial" w:cs="Arial" w:eastAsia="Arial" w:hAnsi="Arial"/>
          <w:b/>
          <w:bCs/>
          <w:color w:val="0D7A5F"/>
          <w:sz w:val="22"/>
          <w:szCs w:val="22"/>
        </w:rPr>
        <w:t xml:space="preserve">2.3.1 Rake Planning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45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Rows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Forward (T+0 → 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Next 3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Required / Available / Holding (deficit or surplus)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Historical (T-2 → T+0)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Past 2 days + today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Evacuated / Pipeline / Holding</w:t>
            </w:r>
          </w:p>
        </w:tc>
      </w:tr>
    </w:tbl>
    <w:p>
      <w:pPr>
        <w:spacing w:after="160" w:before="0"/>
      </w:pPr>
      <w:r>
        <w:t xml:space="preserve"/>
      </w:r>
    </w:p>
    <w:p>
      <w:pPr>
        <w:pStyle w:val="Heading3"/>
        <w:spacing w:after="80" w:before="200"/>
      </w:pPr>
      <w:r>
        <w:rPr>
          <w:rFonts w:ascii="Arial" w:cs="Arial" w:eastAsia="Arial" w:hAnsi="Arial"/>
          <w:b/>
          <w:bCs/>
          <w:color w:val="0D7A5F"/>
          <w:sz w:val="22"/>
          <w:szCs w:val="22"/>
        </w:rPr>
        <w:t xml:space="preserve">2.3.2 Vehicle / Indent Planning Tables</w:t>
      </w:r>
    </w:p>
    <w:p>
      <w:pPr>
        <w:spacing w:after="100" w:before="80"/>
      </w:pPr>
      <w:r>
        <w:rPr>
          <w:rFonts w:ascii="Arial" w:cs="Arial" w:eastAsia="Arial" w:hAnsi="Arial"/>
          <w:color w:val="1E2D3D"/>
          <w:sz w:val="22"/>
          <w:szCs w:val="22"/>
        </w:rPr>
        <w:t xml:space="preserve">Identical structure to rake planning, but for trucking vehicles. The indent desk uses these tables to confirm how many trucks need to be contracted for each horizon day.</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2.3.3 Inventory Horizon Card</w:t>
      </w:r>
    </w:p>
    <w:p>
      <w:pPr>
        <w:spacing w:after="100" w:before="80"/>
      </w:pPr>
      <w:r>
        <w:rPr>
          <w:rFonts w:ascii="Arial" w:cs="Arial" w:eastAsia="Arial" w:hAnsi="Arial"/>
          <w:color w:val="1E2D3D"/>
          <w:sz w:val="22"/>
          <w:szCs w:val="22"/>
        </w:rPr>
        <w:t xml:space="preserve">A card in the Planning &amp; Ops tab shows combined container volume (20' and 40' separately, plus TEU total) at D0, D1, and D2 — combined across all directions.</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3. User Stories — Planning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33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total volume by quadrant across T+0–T+2 against 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know whether we are on track and which quadrant is lagging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Allocation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See rake deficit or surplus for each horizon day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 can reposition empties before a shortage becomes a crisis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Indent Desk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vehicle deficit for T+1 and T+2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contract trucks today before spot prices spike tomorrow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Rail &amp; Ops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Assign Rail/Direct/CY mode to each container batch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My team prepares the right infrastructure before the batch arrives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Filter overview by Export or Import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separate inbound and outbound capacity planning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Any Quadrant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See what the other three quadrants are sending to each port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 can flag conflicts or opportunities before containers arrive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balance (actual minus budget) for each horizon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can push commercial to fill gaps before the day closes</w:t>
            </w:r>
          </w:p>
        </w:tc>
      </w:tr>
    </w:tbl>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4. How to Update Dashboard Data (Current MVP)</w:t>
      </w:r>
    </w:p>
    <w:p>
      <w:pPr>
        <w:spacing w:after="100" w:before="80"/>
      </w:pPr>
      <w:r>
        <w:rPr>
          <w:rFonts w:ascii="Arial" w:cs="Arial" w:eastAsia="Arial" w:hAnsi="Arial"/>
          <w:color w:val="1E2D3D"/>
          <w:sz w:val="22"/>
          <w:szCs w:val="22"/>
        </w:rPr>
        <w:t xml:space="preserve">There is no data entry form in the dashboard. All planning numbers are defined in the DATA object in index.html. The mode assignment modal works in-session only and does not persist across browser refreshes.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Data Input</w:t>
            </w:r>
          </w:p>
        </w:tc>
        <w:tc>
          <w:tcPr>
            <w:tcW w:type="dxa" w:w="22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DATA Object Key</w:t>
            </w:r>
          </w:p>
        </w:tc>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Quadrant-wise TEU volumes (actual + budget)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DATA.traffic (base 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Each quadrant lead + Planning Mgr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Daily morning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required / available per horizon day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DATA.rakePlan.fwd / hist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Allocation team</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Vehicle required / available per horizon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DATA.vehPlan.fwd / hist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Indent Desk / Trucking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Daily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Inventory D0/D1/D2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DATA.inventory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EXIM Yard / Rail &amp; Ops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Daily morning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Destination mode assignments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In-session modal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Per batch confirmed</w:t>
            </w:r>
          </w:p>
        </w:tc>
      </w:tr>
    </w:tbl>
    <w:p>
      <w:pPr>
        <w:spacing w:after="160" w:before="0"/>
      </w:pPr>
      <w:r>
        <w:t xml:space="preserve"/>
      </w:r>
    </w:p>
    <w:p>
      <w:pPr>
        <w:spacing w:after="100" w:before="80"/>
      </w:pPr>
      <w:r>
        <w:rPr>
          <w:rFonts w:ascii="Arial" w:cs="Arial" w:eastAsia="Arial" w:hAnsi="Arial"/>
          <w:i/>
          <w:iCs/>
          <w:color w:val="6B7F96"/>
          <w:sz w:val="22"/>
          <w:szCs w:val="22"/>
        </w:rPr>
        <w:t xml:space="preserve">Phase 2 (IT team): all of these will become live database fields editable via a web form. See the IT/Dev BRD.</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5. Out of Scope for MVP — Future Phases</w:t>
      </w:r>
    </w:p>
    <w:p>
      <w:pPr>
        <w:pStyle w:val="ListParagraph"/>
        <w:numPr>
          <w:ilvl w:val="0"/>
          <w:numId w:val="2"/>
        </w:numPr>
        <w:spacing w:after="60" w:before="60"/>
      </w:pPr>
      <w:r>
        <w:rPr>
          <w:rFonts w:ascii="Arial" w:cs="Arial" w:eastAsia="Arial" w:hAnsi="Arial"/>
          <w:color w:val="1E2D3D"/>
          <w:sz w:val="22"/>
          <w:szCs w:val="22"/>
        </w:rPr>
        <w:t xml:space="preserve">Persistent destination mode assignments (saved to database across sessions)</w:t>
      </w:r>
    </w:p>
    <w:p>
      <w:pPr>
        <w:pStyle w:val="ListParagraph"/>
        <w:numPr>
          <w:ilvl w:val="0"/>
          <w:numId w:val="2"/>
        </w:numPr>
        <w:spacing w:after="60" w:before="60"/>
      </w:pPr>
      <w:r>
        <w:rPr>
          <w:rFonts w:ascii="Arial" w:cs="Arial" w:eastAsia="Arial" w:hAnsi="Arial"/>
          <w:color w:val="1E2D3D"/>
          <w:sz w:val="22"/>
          <w:szCs w:val="22"/>
        </w:rPr>
        <w:t xml:space="preserve">Automated volume pull from booking systems (ERP / TOS integration)</w:t>
      </w:r>
    </w:p>
    <w:p>
      <w:pPr>
        <w:pStyle w:val="ListParagraph"/>
        <w:numPr>
          <w:ilvl w:val="0"/>
          <w:numId w:val="2"/>
        </w:numPr>
        <w:spacing w:after="60" w:before="60"/>
      </w:pPr>
      <w:r>
        <w:rPr>
          <w:rFonts w:ascii="Arial" w:cs="Arial" w:eastAsia="Arial" w:hAnsi="Arial"/>
          <w:color w:val="1E2D3D"/>
          <w:sz w:val="22"/>
          <w:szCs w:val="22"/>
        </w:rPr>
        <w:t xml:space="preserve">Rolling 7-day planning horizon (currently 72 hours only)</w:t>
      </w:r>
    </w:p>
    <w:p>
      <w:pPr>
        <w:pStyle w:val="ListParagraph"/>
        <w:numPr>
          <w:ilvl w:val="0"/>
          <w:numId w:val="2"/>
        </w:numPr>
        <w:spacing w:after="60" w:before="60"/>
      </w:pPr>
      <w:r>
        <w:rPr>
          <w:rFonts w:ascii="Arial" w:cs="Arial" w:eastAsia="Arial" w:hAnsi="Arial"/>
          <w:color w:val="1E2D3D"/>
          <w:sz w:val="22"/>
          <w:szCs w:val="22"/>
        </w:rPr>
        <w:t xml:space="preserve">Budget vs actual trend charts (week-on-week comparison)</w:t>
      </w:r>
    </w:p>
    <w:p>
      <w:pPr>
        <w:pStyle w:val="ListParagraph"/>
        <w:numPr>
          <w:ilvl w:val="0"/>
          <w:numId w:val="2"/>
        </w:numPr>
        <w:spacing w:after="60" w:before="60"/>
      </w:pPr>
      <w:r>
        <w:rPr>
          <w:rFonts w:ascii="Arial" w:cs="Arial" w:eastAsia="Arial" w:hAnsi="Arial"/>
          <w:color w:val="1E2D3D"/>
          <w:sz w:val="22"/>
          <w:szCs w:val="22"/>
        </w:rPr>
        <w:t xml:space="preserve">Automated indent placement when vehicle deficit exceeds threshold</w:t>
      </w:r>
    </w:p>
    <w:p>
      <w:pPr>
        <w:pStyle w:val="ListParagraph"/>
        <w:numPr>
          <w:ilvl w:val="0"/>
          <w:numId w:val="2"/>
        </w:numPr>
        <w:spacing w:after="60" w:before="60"/>
      </w:pPr>
      <w:r>
        <w:rPr>
          <w:rFonts w:ascii="Arial" w:cs="Arial" w:eastAsia="Arial" w:hAnsi="Arial"/>
          <w:color w:val="1E2D3D"/>
          <w:sz w:val="22"/>
          <w:szCs w:val="22"/>
        </w:rPr>
        <w:t xml:space="preserve">Web-based data entry replacing direct code edits (Phase 2 — IT BRD)</w:t>
      </w:r>
    </w:p>
    <w:p>
      <w:pPr>
        <w:pStyle w:val="ListParagraph"/>
        <w:numPr>
          <w:ilvl w:val="0"/>
          <w:numId w:val="2"/>
        </w:numPr>
        <w:spacing w:after="60" w:before="60"/>
      </w:pPr>
      <w:r>
        <w:rPr>
          <w:rFonts w:ascii="Arial" w:cs="Arial" w:eastAsia="Arial" w:hAnsi="Arial"/>
          <w:color w:val="1E2D3D"/>
          <w:sz w:val="22"/>
          <w:szCs w:val="22"/>
        </w:rPr>
        <w:t xml:space="preserve">Cross-quadrant conflict detection (same batch allocated to two modes)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AF2" w:sz="4" w:space="4"/>
      </w:pBdr>
      <w:tabs>
        <w:tab w:val="right" w:pos="9360"/>
      </w:tabs>
    </w:pPr>
    <w:r>
      <w:rPr>
        <w:rFonts w:ascii="Arial" w:cs="Arial" w:eastAsia="Arial" w:hAnsi="Arial"/>
        <w:color w:val="6B7F96"/>
        <w:sz w:val="16"/>
        <w:szCs w:val="16"/>
      </w:rPr>
      <w:t xml:space="preserve">Confidential — Internal Use Only</w:t>
    </w:r>
    <w:r>
      <w:rPr>
        <w:rFonts w:ascii="Arial" w:cs="Arial" w:eastAsia="Arial" w:hAnsi="Arial"/>
        <w:color w:val="6B7F9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5F" w:sz="4" w:space="4"/>
      </w:pBdr>
      <w:tabs>
        <w:tab w:val="right" w:pos="9360"/>
      </w:tabs>
    </w:pPr>
    <w:r>
      <w:rPr>
        <w:rFonts w:ascii="Arial" w:cs="Arial" w:eastAsia="Arial" w:hAnsi="Arial"/>
        <w:b/>
        <w:bCs/>
        <w:color w:val="1A3154"/>
        <w:sz w:val="18"/>
        <w:szCs w:val="18"/>
      </w:rPr>
      <w:t xml:space="preserve">RAKE CONTROL TOWER</w:t>
    </w:r>
    <w:r>
      <w:rPr>
        <w:rFonts w:ascii="Arial" w:cs="Arial" w:eastAsia="Arial" w:hAnsi="Arial"/>
        <w:color w:val="6B7F96"/>
        <w:sz w:val="16"/>
        <w:szCs w:val="16"/>
      </w:rPr>
      <w:t xml:space="preserve">	BRD — OPS LAYER 2: PLANNING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2026-05-30T06:07:43.185Z</dcterms:created>
  <dcterms:modified xsi:type="dcterms:W3CDTF">2026-05-30T06:07:43.185Z</dcterms:modified>
</cp:coreProperties>
</file>

<file path=docProps/custom.xml><?xml version="1.0" encoding="utf-8"?>
<Properties xmlns="http://schemas.openxmlformats.org/officeDocument/2006/custom-properties" xmlns:vt="http://schemas.openxmlformats.org/officeDocument/2006/docPropsVTypes"/>
</file>