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120" w:before="0"/>
        <w:jc w:val="center"/>
      </w:pPr>
      <w:r>
        <w:rPr>
          <w:rFonts w:ascii="Arial" w:cs="Arial" w:eastAsia="Arial" w:hAnsi="Arial"/>
          <w:b/>
          <w:bCs/>
          <w:color w:val="1A3154"/>
          <w:sz w:val="52"/>
          <w:szCs w:val="52"/>
        </w:rPr>
        <w:t xml:space="preserve">RAKE &amp; TRUCKING CONTROL TOWER</w:t>
      </w:r>
    </w:p>
    <w:p>
      <w:pPr>
        <w:spacing w:after="240" w:before="0"/>
        <w:jc w:val="center"/>
      </w:pPr>
      <w:r>
        <w:rPr>
          <w:rFonts w:ascii="Arial" w:cs="Arial" w:eastAsia="Arial" w:hAnsi="Arial"/>
          <w:color w:val="6B7F96"/>
          <w:sz w:val="32"/>
          <w:szCs w:val="32"/>
        </w:rPr>
        <w:t xml:space="preserve">Business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A5F" w:val="clear"/>
            <w:tcMar>
              <w:top w:type="dxa" w:w="120"/>
              <w:left w:type="dxa" w:w="180"/>
              <w:bottom w:type="dxa" w:w="120"/>
              <w:right w:type="dxa" w:w="180"/>
            </w:tcMar>
          </w:tcPr>
          <w:p>
            <w:r>
              <w:rPr>
                <w:rFonts w:ascii="Arial" w:cs="Arial" w:eastAsia="Arial" w:hAnsi="Arial"/>
                <w:b/>
                <w:bCs/>
                <w:color w:val="FFFFFF"/>
                <w:sz w:val="24"/>
                <w:szCs w:val="24"/>
              </w:rPr>
              <w:t xml:space="preserve">OPS LAYER 2 — PLANNING ENGINE (72-HOUR HORIZON)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154"/>
                <w:sz w:val="20"/>
                <w:szCs w:val="20"/>
              </w:rPr>
              <w:t xml:space="preserve">Document Type</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Operational BRD — Layer 2 of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154"/>
                <w:sz w:val="20"/>
                <w:szCs w:val="20"/>
              </w:rPr>
              <w:t xml:space="preserve">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Planning Engine / 72-Hour Horizon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154"/>
                <w:sz w:val="20"/>
                <w:szCs w:val="20"/>
              </w:rPr>
              <w:t xml:space="preserve">Primary Users</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Planning Team, Rake Allocation Team, Indent Desk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154"/>
                <w:sz w:val="20"/>
                <w:szCs w:val="20"/>
              </w:rPr>
              <w:t xml:space="preserve">Dashboard Tabs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Overview, Planning &amp; Ops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1A3154"/>
                <w:sz w:val="20"/>
                <w:szCs w:val="20"/>
              </w:rPr>
              <w:t xml:space="preserve">Version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1.0 — MVP Static Demo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3154"/>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May 2026</w:t>
            </w:r>
          </w:p>
        </w:tc>
      </w:tr>
    </w:tbl>
    <w:p>
      <w:pPr>
        <w:spacing w:after="320" w:before="0"/>
      </w:pPr>
      <w:r>
        <w:t xml:space="preserve"/>
      </w:r>
    </w:p>
    <w:p>
      <w:pPr>
        <w:pStyle w:val="Heading1"/>
        <w:pBdr>
          <w:bottom w:val="single" w:color="1A3154" w:sz="8" w:space="4"/>
        </w:pBdr>
        <w:spacing w:after="160" w:before="360"/>
      </w:pPr>
      <w:r>
        <w:rPr>
          <w:rFonts w:ascii="Arial" w:cs="Arial" w:eastAsia="Arial" w:hAnsi="Arial"/>
          <w:b/>
          <w:bCs/>
          <w:color w:val="1A3154"/>
          <w:sz w:val="36"/>
          <w:szCs w:val="36"/>
        </w:rPr>
        <w:t xml:space="preserve">1. Purpose &amp; Scope</w:t>
      </w:r>
    </w:p>
    <w:p>
      <w:pPr>
        <w:spacing w:after="100" w:before="80"/>
      </w:pPr>
      <w:r>
        <w:rPr>
          <w:rFonts w:ascii="Arial" w:cs="Arial" w:eastAsia="Arial" w:hAnsi="Arial"/>
          <w:color w:val="1E2D3D"/>
          <w:sz w:val="22"/>
          <w:szCs w:val="22"/>
        </w:rPr>
        <w:t xml:space="preserve">This document defines the business requirements for Layer 2: the forward planning engine. It is written for planning teams responsible for allocating rakes, managing indent (vehicle) requirements, and coordinating container volume across four operational quadrants 72 hours in advance.</w:t>
      </w:r>
    </w:p>
    <w:p>
      <w:pPr>
        <w:spacing w:after="100" w:before="80"/>
      </w:pPr>
      <w:r>
        <w:rPr>
          <w:rFonts w:ascii="Arial" w:cs="Arial" w:eastAsia="Arial" w:hAnsi="Arial"/>
          <w:color w:val="1E2D3D"/>
          <w:sz w:val="22"/>
          <w:szCs w:val="22"/>
        </w:rPr>
        <w:t xml:space="preserve">Layer 2 answers the question: what will we need over the next 72 hours, and are we positioned to meet it — by quadrant, by port, and by destination mode?</w:t>
      </w:r>
    </w:p>
    <w:p>
      <w:pPr>
        <w:pStyle w:val="Heading2"/>
        <w:spacing w:after="120" w:before="280"/>
      </w:pPr>
      <w:r>
        <w:rPr>
          <w:rFonts w:ascii="Arial" w:cs="Arial" w:eastAsia="Arial" w:hAnsi="Arial"/>
          <w:b/>
          <w:bCs/>
          <w:color w:val="1A3154"/>
          <w:sz w:val="26"/>
          <w:szCs w:val="26"/>
        </w:rPr>
        <w:t xml:space="preserve">1.1 The Core Problem</w:t>
      </w:r>
    </w:p>
    <w:p>
      <w:pPr>
        <w:spacing w:after="100" w:before="80"/>
      </w:pPr>
      <w:r>
        <w:rPr>
          <w:rFonts w:ascii="Arial" w:cs="Arial" w:eastAsia="Arial" w:hAnsi="Arial"/>
          <w:color w:val="1E2D3D"/>
          <w:sz w:val="22"/>
          <w:szCs w:val="22"/>
        </w:rPr>
        <w:t xml:space="preserve">The four quadrants — Rail &amp; Ops, Trucking, International Freight Forwarding (IFF), and EXIM Yard — currently plan in isolation. Each has its own view of incoming container volume, but nobody has a consolidated picture across all four simultaneously. The result:</w:t>
      </w:r>
    </w:p>
    <w:p>
      <w:pPr>
        <w:pStyle w:val="ListParagraph"/>
        <w:numPr>
          <w:ilvl w:val="0"/>
          <w:numId w:val="2"/>
        </w:numPr>
        <w:spacing w:after="60" w:before="60"/>
      </w:pPr>
      <w:r>
        <w:rPr>
          <w:rFonts w:ascii="Arial" w:cs="Arial" w:eastAsia="Arial" w:hAnsi="Arial"/>
          <w:color w:val="1E2D3D"/>
          <w:sz w:val="22"/>
          <w:szCs w:val="22"/>
        </w:rPr>
        <w:t xml:space="preserve">Rake requirements are discovered too late to reposition empties</w:t>
      </w:r>
    </w:p>
    <w:p>
      <w:pPr>
        <w:pStyle w:val="ListParagraph"/>
        <w:numPr>
          <w:ilvl w:val="0"/>
          <w:numId w:val="2"/>
        </w:numPr>
        <w:spacing w:after="60" w:before="60"/>
      </w:pPr>
      <w:r>
        <w:rPr>
          <w:rFonts w:ascii="Arial" w:cs="Arial" w:eastAsia="Arial" w:hAnsi="Arial"/>
          <w:color w:val="1E2D3D"/>
          <w:sz w:val="22"/>
          <w:szCs w:val="22"/>
        </w:rPr>
        <w:t xml:space="preserve">Trucking indent is placed reactively, driving up spot rates</w:t>
      </w:r>
    </w:p>
    <w:p>
      <w:pPr>
        <w:pStyle w:val="ListParagraph"/>
        <w:numPr>
          <w:ilvl w:val="0"/>
          <w:numId w:val="2"/>
        </w:numPr>
        <w:spacing w:after="60" w:before="60"/>
      </w:pPr>
      <w:r>
        <w:rPr>
          <w:rFonts w:ascii="Arial" w:cs="Arial" w:eastAsia="Arial" w:hAnsi="Arial"/>
          <w:color w:val="1E2D3D"/>
          <w:sz w:val="22"/>
          <w:szCs w:val="22"/>
        </w:rPr>
        <w:t xml:space="preserve">IFF and EXIM Yard volumes are not visible to Rail &amp; Ops until containers arrive at port</w:t>
      </w:r>
    </w:p>
    <w:p>
      <w:pPr>
        <w:pStyle w:val="ListParagraph"/>
        <w:numPr>
          <w:ilvl w:val="0"/>
          <w:numId w:val="2"/>
        </w:numPr>
        <w:spacing w:after="60" w:before="60"/>
      </w:pPr>
      <w:r>
        <w:rPr>
          <w:rFonts w:ascii="Arial" w:cs="Arial" w:eastAsia="Arial" w:hAnsi="Arial"/>
          <w:color w:val="1E2D3D"/>
          <w:sz w:val="22"/>
          <w:szCs w:val="22"/>
        </w:rPr>
        <w:t xml:space="preserve">Destination mode decisions (Rail vs Truck vs Container Yard) are made ad hoc without a log</w:t>
      </w:r>
    </w:p>
    <w:p>
      <w:pPr>
        <w:pStyle w:val="ListParagraph"/>
        <w:numPr>
          <w:ilvl w:val="0"/>
          <w:numId w:val="2"/>
        </w:numPr>
        <w:spacing w:after="60" w:before="60"/>
      </w:pPr>
      <w:r>
        <w:rPr>
          <w:rFonts w:ascii="Arial" w:cs="Arial" w:eastAsia="Arial" w:hAnsi="Arial"/>
          <w:color w:val="1E2D3D"/>
          <w:sz w:val="22"/>
          <w:szCs w:val="22"/>
        </w:rPr>
        <w:t xml:space="preserve">No baseline exists to compare actual volume against budget for the coming days</w:t>
      </w:r>
    </w:p>
    <w:p>
      <w:pPr>
        <w:spacing w:after="160" w:before="0"/>
      </w:pPr>
      <w:r>
        <w:t xml:space="preserve"/>
      </w:r>
    </w:p>
    <w:p>
      <w:pPr>
        <w:pStyle w:val="Heading1"/>
        <w:pBdr>
          <w:bottom w:val="single" w:color="1A3154" w:sz="8" w:space="4"/>
        </w:pBdr>
        <w:spacing w:after="160" w:before="360"/>
      </w:pPr>
      <w:r>
        <w:rPr>
          <w:rFonts w:ascii="Arial" w:cs="Arial" w:eastAsia="Arial" w:hAnsi="Arial"/>
          <w:b/>
          <w:bCs/>
          <w:color w:val="1A3154"/>
          <w:sz w:val="36"/>
          <w:szCs w:val="36"/>
        </w:rPr>
        <w:t xml:space="preserve">2. What the Planning Engine Layer Delivers</w:t>
      </w:r>
    </w:p>
    <w:p>
      <w:pPr>
        <w:pStyle w:val="Heading2"/>
        <w:spacing w:after="120" w:before="280"/>
      </w:pPr>
      <w:r>
        <w:rPr>
          <w:rFonts w:ascii="Arial" w:cs="Arial" w:eastAsia="Arial" w:hAnsi="Arial"/>
          <w:b/>
          <w:bCs/>
          <w:color w:val="1A3154"/>
          <w:sz w:val="26"/>
          <w:szCs w:val="26"/>
        </w:rPr>
        <w:t xml:space="preserve">2.1 Overview Tab — Cross-Quadrant Traffic Visibility</w:t>
      </w:r>
    </w:p>
    <w:p>
      <w:pPr>
        <w:spacing w:after="100" w:before="80"/>
      </w:pPr>
      <w:r>
        <w:rPr>
          <w:rFonts w:ascii="Arial" w:cs="Arial" w:eastAsia="Arial" w:hAnsi="Arial"/>
          <w:color w:val="1E2D3D"/>
          <w:sz w:val="22"/>
          <w:szCs w:val="22"/>
        </w:rPr>
        <w:t xml:space="preserve">The Overview tab is the first tab on the dashboard and the primary planning tool. It shows consolidated container traffic volume across all four quadrants, all three ports (JNPT, Mundra, PIPAVAV), for T+0, T+1, and T+2.</w:t>
      </w:r>
    </w:p>
    <w:p>
      <w:pPr>
        <w:pStyle w:val="Heading3"/>
        <w:spacing w:after="80" w:before="200"/>
      </w:pPr>
      <w:r>
        <w:rPr>
          <w:rFonts w:ascii="Arial" w:cs="Arial" w:eastAsia="Arial" w:hAnsi="Arial"/>
          <w:b/>
          <w:bCs/>
          <w:color w:val="0D7A5F"/>
          <w:sz w:val="22"/>
          <w:szCs w:val="22"/>
        </w:rPr>
        <w:t xml:space="preserve">2.1.1 Three Display Sections</w:t>
      </w:r>
    </w:p>
    <w:p>
      <w:pPr>
        <w:pStyle w:val="ListParagraph"/>
        <w:numPr>
          <w:ilvl w:val="0"/>
          <w:numId w:val="2"/>
        </w:numPr>
        <w:spacing w:after="60" w:before="60"/>
      </w:pPr>
      <w:r>
        <w:rPr>
          <w:rFonts w:ascii="Arial" w:cs="Arial" w:eastAsia="Arial" w:hAnsi="Arial"/>
          <w:color w:val="1E2D3D"/>
          <w:sz w:val="22"/>
          <w:szCs w:val="22"/>
        </w:rPr>
        <w:t xml:space="preserve">Section 1 — Quadrant-wise Volume: rows by quadrant, columns by horizon day (Actual / Budget / Balance per day)</w:t>
      </w:r>
    </w:p>
    <w:p>
      <w:pPr>
        <w:pStyle w:val="ListParagraph"/>
        <w:numPr>
          <w:ilvl w:val="0"/>
          <w:numId w:val="2"/>
        </w:numPr>
        <w:spacing w:after="60" w:before="60"/>
      </w:pPr>
      <w:r>
        <w:rPr>
          <w:rFonts w:ascii="Arial" w:cs="Arial" w:eastAsia="Arial" w:hAnsi="Arial"/>
          <w:color w:val="1E2D3D"/>
          <w:sz w:val="22"/>
          <w:szCs w:val="22"/>
        </w:rPr>
        <w:t xml:space="preserve">Section 2 — Port-wise Volume: same structure but rows by port</w:t>
      </w:r>
    </w:p>
    <w:p>
      <w:pPr>
        <w:pStyle w:val="ListParagraph"/>
        <w:numPr>
          <w:ilvl w:val="0"/>
          <w:numId w:val="2"/>
        </w:numPr>
        <w:spacing w:after="60" w:before="60"/>
      </w:pPr>
      <w:r>
        <w:rPr>
          <w:rFonts w:ascii="Arial" w:cs="Arial" w:eastAsia="Arial" w:hAnsi="Arial"/>
          <w:color w:val="1E2D3D"/>
          <w:sz w:val="22"/>
          <w:szCs w:val="22"/>
        </w:rPr>
        <w:t xml:space="preserve">Section 3 — At-Port Quadrant Breakdown: filtered by selected port, with destination mode columns</w:t>
      </w:r>
    </w:p>
    <w:p>
      <w:pPr>
        <w:spacing w:after="160" w:before="0"/>
      </w:pPr>
      <w:r>
        <w:t xml:space="preserve"/>
      </w:r>
    </w:p>
    <w:p>
      <w:pPr>
        <w:pStyle w:val="Heading3"/>
        <w:spacing w:after="80" w:before="200"/>
      </w:pPr>
      <w:r>
        <w:rPr>
          <w:rFonts w:ascii="Arial" w:cs="Arial" w:eastAsia="Arial" w:hAnsi="Arial"/>
          <w:b/>
          <w:bCs/>
          <w:color w:val="0D7A5F"/>
          <w:sz w:val="22"/>
          <w:szCs w:val="22"/>
        </w:rPr>
        <w:t xml:space="preserve">2.1.2 The Actual / Budget / Balance Column Structure</w:t>
      </w:r>
    </w:p>
    <w:p>
      <w:pPr>
        <w:spacing w:after="100" w:before="80"/>
      </w:pPr>
      <w:r>
        <w:rPr>
          <w:rFonts w:ascii="Arial" w:cs="Arial" w:eastAsia="Arial" w:hAnsi="Arial"/>
          <w:color w:val="1E2D3D"/>
          <w:sz w:val="22"/>
          <w:szCs w:val="22"/>
        </w:rPr>
        <w:t xml:space="preserve">Each horizon day has three columns rather than a single volume number. This is deliberate — it forces the planning team to see not just what is coming, but whether it is on track against the monthly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0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96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Decision It Enables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Actual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TEUs confirmed or expected based on current bookings/manifests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How much capacity to plan for</w:t>
            </w:r>
          </w:p>
        </w:tc>
      </w:tr>
      <w:tr>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Budget</w:t>
            </w:r>
          </w:p>
        </w:tc>
        <w:tc>
          <w:tcPr>
            <w:tcW w:type="dxa" w:w="4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Monthly target prorated to this horizon day</w:t>
            </w:r>
          </w:p>
        </w:tc>
        <w:tc>
          <w:tcPr>
            <w:tcW w:type="dxa" w:w="3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Whether we are ahead or behind target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Balance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Actual minus Budget (negative = behind target)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Whether to push commercial to fill gaps</w:t>
            </w:r>
          </w:p>
        </w:tc>
      </w:tr>
    </w:tbl>
    <w:p>
      <w:pPr>
        <w:spacing w:after="160" w:before="0"/>
      </w:pPr>
      <w:r>
        <w:t xml:space="preserve"/>
      </w:r>
    </w:p>
    <w:p>
      <w:pPr>
        <w:pStyle w:val="Heading3"/>
        <w:spacing w:after="80" w:before="200"/>
      </w:pPr>
      <w:r>
        <w:rPr>
          <w:rFonts w:ascii="Arial" w:cs="Arial" w:eastAsia="Arial" w:hAnsi="Arial"/>
          <w:b/>
          <w:bCs/>
          <w:color w:val="0D7A5F"/>
          <w:sz w:val="22"/>
          <w:szCs w:val="22"/>
        </w:rPr>
        <w:t xml:space="preserve">2.1.3 Total / Export / Import Toggle</w:t>
      </w:r>
    </w:p>
    <w:p>
      <w:pPr>
        <w:spacing w:after="100" w:before="80"/>
      </w:pPr>
      <w:r>
        <w:rPr>
          <w:rFonts w:ascii="Arial" w:cs="Arial" w:eastAsia="Arial" w:hAnsi="Arial"/>
          <w:color w:val="1E2D3D"/>
          <w:sz w:val="22"/>
          <w:szCs w:val="22"/>
        </w:rPr>
        <w:t xml:space="preserve">The view can be filtered to show combined volumes, export-only, or import-only across all three sections simultaneously. This allows the planning team to isolate inbound vs outbound capacity requirements without switching screens.</w:t>
      </w:r>
    </w:p>
    <w:p>
      <w:pPr>
        <w:spacing w:after="160" w:before="0"/>
      </w:pPr>
      <w:r>
        <w:t xml:space="preserve"/>
      </w:r>
    </w:p>
    <w:p>
      <w:pPr>
        <w:pStyle w:val="Heading3"/>
        <w:spacing w:after="80" w:before="200"/>
      </w:pPr>
      <w:r>
        <w:rPr>
          <w:rFonts w:ascii="Arial" w:cs="Arial" w:eastAsia="Arial" w:hAnsi="Arial"/>
          <w:b/>
          <w:bCs/>
          <w:color w:val="0D7A5F"/>
          <w:sz w:val="22"/>
          <w:szCs w:val="22"/>
        </w:rPr>
        <w:t xml:space="preserve">2.1.4 Bar Chart — Volume Distribution</w:t>
      </w:r>
    </w:p>
    <w:p>
      <w:pPr>
        <w:spacing w:after="100" w:before="80"/>
      </w:pPr>
      <w:r>
        <w:rPr>
          <w:rFonts w:ascii="Arial" w:cs="Arial" w:eastAsia="Arial" w:hAnsi="Arial"/>
          <w:color w:val="1E2D3D"/>
          <w:sz w:val="22"/>
          <w:szCs w:val="22"/>
        </w:rPr>
        <w:t xml:space="preserve">A SVG bar chart between Section 1 and Section 2 visualises actual TEU volumes per quadrant (or per port, toggled) across T+0, T+1, T+2 with diminishing bar opacity to visually reinforce time horizon uncertainty. The chart responds to the Total/Export/Import toggle and can switch between 'By Quadrant' and 'By Port' groupings.</w:t>
      </w:r>
    </w:p>
    <w:p>
      <w:pPr>
        <w:spacing w:after="160" w:before="0"/>
      </w:pPr>
      <w:r>
        <w:t xml:space="preserve"/>
      </w:r>
    </w:p>
    <w:p>
      <w:pPr>
        <w:pStyle w:val="Heading2"/>
        <w:spacing w:after="120" w:before="280"/>
      </w:pPr>
      <w:r>
        <w:rPr>
          <w:rFonts w:ascii="Arial" w:cs="Arial" w:eastAsia="Arial" w:hAnsi="Arial"/>
          <w:b/>
          <w:bCs/>
          <w:color w:val="1A3154"/>
          <w:sz w:val="26"/>
          <w:szCs w:val="26"/>
        </w:rPr>
        <w:t xml:space="preserve">2.2 Destination Mode Planning (Section 3 — At-Port)</w:t>
      </w:r>
    </w:p>
    <w:p>
      <w:pPr>
        <w:spacing w:after="100" w:before="80"/>
      </w:pPr>
      <w:r>
        <w:rPr>
          <w:rFonts w:ascii="Arial" w:cs="Arial" w:eastAsia="Arial" w:hAnsi="Arial"/>
          <w:color w:val="1E2D3D"/>
          <w:sz w:val="22"/>
          <w:szCs w:val="22"/>
        </w:rPr>
        <w:t xml:space="preserve">The most operationally important planning action in Layer 2 is assigning a destination mode to each incoming container batch. Once a mode is assigned, Rail &amp; Ops, Trucking, and EXIM Yard can prepare accordingly.</w:t>
      </w:r>
    </w:p>
    <w:p>
      <w:pPr>
        <w:pStyle w:val="Heading3"/>
        <w:spacing w:after="80" w:before="200"/>
      </w:pPr>
      <w:r>
        <w:rPr>
          <w:rFonts w:ascii="Arial" w:cs="Arial" w:eastAsia="Arial" w:hAnsi="Arial"/>
          <w:b/>
          <w:bCs/>
          <w:color w:val="0D7A5F"/>
          <w:sz w:val="22"/>
          <w:szCs w:val="22"/>
        </w:rPr>
        <w:t xml:space="preserve">2.2.1 The Three Destination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3600"/>
        <w:gridCol w:w="3160"/>
      </w:tblGrid>
      <w:tr>
        <w:tc>
          <w:tcPr>
            <w:tcW w:type="dxa" w:w="20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6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36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Rail → ICD</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Container is moved via rake to an Inland Container Depot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When rail connectivity exists and volume justifies a full rake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Direct to Customer</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w:t>
            </w:r>
          </w:p>
        </w:tc>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Container is delivered directly to the consignee's premises</w:t>
            </w:r>
          </w:p>
        </w:tc>
        <w:tc>
          <w:tcPr>
            <w:tcW w:type="dxa" w:w="3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For priority / time-sensitive customers with direct truck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Container Yard (CY)</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Container held at a CY for truck pickup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When rail infrastructure is absent or demand is below rake threshold</w:t>
            </w:r>
          </w:p>
        </w:tc>
      </w:tr>
    </w:tbl>
    <w:p>
      <w:pPr>
        <w:spacing w:after="160" w:before="0"/>
      </w:pPr>
      <w:r>
        <w:t xml:space="preserve"/>
      </w:r>
    </w:p>
    <w:p>
      <w:pPr>
        <w:pStyle w:val="Heading3"/>
        <w:spacing w:after="80" w:before="200"/>
      </w:pPr>
      <w:r>
        <w:rPr>
          <w:rFonts w:ascii="Arial" w:cs="Arial" w:eastAsia="Arial" w:hAnsi="Arial"/>
          <w:b/>
          <w:bCs/>
          <w:color w:val="0D7A5F"/>
          <w:sz w:val="22"/>
          <w:szCs w:val="22"/>
        </w:rPr>
        <w:t xml:space="preserve">2.2.2 Mode Assignment Flow</w:t>
      </w:r>
    </w:p>
    <w:p>
      <w:pPr>
        <w:pStyle w:val="ListParagraph"/>
        <w:numPr>
          <w:ilvl w:val="0"/>
          <w:numId w:val="3"/>
        </w:numPr>
        <w:spacing w:after="60" w:before="60"/>
      </w:pPr>
      <w:r>
        <w:rPr>
          <w:rFonts w:ascii="Arial" w:cs="Arial" w:eastAsia="Arial" w:hAnsi="Arial"/>
          <w:color w:val="1E2D3D"/>
          <w:sz w:val="22"/>
          <w:szCs w:val="22"/>
        </w:rPr>
        <w:t xml:space="preserve">Planner opens Section 3 and selects the relevant port tab (JNPT / Mundra / PIPAVAV)</w:t>
      </w:r>
    </w:p>
    <w:p>
      <w:pPr>
        <w:pStyle w:val="ListParagraph"/>
        <w:numPr>
          <w:ilvl w:val="0"/>
          <w:numId w:val="3"/>
        </w:numPr>
        <w:spacing w:after="60" w:before="60"/>
      </w:pPr>
      <w:r>
        <w:rPr>
          <w:rFonts w:ascii="Arial" w:cs="Arial" w:eastAsia="Arial" w:hAnsi="Arial"/>
          <w:color w:val="1E2D3D"/>
          <w:sz w:val="22"/>
          <w:szCs w:val="22"/>
        </w:rPr>
        <w:t xml:space="preserve">Clicks '+ Assign Destination Mode'</w:t>
      </w:r>
    </w:p>
    <w:p>
      <w:pPr>
        <w:pStyle w:val="ListParagraph"/>
        <w:numPr>
          <w:ilvl w:val="0"/>
          <w:numId w:val="3"/>
        </w:numPr>
        <w:spacing w:after="60" w:before="60"/>
      </w:pPr>
      <w:r>
        <w:rPr>
          <w:rFonts w:ascii="Arial" w:cs="Arial" w:eastAsia="Arial" w:hAnsi="Arial"/>
          <w:color w:val="1E2D3D"/>
          <w:sz w:val="22"/>
          <w:szCs w:val="22"/>
        </w:rPr>
        <w:t xml:space="preserve">Fills in: Batch/BL reference, quadrant, segment (Import/Export), horizon day, TEU counts</w:t>
      </w:r>
    </w:p>
    <w:p>
      <w:pPr>
        <w:pStyle w:val="ListParagraph"/>
        <w:numPr>
          <w:ilvl w:val="0"/>
          <w:numId w:val="3"/>
        </w:numPr>
        <w:spacing w:after="60" w:before="60"/>
      </w:pPr>
      <w:r>
        <w:rPr>
          <w:rFonts w:ascii="Arial" w:cs="Arial" w:eastAsia="Arial" w:hAnsi="Arial"/>
          <w:color w:val="1E2D3D"/>
          <w:sz w:val="22"/>
          <w:szCs w:val="22"/>
        </w:rPr>
        <w:t xml:space="preserve">Selects destination mode via the three visual buttons</w:t>
      </w:r>
    </w:p>
    <w:p>
      <w:pPr>
        <w:pStyle w:val="ListParagraph"/>
        <w:numPr>
          <w:ilvl w:val="0"/>
          <w:numId w:val="3"/>
        </w:numPr>
        <w:spacing w:after="60" w:before="60"/>
      </w:pPr>
      <w:r>
        <w:rPr>
          <w:rFonts w:ascii="Arial" w:cs="Arial" w:eastAsia="Arial" w:hAnsi="Arial"/>
          <w:color w:val="1E2D3D"/>
          <w:sz w:val="22"/>
          <w:szCs w:val="22"/>
        </w:rPr>
        <w:t xml:space="preserve">Assignment is saved and immediately reflected in the mode columns of the Section 3 table</w:t>
      </w:r>
    </w:p>
    <w:p>
      <w:pPr>
        <w:pStyle w:val="ListParagraph"/>
        <w:numPr>
          <w:ilvl w:val="0"/>
          <w:numId w:val="3"/>
        </w:numPr>
        <w:spacing w:after="60" w:before="60"/>
      </w:pPr>
      <w:r>
        <w:rPr>
          <w:rFonts w:ascii="Arial" w:cs="Arial" w:eastAsia="Arial" w:hAnsi="Arial"/>
          <w:color w:val="1E2D3D"/>
          <w:sz w:val="22"/>
          <w:szCs w:val="22"/>
        </w:rPr>
        <w:t xml:space="preserve">Assignment log at the bottom of Section 3 shows all entries with delete capability</w:t>
      </w:r>
    </w:p>
    <w:p>
      <w:pPr>
        <w:spacing w:after="160" w:before="0"/>
      </w:pPr>
      <w:r>
        <w:t xml:space="preserve"/>
      </w:r>
    </w:p>
    <w:p>
      <w:pPr>
        <w:pStyle w:val="Heading2"/>
        <w:spacing w:after="120" w:before="280"/>
      </w:pPr>
      <w:r>
        <w:rPr>
          <w:rFonts w:ascii="Arial" w:cs="Arial" w:eastAsia="Arial" w:hAnsi="Arial"/>
          <w:b/>
          <w:bCs/>
          <w:color w:val="1A3154"/>
          <w:sz w:val="26"/>
          <w:szCs w:val="26"/>
        </w:rPr>
        <w:t xml:space="preserve">2.3 Planning &amp; Ops Tab — Rake and Vehicle Horizon</w:t>
      </w:r>
    </w:p>
    <w:p>
      <w:pPr>
        <w:spacing w:after="100" w:before="80"/>
      </w:pPr>
      <w:r>
        <w:rPr>
          <w:rFonts w:ascii="Arial" w:cs="Arial" w:eastAsia="Arial" w:hAnsi="Arial"/>
          <w:color w:val="1E2D3D"/>
          <w:sz w:val="22"/>
          <w:szCs w:val="22"/>
        </w:rPr>
        <w:t xml:space="preserve">The Planning &amp; Ops tab provides the detailed supply-side view: how many rakes and trucks are required vs available for each of the next three days.</w:t>
      </w:r>
    </w:p>
    <w:p>
      <w:pPr>
        <w:pStyle w:val="Heading3"/>
        <w:spacing w:after="80" w:before="200"/>
      </w:pPr>
      <w:r>
        <w:rPr>
          <w:rFonts w:ascii="Arial" w:cs="Arial" w:eastAsia="Arial" w:hAnsi="Arial"/>
          <w:b/>
          <w:bCs/>
          <w:color w:val="0D7A5F"/>
          <w:sz w:val="22"/>
          <w:szCs w:val="22"/>
        </w:rPr>
        <w:t xml:space="preserve">2.3.1 Rake Planning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0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456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Rows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Forward (T+0 → T+2)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Next 3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Required / Available / Holding (deficit or surplus)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Historical (T-2 → T+0)</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Past 2 days + today</w:t>
            </w:r>
          </w:p>
        </w:tc>
        <w:tc>
          <w:tcPr>
            <w:tcW w:type="dxa" w:w="4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Evacuated / Pipeline / Holding</w:t>
            </w:r>
          </w:p>
        </w:tc>
      </w:tr>
    </w:tbl>
    <w:p>
      <w:pPr>
        <w:spacing w:after="160" w:before="0"/>
      </w:pPr>
      <w:r>
        <w:t xml:space="preserve"/>
      </w:r>
    </w:p>
    <w:p>
      <w:pPr>
        <w:spacing w:after="100" w:before="80"/>
      </w:pPr>
      <w:r>
        <w:rPr>
          <w:rFonts w:ascii="Arial" w:cs="Arial" w:eastAsia="Arial" w:hAnsi="Arial"/>
          <w:color w:val="1E2D3D"/>
          <w:sz w:val="22"/>
          <w:szCs w:val="22"/>
        </w:rPr>
        <w:t xml:space="preserve">'Holding' is the net position (Available minus Required). A negative holding number shown in red means a deficit — there are not enough rakes available to meet demand. A positive or zero number in green means capacity is sufficient.</w:t>
      </w:r>
    </w:p>
    <w:p>
      <w:pPr>
        <w:spacing w:after="160" w:before="0"/>
      </w:pPr>
      <w:r>
        <w:t xml:space="preserve"/>
      </w:r>
    </w:p>
    <w:p>
      <w:pPr>
        <w:pStyle w:val="Heading3"/>
        <w:spacing w:after="80" w:before="200"/>
      </w:pPr>
      <w:r>
        <w:rPr>
          <w:rFonts w:ascii="Arial" w:cs="Arial" w:eastAsia="Arial" w:hAnsi="Arial"/>
          <w:b/>
          <w:bCs/>
          <w:color w:val="0D7A5F"/>
          <w:sz w:val="22"/>
          <w:szCs w:val="22"/>
        </w:rPr>
        <w:t xml:space="preserve">2.3.2 Vehicle / Indent Planning Tables</w:t>
      </w:r>
    </w:p>
    <w:p>
      <w:pPr>
        <w:spacing w:after="100" w:before="80"/>
      </w:pPr>
      <w:r>
        <w:rPr>
          <w:rFonts w:ascii="Arial" w:cs="Arial" w:eastAsia="Arial" w:hAnsi="Arial"/>
          <w:color w:val="1E2D3D"/>
          <w:sz w:val="22"/>
          <w:szCs w:val="22"/>
        </w:rPr>
        <w:t xml:space="preserve">Identical structure to rake planning, but for trucking vehicles. The indent desk uses these tables to confirm how many trucks need to be contracted for each horizon day before spot rates increase.</w:t>
      </w:r>
    </w:p>
    <w:p>
      <w:pPr>
        <w:spacing w:after="160" w:before="0"/>
      </w:pPr>
      <w:r>
        <w:t xml:space="preserve"/>
      </w:r>
    </w:p>
    <w:p>
      <w:pPr>
        <w:pStyle w:val="Heading3"/>
        <w:spacing w:after="80" w:before="200"/>
      </w:pPr>
      <w:r>
        <w:rPr>
          <w:rFonts w:ascii="Arial" w:cs="Arial" w:eastAsia="Arial" w:hAnsi="Arial"/>
          <w:b/>
          <w:bCs/>
          <w:color w:val="0D7A5F"/>
          <w:sz w:val="22"/>
          <w:szCs w:val="22"/>
        </w:rPr>
        <w:t xml:space="preserve">2.3.3 Drill-Through Buttons</w:t>
      </w:r>
    </w:p>
    <w:p>
      <w:pPr>
        <w:spacing w:after="100" w:before="80"/>
      </w:pPr>
      <w:r>
        <w:rPr>
          <w:rFonts w:ascii="Arial" w:cs="Arial" w:eastAsia="Arial" w:hAnsi="Arial"/>
          <w:color w:val="1E2D3D"/>
          <w:sz w:val="22"/>
          <w:szCs w:val="22"/>
        </w:rPr>
        <w:t xml:space="preserve">Each planning table has contextual drill-through buttons below it. These represent the sub-analyses the planning team needs to perform when investigating a shortage:</w:t>
      </w:r>
    </w:p>
    <w:p>
      <w:pPr>
        <w:pStyle w:val="ListParagraph"/>
        <w:numPr>
          <w:ilvl w:val="0"/>
          <w:numId w:val="2"/>
        </w:numPr>
        <w:spacing w:after="60" w:before="60"/>
      </w:pPr>
      <w:r>
        <w:rPr>
          <w:rFonts w:ascii="Arial" w:cs="Arial" w:eastAsia="Arial" w:hAnsi="Arial"/>
          <w:color w:val="1E2D3D"/>
          <w:sz w:val="22"/>
          <w:szCs w:val="22"/>
        </w:rPr>
        <w:t xml:space="preserve">Inventory Profile — what is in the pipeline driving the requirement?</w:t>
      </w:r>
    </w:p>
    <w:p>
      <w:pPr>
        <w:pStyle w:val="ListParagraph"/>
        <w:numPr>
          <w:ilvl w:val="0"/>
          <w:numId w:val="2"/>
        </w:numPr>
        <w:spacing w:after="60" w:before="60"/>
      </w:pPr>
      <w:r>
        <w:rPr>
          <w:rFonts w:ascii="Arial" w:cs="Arial" w:eastAsia="Arial" w:hAnsi="Arial"/>
          <w:color w:val="1E2D3D"/>
          <w:sz w:val="22"/>
          <w:szCs w:val="22"/>
        </w:rPr>
        <w:t xml:space="preserve">Rake Capacity — what is the wagon-level capacity of available rakes?</w:t>
      </w:r>
    </w:p>
    <w:p>
      <w:pPr>
        <w:pStyle w:val="ListParagraph"/>
        <w:numPr>
          <w:ilvl w:val="0"/>
          <w:numId w:val="2"/>
        </w:numPr>
        <w:spacing w:after="60" w:before="60"/>
      </w:pPr>
      <w:r>
        <w:rPr>
          <w:rFonts w:ascii="Arial" w:cs="Arial" w:eastAsia="Arial" w:hAnsi="Arial"/>
          <w:color w:val="1E2D3D"/>
          <w:sz w:val="22"/>
          <w:szCs w:val="22"/>
        </w:rPr>
        <w:t xml:space="preserve">Load Factor — what % of rake capacity is being utilised?</w:t>
      </w:r>
    </w:p>
    <w:p>
      <w:pPr>
        <w:pStyle w:val="ListParagraph"/>
        <w:numPr>
          <w:ilvl w:val="0"/>
          <w:numId w:val="2"/>
        </w:numPr>
        <w:spacing w:after="60" w:before="60"/>
      </w:pPr>
      <w:r>
        <w:rPr>
          <w:rFonts w:ascii="Arial" w:cs="Arial" w:eastAsia="Arial" w:hAnsi="Arial"/>
          <w:color w:val="1E2D3D"/>
          <w:sz w:val="22"/>
          <w:szCs w:val="22"/>
        </w:rPr>
        <w:t xml:space="preserve">Rail TAT — is current turnaround time allowing rakes to return in time?</w:t>
      </w:r>
    </w:p>
    <w:p>
      <w:pPr>
        <w:pStyle w:val="ListParagraph"/>
        <w:numPr>
          <w:ilvl w:val="0"/>
          <w:numId w:val="2"/>
        </w:numPr>
        <w:spacing w:after="60" w:before="60"/>
      </w:pPr>
      <w:r>
        <w:rPr>
          <w:rFonts w:ascii="Arial" w:cs="Arial" w:eastAsia="Arial" w:hAnsi="Arial"/>
          <w:color w:val="1E2D3D"/>
          <w:sz w:val="22"/>
          <w:szCs w:val="22"/>
        </w:rPr>
        <w:t xml:space="preserve">Terminal TAT — is terminal dwell time eating into availability?</w:t>
      </w:r>
    </w:p>
    <w:p>
      <w:pPr>
        <w:spacing w:after="100" w:before="80"/>
      </w:pPr>
      <w:r>
        <w:rPr>
          <w:rFonts w:ascii="Arial" w:cs="Arial" w:eastAsia="Arial" w:hAnsi="Arial"/>
          <w:i/>
          <w:iCs/>
          <w:color w:val="6B7F96"/>
          <w:sz w:val="22"/>
          <w:szCs w:val="22"/>
        </w:rPr>
        <w:t xml:space="preserve">In the MVP these buttons are present but not yet wired to sub-views. They define the scope of Phase 2 planning analytics.</w:t>
      </w:r>
    </w:p>
    <w:p>
      <w:pPr>
        <w:spacing w:after="160" w:before="0"/>
      </w:pPr>
      <w:r>
        <w:t xml:space="preserve"/>
      </w:r>
    </w:p>
    <w:p>
      <w:pPr>
        <w:pStyle w:val="Heading3"/>
        <w:spacing w:after="80" w:before="200"/>
      </w:pPr>
      <w:r>
        <w:rPr>
          <w:rFonts w:ascii="Arial" w:cs="Arial" w:eastAsia="Arial" w:hAnsi="Arial"/>
          <w:b/>
          <w:bCs/>
          <w:color w:val="0D7A5F"/>
          <w:sz w:val="22"/>
          <w:szCs w:val="22"/>
        </w:rPr>
        <w:t xml:space="preserve">2.3.4 Inventory Horizon Card</w:t>
      </w:r>
    </w:p>
    <w:p>
      <w:pPr>
        <w:spacing w:after="100" w:before="80"/>
      </w:pPr>
      <w:r>
        <w:rPr>
          <w:rFonts w:ascii="Arial" w:cs="Arial" w:eastAsia="Arial" w:hAnsi="Arial"/>
          <w:color w:val="1E2D3D"/>
          <w:sz w:val="22"/>
          <w:szCs w:val="22"/>
        </w:rPr>
        <w:t xml:space="preserve">A simplified inventory card in the Planning &amp; Ops tab shows combined container volume (20' and 40' separately, plus TEU total) at D0, D1, and D2. This gives the planning team an at-a-glance view of how much inventory is building at port, without segmenting by direction or order type.</w:t>
      </w:r>
    </w:p>
    <w:p>
      <w:pPr>
        <w:spacing w:after="160" w:before="0"/>
      </w:pPr>
      <w:r>
        <w:t xml:space="preserve"/>
      </w:r>
    </w:p>
    <w:p>
      <w:pPr>
        <w:pStyle w:val="Heading1"/>
        <w:pBdr>
          <w:bottom w:val="single" w:color="1A3154" w:sz="8" w:space="4"/>
        </w:pBdr>
        <w:spacing w:after="160" w:before="360"/>
      </w:pPr>
      <w:r>
        <w:rPr>
          <w:rFonts w:ascii="Arial" w:cs="Arial" w:eastAsia="Arial" w:hAnsi="Arial"/>
          <w:b/>
          <w:bCs/>
          <w:color w:val="1A3154"/>
          <w:sz w:val="36"/>
          <w:szCs w:val="36"/>
        </w:rPr>
        <w:t xml:space="preserve">3. User Stories — Planning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336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Planning Team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See total volume by quadrant across T+0–T+2 against budget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 know whether we are on track and which quadrant is lagging</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Rake Allocation</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See rake deficit or surplus for each horizon day at a glance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I can reposition empties before a shortage becomes a crisis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Indent Desk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See vehicle deficit for T+1 and T+2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 contract trucks today before spot prices spike tomorrow</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Rail &amp; Ops</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Assign Rail/Direct/CY mode to each container batch</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My team prepares the right infrastructure before the batch arrives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Planning Team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Filter overview by Export or Import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 separate inbound and outbound capacity planning without confusion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Any Quadrant</w:t>
            </w:r>
          </w:p>
        </w:tc>
        <w:tc>
          <w:tcPr>
            <w:tcW w:type="dxa" w:w="3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See what the other three quadrants are sending to each port</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I can flag conflicts or opportunities before containers arrive at 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Planning Team</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See balance (actual minus budget) for each horizon 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 can push commercial to fill gaps before the day closes</w:t>
            </w:r>
          </w:p>
        </w:tc>
      </w:tr>
    </w:tbl>
    <w:p>
      <w:pPr>
        <w:spacing w:after="160" w:before="0"/>
      </w:pPr>
      <w:r>
        <w:t xml:space="preserve"/>
      </w:r>
    </w:p>
    <w:p>
      <w:pPr>
        <w:pStyle w:val="Heading1"/>
        <w:pBdr>
          <w:bottom w:val="single" w:color="1A3154" w:sz="8" w:space="4"/>
        </w:pBdr>
        <w:spacing w:after="160" w:before="360"/>
      </w:pPr>
      <w:r>
        <w:rPr>
          <w:rFonts w:ascii="Arial" w:cs="Arial" w:eastAsia="Arial" w:hAnsi="Arial"/>
          <w:b/>
          <w:bCs/>
          <w:color w:val="1A3154"/>
          <w:sz w:val="36"/>
          <w:szCs w:val="36"/>
        </w:rPr>
        <w:t xml:space="preserve">4. Data the Planning Team Must Provide</w:t>
      </w:r>
    </w:p>
    <w:p>
      <w:pPr>
        <w:spacing w:after="100" w:before="80"/>
      </w:pPr>
      <w:r>
        <w:rPr>
          <w:rFonts w:ascii="Arial" w:cs="Arial" w:eastAsia="Arial" w:hAnsi="Arial"/>
          <w:color w:val="1E2D3D"/>
          <w:sz w:val="22"/>
          <w:szCs w:val="22"/>
        </w:rPr>
        <w:t xml:space="preserve">Layer 2 depends entirely on planning team inputs. The dashboard cannot calculate correct balances or deficits without accurate data being entered.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00"/>
        <w:gridCol w:w="2000"/>
        <w:gridCol w:w="2260"/>
      </w:tblGrid>
      <w:tr>
        <w:tc>
          <w:tcPr>
            <w:tcW w:type="dxa" w:w="28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Data Input</w:t>
            </w:r>
          </w:p>
        </w:tc>
        <w:tc>
          <w:tcPr>
            <w:tcW w:type="dxa" w:w="23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Where Entered</w:t>
            </w:r>
          </w:p>
        </w:tc>
        <w:tc>
          <w:tcPr>
            <w:tcW w:type="dxa" w:w="200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260"/>
            <w:tcBorders>
              <w:top w:val="single" w:color="CCCCCC" w:sz="1"/>
              <w:left w:val="single" w:color="CCCCCC" w:sz="1"/>
              <w:bottom w:val="single" w:color="CCCCCC" w:sz="1"/>
              <w:right w:val="single" w:color="CCCCCC" w:sz="1"/>
            </w:tcBorders>
            <w:shd w:fill="1A3154"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Quadrant-wise TEU volumes (actual)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Overview Traffic — Data 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Each quadrant lead</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Daily morning by 08:00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Quadrant-wise TEU budget</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Overview Traffic — Data View</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Planning Manager</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Monthly, prorated by 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Rake required per horizon day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Rake Planning — Data 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Rake Allocation team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Daily, T+0/T+1/T+2</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Rake available per horizon day</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Rake Planning — Data View</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Rail &amp; Ops</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Daily, updated on arrival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Vehicle required per horizon day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Vehicle Planning — Data View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Indent Desk</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Daily by 09:00</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Vehicle available per horizon day</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Vehicle Planning — Data View</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Trucking quadrant</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Daily, updated on commitment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Destination mode per batch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Overview Tab — Mode Modal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Planning team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D3D"/>
                <w:sz w:val="20"/>
                <w:szCs w:val="20"/>
              </w:rPr>
              <w:t xml:space="preserve">Per batch, on confirmation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Inventory horizon (D0/D1/D2)</w:t>
            </w:r>
          </w:p>
        </w:tc>
        <w:tc>
          <w:tcPr>
            <w:tcW w:type="dxa" w:w="23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Inventory — Data View</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EXIM Yard / Rail &amp; Ops</w:t>
            </w:r>
          </w:p>
        </w:tc>
        <w:tc>
          <w:tcPr>
            <w:tcW w:type="dxa" w:w="22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1E2D3D"/>
                <w:sz w:val="20"/>
                <w:szCs w:val="20"/>
              </w:rPr>
              <w:t xml:space="preserve">Daily morning</w:t>
            </w:r>
          </w:p>
        </w:tc>
      </w:tr>
    </w:tbl>
    <w:p>
      <w:pPr>
        <w:spacing w:after="160" w:before="0"/>
      </w:pPr>
      <w:r>
        <w:t xml:space="preserve"/>
      </w:r>
    </w:p>
    <w:p>
      <w:pPr>
        <w:pStyle w:val="Heading1"/>
        <w:pBdr>
          <w:bottom w:val="single" w:color="1A3154" w:sz="8" w:space="4"/>
        </w:pBdr>
        <w:spacing w:after="160" w:before="360"/>
      </w:pPr>
      <w:r>
        <w:rPr>
          <w:rFonts w:ascii="Arial" w:cs="Arial" w:eastAsia="Arial" w:hAnsi="Arial"/>
          <w:b/>
          <w:bCs/>
          <w:color w:val="1A3154"/>
          <w:sz w:val="36"/>
          <w:szCs w:val="36"/>
        </w:rPr>
        <w:t xml:space="preserve">5. Coordination Protocol — How the Four Quadrants Use Layer 2</w:t>
      </w:r>
    </w:p>
    <w:p>
      <w:pPr>
        <w:pStyle w:val="Heading2"/>
        <w:spacing w:after="120" w:before="280"/>
      </w:pPr>
      <w:r>
        <w:rPr>
          <w:rFonts w:ascii="Arial" w:cs="Arial" w:eastAsia="Arial" w:hAnsi="Arial"/>
          <w:b/>
          <w:bCs/>
          <w:color w:val="1A3154"/>
          <w:sz w:val="26"/>
          <w:szCs w:val="26"/>
        </w:rPr>
        <w:t xml:space="preserve">5.1 Morning Planning Cycle (Daily, 08:00–09:30)</w:t>
      </w:r>
    </w:p>
    <w:p>
      <w:pPr>
        <w:pStyle w:val="ListParagraph"/>
        <w:numPr>
          <w:ilvl w:val="0"/>
          <w:numId w:val="3"/>
        </w:numPr>
        <w:spacing w:after="60" w:before="60"/>
      </w:pPr>
      <w:r>
        <w:rPr>
          <w:rFonts w:ascii="Arial" w:cs="Arial" w:eastAsia="Arial" w:hAnsi="Arial"/>
          <w:color w:val="1E2D3D"/>
          <w:sz w:val="22"/>
          <w:szCs w:val="22"/>
        </w:rPr>
        <w:t xml:space="preserve">Each quadrant lead enters their actual TEU volume for T+0, T+1, T+2 into the Data View tab</w:t>
      </w:r>
    </w:p>
    <w:p>
      <w:pPr>
        <w:pStyle w:val="ListParagraph"/>
        <w:numPr>
          <w:ilvl w:val="0"/>
          <w:numId w:val="3"/>
        </w:numPr>
        <w:spacing w:after="60" w:before="60"/>
      </w:pPr>
      <w:r>
        <w:rPr>
          <w:rFonts w:ascii="Arial" w:cs="Arial" w:eastAsia="Arial" w:hAnsi="Arial"/>
          <w:color w:val="1E2D3D"/>
          <w:sz w:val="22"/>
          <w:szCs w:val="22"/>
        </w:rPr>
        <w:t xml:space="preserve">Planning Manager reviews the Overview tab — checks balance column for any significant negative</w:t>
      </w:r>
    </w:p>
    <w:p>
      <w:pPr>
        <w:pStyle w:val="ListParagraph"/>
        <w:numPr>
          <w:ilvl w:val="0"/>
          <w:numId w:val="3"/>
        </w:numPr>
        <w:spacing w:after="60" w:before="60"/>
      </w:pPr>
      <w:r>
        <w:rPr>
          <w:rFonts w:ascii="Arial" w:cs="Arial" w:eastAsia="Arial" w:hAnsi="Arial"/>
          <w:color w:val="1E2D3D"/>
          <w:sz w:val="22"/>
          <w:szCs w:val="22"/>
        </w:rPr>
        <w:t xml:space="preserve">Rake Allocation team checks Planning &amp; Ops tab — flags any T+1/T+2 deficit to Rail &amp; Ops</w:t>
      </w:r>
    </w:p>
    <w:p>
      <w:pPr>
        <w:pStyle w:val="ListParagraph"/>
        <w:numPr>
          <w:ilvl w:val="0"/>
          <w:numId w:val="3"/>
        </w:numPr>
        <w:spacing w:after="60" w:before="60"/>
      </w:pPr>
      <w:r>
        <w:rPr>
          <w:rFonts w:ascii="Arial" w:cs="Arial" w:eastAsia="Arial" w:hAnsi="Arial"/>
          <w:color w:val="1E2D3D"/>
          <w:sz w:val="22"/>
          <w:szCs w:val="22"/>
        </w:rPr>
        <w:t xml:space="preserve">Indent Desk checks vehicle holding — contracts trucks if deficit exceeds threshold</w:t>
      </w:r>
    </w:p>
    <w:p>
      <w:pPr>
        <w:pStyle w:val="ListParagraph"/>
        <w:numPr>
          <w:ilvl w:val="0"/>
          <w:numId w:val="3"/>
        </w:numPr>
        <w:spacing w:after="60" w:before="60"/>
      </w:pPr>
      <w:r>
        <w:rPr>
          <w:rFonts w:ascii="Arial" w:cs="Arial" w:eastAsia="Arial" w:hAnsi="Arial"/>
          <w:color w:val="1E2D3D"/>
          <w:sz w:val="22"/>
          <w:szCs w:val="22"/>
        </w:rPr>
        <w:t xml:space="preserve">Destination mode assignments are entered for all confirmed batches arriving T+0</w:t>
      </w:r>
    </w:p>
    <w:p>
      <w:pPr>
        <w:pStyle w:val="ListParagraph"/>
        <w:numPr>
          <w:ilvl w:val="0"/>
          <w:numId w:val="3"/>
        </w:numPr>
        <w:spacing w:after="60" w:before="60"/>
      </w:pPr>
      <w:r>
        <w:rPr>
          <w:rFonts w:ascii="Arial" w:cs="Arial" w:eastAsia="Arial" w:hAnsi="Arial"/>
          <w:color w:val="1E2D3D"/>
          <w:sz w:val="22"/>
          <w:szCs w:val="22"/>
        </w:rPr>
        <w:t xml:space="preserve">Planning Manager calls 15-min coordination call if any port shows &gt;15% budget deficit</w:t>
      </w:r>
    </w:p>
    <w:p>
      <w:pPr>
        <w:spacing w:after="160" w:before="0"/>
      </w:pPr>
      <w:r>
        <w:t xml:space="preserve"/>
      </w:r>
    </w:p>
    <w:p>
      <w:pPr>
        <w:pStyle w:val="Heading2"/>
        <w:spacing w:after="120" w:before="280"/>
      </w:pPr>
      <w:r>
        <w:rPr>
          <w:rFonts w:ascii="Arial" w:cs="Arial" w:eastAsia="Arial" w:hAnsi="Arial"/>
          <w:b/>
          <w:bCs/>
          <w:color w:val="1A3154"/>
          <w:sz w:val="26"/>
          <w:szCs w:val="26"/>
        </w:rPr>
        <w:t xml:space="preserve">5.2 Intra-Day Updates</w:t>
      </w:r>
    </w:p>
    <w:p>
      <w:pPr>
        <w:pStyle w:val="ListParagraph"/>
        <w:numPr>
          <w:ilvl w:val="0"/>
          <w:numId w:val="2"/>
        </w:numPr>
        <w:spacing w:after="60" w:before="60"/>
      </w:pPr>
      <w:r>
        <w:rPr>
          <w:rFonts w:ascii="Arial" w:cs="Arial" w:eastAsia="Arial" w:hAnsi="Arial"/>
          <w:color w:val="1E2D3D"/>
          <w:sz w:val="22"/>
          <w:szCs w:val="22"/>
        </w:rPr>
        <w:t xml:space="preserve">Any quadrant noticing a material volume change (&gt;50 TEUs) updates the Data View immediately</w:t>
      </w:r>
    </w:p>
    <w:p>
      <w:pPr>
        <w:pStyle w:val="ListParagraph"/>
        <w:numPr>
          <w:ilvl w:val="0"/>
          <w:numId w:val="2"/>
        </w:numPr>
        <w:spacing w:after="60" w:before="60"/>
      </w:pPr>
      <w:r>
        <w:rPr>
          <w:rFonts w:ascii="Arial" w:cs="Arial" w:eastAsia="Arial" w:hAnsi="Arial"/>
          <w:color w:val="1E2D3D"/>
          <w:sz w:val="22"/>
          <w:szCs w:val="22"/>
        </w:rPr>
        <w:t xml:space="preserve">Mode assignment updates happen as booking confirmations arrive</w:t>
      </w:r>
    </w:p>
    <w:p>
      <w:pPr>
        <w:pStyle w:val="ListParagraph"/>
        <w:numPr>
          <w:ilvl w:val="0"/>
          <w:numId w:val="2"/>
        </w:numPr>
        <w:spacing w:after="60" w:before="60"/>
      </w:pPr>
      <w:r>
        <w:rPr>
          <w:rFonts w:ascii="Arial" w:cs="Arial" w:eastAsia="Arial" w:hAnsi="Arial"/>
          <w:color w:val="1E2D3D"/>
          <w:sz w:val="22"/>
          <w:szCs w:val="22"/>
        </w:rPr>
        <w:t xml:space="preserve">Rake Allocation team updates availability numbers when a rake departs or arrives</w:t>
      </w:r>
    </w:p>
    <w:p>
      <w:pPr>
        <w:spacing w:after="160" w:before="0"/>
      </w:pPr>
      <w:r>
        <w:t xml:space="preserve"/>
      </w:r>
    </w:p>
    <w:p>
      <w:pPr>
        <w:pStyle w:val="Heading1"/>
        <w:pBdr>
          <w:bottom w:val="single" w:color="1A3154" w:sz="8" w:space="4"/>
        </w:pBdr>
        <w:spacing w:after="160" w:before="360"/>
      </w:pPr>
      <w:r>
        <w:rPr>
          <w:rFonts w:ascii="Arial" w:cs="Arial" w:eastAsia="Arial" w:hAnsi="Arial"/>
          <w:b/>
          <w:bCs/>
          <w:color w:val="1A3154"/>
          <w:sz w:val="36"/>
          <w:szCs w:val="36"/>
        </w:rPr>
        <w:t xml:space="preserve">6. Out of Scope for MVP — Future Phases</w:t>
      </w:r>
    </w:p>
    <w:p>
      <w:pPr>
        <w:pStyle w:val="ListParagraph"/>
        <w:numPr>
          <w:ilvl w:val="0"/>
          <w:numId w:val="2"/>
        </w:numPr>
        <w:spacing w:after="60" w:before="60"/>
      </w:pPr>
      <w:r>
        <w:rPr>
          <w:rFonts w:ascii="Arial" w:cs="Arial" w:eastAsia="Arial" w:hAnsi="Arial"/>
          <w:color w:val="1E2D3D"/>
          <w:sz w:val="22"/>
          <w:szCs w:val="22"/>
        </w:rPr>
        <w:t xml:space="preserve">Automated volume pull from booking systems (ERP / TOS integration)</w:t>
      </w:r>
    </w:p>
    <w:p>
      <w:pPr>
        <w:pStyle w:val="ListParagraph"/>
        <w:numPr>
          <w:ilvl w:val="0"/>
          <w:numId w:val="2"/>
        </w:numPr>
        <w:spacing w:after="60" w:before="60"/>
      </w:pPr>
      <w:r>
        <w:rPr>
          <w:rFonts w:ascii="Arial" w:cs="Arial" w:eastAsia="Arial" w:hAnsi="Arial"/>
          <w:color w:val="1E2D3D"/>
          <w:sz w:val="22"/>
          <w:szCs w:val="22"/>
        </w:rPr>
        <w:t xml:space="preserve">Rolling 7-day planning horizon (currently 72 hours only)</w:t>
      </w:r>
    </w:p>
    <w:p>
      <w:pPr>
        <w:pStyle w:val="ListParagraph"/>
        <w:numPr>
          <w:ilvl w:val="0"/>
          <w:numId w:val="2"/>
        </w:numPr>
        <w:spacing w:after="60" w:before="60"/>
      </w:pPr>
      <w:r>
        <w:rPr>
          <w:rFonts w:ascii="Arial" w:cs="Arial" w:eastAsia="Arial" w:hAnsi="Arial"/>
          <w:color w:val="1E2D3D"/>
          <w:sz w:val="22"/>
          <w:szCs w:val="22"/>
        </w:rPr>
        <w:t xml:space="preserve">Budget vs actual trend charts (week-on-week comparison)</w:t>
      </w:r>
    </w:p>
    <w:p>
      <w:pPr>
        <w:pStyle w:val="ListParagraph"/>
        <w:numPr>
          <w:ilvl w:val="0"/>
          <w:numId w:val="2"/>
        </w:numPr>
        <w:spacing w:after="60" w:before="60"/>
      </w:pPr>
      <w:r>
        <w:rPr>
          <w:rFonts w:ascii="Arial" w:cs="Arial" w:eastAsia="Arial" w:hAnsi="Arial"/>
          <w:color w:val="1E2D3D"/>
          <w:sz w:val="22"/>
          <w:szCs w:val="22"/>
        </w:rPr>
        <w:t xml:space="preserve">Automated indent placement when vehicle deficit exceeds threshold</w:t>
      </w:r>
    </w:p>
    <w:p>
      <w:pPr>
        <w:pStyle w:val="ListParagraph"/>
        <w:numPr>
          <w:ilvl w:val="0"/>
          <w:numId w:val="2"/>
        </w:numPr>
        <w:spacing w:after="60" w:before="60"/>
      </w:pPr>
      <w:r>
        <w:rPr>
          <w:rFonts w:ascii="Arial" w:cs="Arial" w:eastAsia="Arial" w:hAnsi="Arial"/>
          <w:color w:val="1E2D3D"/>
          <w:sz w:val="22"/>
          <w:szCs w:val="22"/>
        </w:rPr>
        <w:t xml:space="preserve">Drill-through sub-views for the inventory profile, load factor, and TAT buttons</w:t>
      </w:r>
    </w:p>
    <w:p>
      <w:pPr>
        <w:pStyle w:val="ListParagraph"/>
        <w:numPr>
          <w:ilvl w:val="0"/>
          <w:numId w:val="2"/>
        </w:numPr>
        <w:spacing w:after="60" w:before="60"/>
      </w:pPr>
      <w:r>
        <w:rPr>
          <w:rFonts w:ascii="Arial" w:cs="Arial" w:eastAsia="Arial" w:hAnsi="Arial"/>
          <w:color w:val="1E2D3D"/>
          <w:sz w:val="22"/>
          <w:szCs w:val="22"/>
        </w:rPr>
        <w:t xml:space="preserve">Cross-quadrant conflict detection (e.g. same batch allocated to two modes)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AF2" w:sz="4" w:space="4"/>
      </w:pBdr>
      <w:tabs>
        <w:tab w:val="right" w:pos="9360"/>
      </w:tabs>
    </w:pPr>
    <w:r>
      <w:rPr>
        <w:rFonts w:ascii="Arial" w:cs="Arial" w:eastAsia="Arial" w:hAnsi="Arial"/>
        <w:color w:val="6B7F96"/>
        <w:sz w:val="16"/>
        <w:szCs w:val="16"/>
      </w:rPr>
      <w:t xml:space="preserve">Confidential — Internal Use Only</w:t>
    </w:r>
    <w:r>
      <w:rPr>
        <w:rFonts w:ascii="Arial" w:cs="Arial" w:eastAsia="Arial" w:hAnsi="Arial"/>
        <w:color w:val="6B7F96"/>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5F" w:sz="4" w:space="4"/>
      </w:pBdr>
      <w:tabs>
        <w:tab w:val="right" w:pos="9360"/>
      </w:tabs>
    </w:pPr>
    <w:r>
      <w:rPr>
        <w:rFonts w:ascii="Arial" w:cs="Arial" w:eastAsia="Arial" w:hAnsi="Arial"/>
        <w:b/>
        <w:bCs/>
        <w:color w:val="1A3154"/>
        <w:sz w:val="18"/>
        <w:szCs w:val="18"/>
      </w:rPr>
      <w:t xml:space="preserve">RAKE CONTROL TOWER</w:t>
    </w:r>
    <w:r>
      <w:rPr>
        <w:rFonts w:ascii="Arial" w:cs="Arial" w:eastAsia="Arial" w:hAnsi="Arial"/>
        <w:color w:val="6B7F96"/>
        <w:sz w:val="16"/>
        <w:szCs w:val="16"/>
      </w:rPr>
      <w:t xml:space="preserve">	BRD — OPS LAYER 2: PLANNING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2026-05-29T11:59:47.076Z</dcterms:created>
  <dcterms:modified xsi:type="dcterms:W3CDTF">2026-05-29T11:59:47.076Z</dcterms:modified>
</cp:coreProperties>
</file>

<file path=docProps/custom.xml><?xml version="1.0" encoding="utf-8"?>
<Properties xmlns="http://schemas.openxmlformats.org/officeDocument/2006/custom-properties" xmlns:vt="http://schemas.openxmlformats.org/officeDocument/2006/docPropsVTypes"/>
</file>