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DVXR — mid-project results brief (honest)</w:t>
      </w:r>
    </w:p>
    <w:p>
      <w:r>
        <w:t>Goal: a multimodal health-signal pipeline (CACMF) + a real-label benchmark and a BCI pilot. This brief reports only measured, traceable numbers.</w:t>
      </w:r>
    </w:p>
    <w:p>
      <w:pPr>
        <w:pStyle w:val="Heading1"/>
      </w:pPr>
      <w:r>
        <w:t>Honest benchmark (subject/patient-held-out 5x5 CV)</w:t>
      </w:r>
    </w:p>
    <w:p>
      <w:pPr>
        <w:pStyle w:val="ListBullet"/>
      </w:pPr>
      <w:r>
        <w:t>stress (1-AUROC): fused 0.129 vs rep:pca 0.108 -&gt; RER -20% [-29,-14], meets&gt;=50%: False</w:t>
      </w:r>
    </w:p>
    <w:p>
      <w:pPr>
        <w:pStyle w:val="ListBullet"/>
      </w:pPr>
      <w:r>
        <w:t>glucose (MAE): fused 13.094 vs rep:raw 10.663 -&gt; RER -23% [-26,-20], meets&gt;=50%: False</w:t>
      </w:r>
    </w:p>
    <w:p>
      <w:pPr>
        <w:pStyle w:val="ListBullet"/>
      </w:pPr>
      <w:r>
        <w:t>mortality (1-AUROC): fused 0.360 vs rep:pca 0.178 -&gt; RER -102% [-157,-61], meets&gt;=50%: False</w:t>
      </w:r>
    </w:p>
    <w:p>
      <w:r>
        <w:t>Takeaway: learned fusion does NOT beat strong baselines; multimodality helps only via concatenation (stress). Reporting this honestly is the contribution.</w:t>
      </w:r>
    </w:p>
    <w:p>
      <w:pPr>
        <w:pStyle w:val="Heading1"/>
      </w:pPr>
      <w:r>
        <w:t>BCI pilot (single-subject, single-session, exploratory)</w:t>
      </w:r>
    </w:p>
    <w:p>
      <w:r>
        <w:t>Labels come from Emotiv's Mental-Command engine (labels_source: emotiv_mc_engine), so the 4-class command decode reproduces on-device state, not validated neural intent. Neural separability is at chance (engaged 0.489, lateralization 0.541 AUROC); command balanced-accuracy falls from 0.82 (trial-grouped) to 0.45 (leave-one-block-out).</w:t>
      </w:r>
    </w:p>
    <w:p>
      <w:pPr>
        <w:pStyle w:val="Heading1"/>
      </w:pPr>
      <w:r>
        <w:t>Limitations &amp; next steps</w:t>
      </w:r>
    </w:p>
    <w:p>
      <w:r>
        <w:t>Features are summary statistics (caps the ceiling); single wearable/subject; no dataset co-registers EEG+CGM+EHR. Next: raw-signal encoders, a cued multi-subject BCI dataset (e.g. PhysioNet MI), nested-CV headline.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