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Abhignya Jagathpally</w:t>
      </w:r>
    </w:p>
    <w:p>
      <w:pPr>
        <w:spacing w:after="120"/>
        <w:jc w:val="center"/>
      </w:pPr>
      <w:r>
        <w:rPr>
          <w:rFonts w:ascii="Arial" w:cs="Arial" w:eastAsia="Arial" w:hAnsi="Arial"/>
          <w:sz w:val="20"/>
          <w:szCs w:val="20"/>
        </w:rPr>
        <w:t xml:space="preserve">Abhignya.j@gmail.com | (317) 516-8532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SUMMARY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PhD candidate in Data Science with 3+ years in big data engineering and deep expertise in AI/ML system design and deployment. Built production-grade deep learning pipelines processing hundreds of thousands of data points with GPU-accelerated training (H100), automated hyperparameter tuning, and containerized deployment. Proficient in PyTorch, PySpark, and cloud infrastructure. Seeking AI engineering internship to build scalable intelligent systems.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PhD in Data Science</w:t>
      </w:r>
      <w:r>
        <w:rPr>
          <w:rFonts w:ascii="Arial" w:cs="Arial" w:eastAsia="Arial" w:hAnsi="Arial"/>
          <w:sz w:val="20"/>
          <w:szCs w:val="20"/>
        </w:rPr>
        <w:t xml:space="preserve">, University of North Texas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2024 Aug – Present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M.S. in Data Science</w:t>
      </w:r>
      <w:r>
        <w:rPr>
          <w:rFonts w:ascii="Arial" w:cs="Arial" w:eastAsia="Arial" w:hAnsi="Arial"/>
          <w:sz w:val="20"/>
          <w:szCs w:val="20"/>
        </w:rPr>
        <w:t xml:space="preserve">, University of North Texas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2019 Aug – 2021 May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B.Tech in Computer Science Engineering</w:t>
      </w:r>
      <w:r>
        <w:rPr>
          <w:rFonts w:ascii="Arial" w:cs="Arial" w:eastAsia="Arial" w:hAnsi="Arial"/>
          <w:sz w:val="20"/>
          <w:szCs w:val="20"/>
        </w:rPr>
        <w:t xml:space="preserve">, JNTUH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2015 Apr – 2019 Apr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TECHNICAL SKILLS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Python, Java, PyTorch, scikit-learn, XGBoost | AI/ML Systems, Deep Learning, Computer Vision, NLP | PySpark, Spark SQL, Spark Streaming, Hadoop, Kafka | AWS (EMR, S3, EC2), Azure, Databricks, GCP | FastAPI, Docker, Apptainer, CI/CD (GitHub Actions) | MLflow, Weights &amp; Biases, Ray Tune | SQL, MongoDB, MySQL, Oracle | Tableau, Power BI | Nextflow, Snakemake, DVC | Git, Linux, Agile/Scrum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RESEARCH PROJECTS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Epigenetic Drug Resistance Prediction Pipeline (MyeloMemory)</w:t>
      </w:r>
    </w:p>
    <w:p>
      <w:pPr>
        <w:spacing w:after="60" w:before="20"/>
        <w:ind w:left="180"/>
      </w:pPr>
      <w:r>
        <w:rPr>
          <w:rFonts w:ascii="Arial" w:cs="Arial" w:eastAsia="Arial" w:hAnsi="Arial"/>
          <w:sz w:val="19"/>
          <w:szCs w:val="19"/>
        </w:rPr>
        <w:t xml:space="preserve">Developed 3-module deep learning architecture: conditional VAE mapping proteomes to epigenomes, ODE-based chromatin stability scorer, and Graph Attention Network over 460,888 protein-protein interactions. Processed 367 cell lines with 7,853 proteins to predict drug sensitivity with ~43x GPU acceleration on H100.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Multi-Cohort Single-Cell Transcriptomic Atlas (MM-SCATLAS)</w:t>
      </w:r>
    </w:p>
    <w:p>
      <w:pPr>
        <w:spacing w:after="60" w:before="20"/>
        <w:ind w:left="180"/>
      </w:pPr>
      <w:r>
        <w:rPr>
          <w:rFonts w:ascii="Arial" w:cs="Arial" w:eastAsia="Arial" w:hAnsi="Arial"/>
          <w:sz w:val="19"/>
          <w:szCs w:val="19"/>
        </w:rPr>
        <w:t xml:space="preserve">Built end-to-end pipeline integrating 443,515 cells from 183 patients across 3 research cohorts using scVI variational autoencoders for batch correction, RNA velocity analysis, and a Multiple Instance Learning classifier achieving 61.2% treatment response prediction accuracy. Implemented RAG system combining 50,000 cell embeddings with 246 curated PubMed papers.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Imaging Pathology &amp; Radiomics Pipeline</w:t>
      </w:r>
    </w:p>
    <w:p>
      <w:pPr>
        <w:spacing w:after="60" w:before="20"/>
        <w:ind w:left="180"/>
      </w:pPr>
      <w:r>
        <w:rPr>
          <w:rFonts w:ascii="Arial" w:cs="Arial" w:eastAsia="Arial" w:hAnsi="Arial"/>
          <w:sz w:val="19"/>
          <w:szCs w:val="19"/>
        </w:rPr>
        <w:t xml:space="preserve">Built WSI processing pipeline (tiling, stain normalization, deduplication) with foundation model embeddings (UNI2-h, TITAN) and multi-modal fusion architectures (cross-attention, gated). Supports TCIA datasets with patient-level time-aware stratification.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Clinical Digital Twin Pipeline for Disease Progression</w:t>
      </w:r>
    </w:p>
    <w:p>
      <w:pPr>
        <w:spacing w:after="60" w:before="20"/>
        <w:ind w:left="180"/>
      </w:pPr>
      <w:r>
        <w:rPr>
          <w:rFonts w:ascii="Arial" w:cs="Arial" w:eastAsia="Arial" w:hAnsi="Arial"/>
          <w:sz w:val="19"/>
          <w:szCs w:val="19"/>
        </w:rPr>
        <w:t xml:space="preserve">Implemented 9-stage reproducible ML pipeline with frozen preprocessing contracts, patient-level data splits preventing leakage, and 3-tier modeling (logistic regression → DeepHit → multimodal fusion). Achieved AUROC 0.758 on public metadata using Optuna Bayesian hyperparameter optimization.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Proteomics Biomarker Discovery &amp; Drug Sensitivity Pipeline</w:t>
      </w:r>
    </w:p>
    <w:p>
      <w:pPr>
        <w:spacing w:after="60" w:before="20"/>
        <w:ind w:left="180"/>
      </w:pPr>
      <w:r>
        <w:rPr>
          <w:rFonts w:ascii="Arial" w:cs="Arial" w:eastAsia="Arial" w:hAnsi="Arial"/>
          <w:sz w:val="19"/>
          <w:szCs w:val="19"/>
        </w:rPr>
        <w:t xml:space="preserve">Integrated mass spectrometry proteomics with CRISPR dependency screens using Graph Attention Networks and agentic hyperparameter tuning (ROC-AUC optimization). Deployed via MLflow with Docker/Apptainer containerization.</w:t>
      </w:r>
    </w:p>
    <w:p>
      <w:pPr>
        <w:pBdr>
          <w:bottom w:val="single" w:color="2E75B6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Big Data Engineer</w:t>
      </w:r>
      <w:r>
        <w:rPr>
          <w:rFonts w:ascii="Arial" w:cs="Arial" w:eastAsia="Arial" w:hAnsi="Arial"/>
          <w:sz w:val="20"/>
          <w:szCs w:val="20"/>
        </w:rPr>
        <w:t xml:space="preserve"> — Carelon Global Solutions / Elevance Health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Jul 2023 – Aug 2024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ETL pipelines using PySpark, Spark SQL, and Apache Kafka for real-time data streaming across healthcare data systems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Optimized Spark cluster performance via RDD/DataFrame tuning, partitioning, and broadcast joins—reducing latency by 40%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Designed and maintained Hive-based data warehouse with external tables, DDLs, and HiveQL for analytics reporting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Deployed solutions on AWS (EMR, S3, EC2) with Oozie-orchestrated workflows and Power BI dashboards for stakeholders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Big Data Engineer</w:t>
      </w:r>
      <w:r>
        <w:rPr>
          <w:rFonts w:ascii="Arial" w:cs="Arial" w:eastAsia="Arial" w:hAnsi="Arial"/>
          <w:sz w:val="20"/>
          <w:szCs w:val="20"/>
        </w:rPr>
        <w:t xml:space="preserve"> — Nike Inc. (via Lyve Tech LLC)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Jul 2021 – May 2023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Developed PySpark and Scala ETL pipelines on Amazon EMR processing terabytes of customer data from source-to-target mappings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Built Extract-Transform-Load pipelines feeding Amazon S3 Data Lake via Databricks, enabling enterprise analytics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Tuned Spark applications and Databricks cluster configurations, achieving 35% improvement in job execution times</w:t>
      </w:r>
    </w:p>
    <w:p>
      <w:pPr>
        <w:spacing w:after="40" w:before="40"/>
        <w:ind w:left="360" w:hanging="18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Created ETL pipelines using Apache Kafka and Spark Streaming for real-time data integration with Hive partitioned tables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2026-04-13T17:26:46.418Z</dcterms:created>
  <dcterms:modified xsi:type="dcterms:W3CDTF">2026-04-13T17:26:46.418Z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