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Abhignya Jagathpally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Abhignya.j@gmail.com | (317) 516-8532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PhD candidate in Data Science with 3+ years of industry experience in big data engineering and a strong research focus on deep learning, computational biology, and clinical AI. Published researcher building end-to-end ML pipelines spanning single-cell genomics, proteomics, and medical imaging. Expertise in PyTorch, variational autoencoders, graph neural networks, and transformer architectures. Seeking research-oriented data science internship to apply advanced ML methods to real-world problems.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PhD in Data Science</w:t>
      </w:r>
      <w:r>
        <w:rPr>
          <w:rFonts w:ascii="Arial" w:cs="Arial" w:eastAsia="Arial" w:hAnsi="Arial"/>
          <w:sz w:val="20"/>
          <w:szCs w:val="20"/>
        </w:rPr>
        <w:t xml:space="preserve">, University of North Texas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Aug – Present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M.S. in Data Science</w:t>
      </w:r>
      <w:r>
        <w:rPr>
          <w:rFonts w:ascii="Arial" w:cs="Arial" w:eastAsia="Arial" w:hAnsi="Arial"/>
          <w:sz w:val="20"/>
          <w:szCs w:val="20"/>
        </w:rPr>
        <w:t xml:space="preserve">, University of North Texas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2019 Aug – 2021 May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 Engineering</w:t>
      </w:r>
      <w:r>
        <w:rPr>
          <w:rFonts w:ascii="Arial" w:cs="Arial" w:eastAsia="Arial" w:hAnsi="Arial"/>
          <w:sz w:val="20"/>
          <w:szCs w:val="20"/>
        </w:rPr>
        <w:t xml:space="preserve">, JNTUH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2015 Apr – 2019 Apr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SKILLS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Python, PyTorch, TensorFlow, scikit-learn, XGBoost | Deep Learning, VAE, GAT, GNN, Transformers, MIL | PySpark, Spark SQL, Hadoop, Hive, Kafka | AWS (EMR, S3, EC2, Redshift), Databricks, GCP | MLflow, Weights &amp; Biases, Ray Tune, Optuna | scanpy, scVI, SHAP, lifelines, scikit-survival | SQL, MongoDB, Teradata | Tableau, Power BI | Docker, Nextflow, Snakemake | Git, Agile/Scrum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Multi-Cohort Single-Cell Transcriptomic Atlas (MM-SCATLAS)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Built end-to-end pipeline integrating 443,515 cells from 183 patients across 3 research cohorts using scVI variational autoencoders for batch correction, RNA velocity analysis, and a Multiple Instance Learning classifier achieving 61.2% treatment response prediction accuracy. Implemented RAG system combining 50,000 cell embeddings with 246 curated PubMed papers.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Epigenetic Drug Resistance Prediction Pipeline (MyeloMemory)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Developed 3-module deep learning architecture: conditional VAE mapping proteomes to epigenomes, ODE-based chromatin stability scorer, and Graph Attention Network over 460,888 protein-protein interactions. Processed 367 cell lines with 7,853 proteins to predict drug sensitivity with ~43x GPU acceleration on H100.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Digital Twin Pipeline for Disease Progression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Implemented 9-stage reproducible ML pipeline with frozen preprocessing contracts, patient-level data splits preventing leakage, and 3-tier modeling (logistic regression → DeepHit → multimodal fusion). Achieved AUROC 0.758 on public metadata using Optuna Bayesian hyperparameter optimization.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Cross-Platform Transcriptomic Risk Stratification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Designed domain-adversarial neural network (DANN) closing 60% of cross-platform generalization gaps across RNA-seq and microarray cohorts. Cross-attention fusion achieved C-index 0.756 with hazard ratio 3.42 for patient risk stratification.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Single-Cell Computational Biology Pipeline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Processed 119,587 cells through automated QC, Harmony/scVI batch correction, consensus cell-type annotation (23 types), and pseudobulk ML classification achieving &gt;93% accuracy. Built CLI, Snakemake, and Nextflow orchestration.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Proteomics Biomarker Discovery &amp; Drug Sensitivity Pipeline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Integrated mass spectrometry proteomics with CRISPR dependency screens using Graph Attention Networks and agentic hyperparameter tuning (ROC-AUC optimization). Deployed via MLflow with Docker/Apptainer containerization.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Imaging Pathology &amp; Radiomics Pipeline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Built WSI processing pipeline (tiling, stain normalization, deduplication) with foundation model embeddings (UNI2-h, TITAN) and multi-modal fusion architectures (cross-attention, gated). Supports TCIA datasets with patient-level time-aware stratification.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 Engineer</w:t>
      </w:r>
      <w:r>
        <w:rPr>
          <w:rFonts w:ascii="Arial" w:cs="Arial" w:eastAsia="Arial" w:hAnsi="Arial"/>
          <w:sz w:val="20"/>
          <w:szCs w:val="20"/>
        </w:rPr>
        <w:t xml:space="preserve"> — Carelon Global Solutions / Elevance Health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Jul 2023 – Aug 2024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ETL pipelines using PySpark, Spark SQL, and Apache Kafka for real-time data streaming across healthcare data systems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Optimized Spark cluster performance via RDD/DataFrame tuning, partitioning, and broadcast joins—reducing latency by 40%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and maintained Hive-based data warehouse with external tables, DDLs, and HiveQL for analytics reporting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Deployed solutions on AWS (EMR, S3, EC2) with Oozie-orchestrated workflows and Power BI dashboards for stakeholders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 Engineer</w:t>
      </w:r>
      <w:r>
        <w:rPr>
          <w:rFonts w:ascii="Arial" w:cs="Arial" w:eastAsia="Arial" w:hAnsi="Arial"/>
          <w:sz w:val="20"/>
          <w:szCs w:val="20"/>
        </w:rPr>
        <w:t xml:space="preserve"> — Nike Inc. (via Lyve Tech LLC)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Jul 2021 – May 2023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Developed PySpark and Scala ETL pipelines on Amazon EMR processing terabytes of customer data from source-to-target mappings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Extract-Transform-Load pipelines feeding Amazon S3 Data Lake via Databricks, enabling enterprise analytics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Tuned Spark applications and Databricks cluster configurations, achieving 35% improvement in job execution times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Created ETL pipelines using Apache Kafka and Spark Streaming for real-time data integration with Hive partitioned tables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2026-04-13T17:26:46.405Z</dcterms:created>
  <dcterms:modified xsi:type="dcterms:W3CDTF">2026-04-13T17:26:46.405Z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