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Abhignya Jagathpally</w:t>
      </w:r>
    </w:p>
    <w:p>
      <w:pPr>
        <w:spacing w:after="120"/>
        <w:jc w:val="center"/>
      </w:pPr>
      <w:r>
        <w:rPr>
          <w:rFonts w:ascii="Arial" w:cs="Arial" w:eastAsia="Arial" w:hAnsi="Arial"/>
          <w:sz w:val="20"/>
          <w:szCs w:val="20"/>
        </w:rPr>
        <w:t xml:space="preserve">Abhignya.j@gmail.com | (317) 516-8532</w:t>
      </w:r>
    </w:p>
    <w:p>
      <w:pPr>
        <w:pBdr>
          <w:bottom w:val="single" w:color="2E75B6" w:sz="6" w:space="1"/>
        </w:pBdr>
        <w:spacing w:after="60" w:before="200"/>
      </w:pPr>
      <w:r>
        <w:rPr>
          <w:rFonts w:ascii="Arial" w:cs="Arial" w:eastAsia="Arial" w:hAnsi="Arial"/>
          <w:b/>
          <w:bCs/>
          <w:color w:val="2E75B6"/>
          <w:sz w:val="22"/>
          <w:szCs w:val="22"/>
        </w:rPr>
        <w:t xml:space="preserve">PROFESSIONAL SUMMARY</w:t>
      </w:r>
    </w:p>
    <w:p>
      <w:pPr>
        <w:spacing w:after="100" w:before="60"/>
      </w:pPr>
      <w:r>
        <w:rPr>
          <w:rFonts w:ascii="Arial" w:cs="Arial" w:eastAsia="Arial" w:hAnsi="Arial"/>
          <w:sz w:val="20"/>
          <w:szCs w:val="20"/>
        </w:rPr>
        <w:t xml:space="preserve">PhD candidate in Data Science with 3+ years of hands-on big data engineering experience at Fortune 500 companies (Elevance Health, Nike). Expert in designing and optimizing ETL pipelines using PySpark, Spark SQL, Kafka, and Hive across cloud platforms (AWS, Databricks). Strong foundation in data warehousing, pipeline orchestration, and real-time streaming. Seeking data engineering internship to build scalable data infrastructure.</w:t>
      </w:r>
    </w:p>
    <w:p>
      <w:pPr>
        <w:pBdr>
          <w:bottom w:val="single" w:color="2E75B6" w:sz="6" w:space="1"/>
        </w:pBdr>
        <w:spacing w:after="60" w:before="200"/>
      </w:pPr>
      <w:r>
        <w:rPr>
          <w:rFonts w:ascii="Arial" w:cs="Arial" w:eastAsia="Arial" w:hAnsi="Arial"/>
          <w:b/>
          <w:bCs/>
          <w:color w:val="2E75B6"/>
          <w:sz w:val="22"/>
          <w:szCs w:val="22"/>
        </w:rPr>
        <w:t xml:space="preserve">EDUCATION</w:t>
      </w:r>
    </w:p>
    <w:p>
      <w:pPr>
        <w:tabs>
          <w:tab w:val="right" w:pos="9026"/>
        </w:tabs>
        <w:spacing w:after="20" w:before="40"/>
      </w:pPr>
      <w:r>
        <w:rPr>
          <w:rFonts w:ascii="Arial" w:cs="Arial" w:eastAsia="Arial" w:hAnsi="Arial"/>
          <w:b/>
          <w:bCs/>
          <w:sz w:val="20"/>
          <w:szCs w:val="20"/>
        </w:rPr>
        <w:t xml:space="preserve">PhD in Data Science</w:t>
      </w:r>
      <w:r>
        <w:rPr>
          <w:rFonts w:ascii="Arial" w:cs="Arial" w:eastAsia="Arial" w:hAnsi="Arial"/>
          <w:sz w:val="20"/>
          <w:szCs w:val="20"/>
        </w:rPr>
        <w:t xml:space="preserve">, University of North Texas</w:t>
      </w:r>
      <w:r>
        <w:rPr>
          <w:rFonts w:ascii="Arial" w:cs="Arial" w:eastAsia="Arial" w:hAnsi="Arial"/>
          <w:i/>
          <w:iCs/>
          <w:sz w:val="20"/>
          <w:szCs w:val="20"/>
        </w:rPr>
        <w:t xml:space="preserve">	2024 Aug – Present</w:t>
      </w:r>
    </w:p>
    <w:p>
      <w:pPr>
        <w:tabs>
          <w:tab w:val="right" w:pos="9026"/>
        </w:tabs>
        <w:spacing w:after="20" w:before="40"/>
      </w:pPr>
      <w:r>
        <w:rPr>
          <w:rFonts w:ascii="Arial" w:cs="Arial" w:eastAsia="Arial" w:hAnsi="Arial"/>
          <w:b/>
          <w:bCs/>
          <w:sz w:val="20"/>
          <w:szCs w:val="20"/>
        </w:rPr>
        <w:t xml:space="preserve">M.S. in Data Science</w:t>
      </w:r>
      <w:r>
        <w:rPr>
          <w:rFonts w:ascii="Arial" w:cs="Arial" w:eastAsia="Arial" w:hAnsi="Arial"/>
          <w:sz w:val="20"/>
          <w:szCs w:val="20"/>
        </w:rPr>
        <w:t xml:space="preserve">, University of North Texas</w:t>
      </w:r>
      <w:r>
        <w:rPr>
          <w:rFonts w:ascii="Arial" w:cs="Arial" w:eastAsia="Arial" w:hAnsi="Arial"/>
          <w:i/>
          <w:iCs/>
          <w:sz w:val="20"/>
          <w:szCs w:val="20"/>
        </w:rPr>
        <w:t xml:space="preserve">	2019 Aug – 2021 May</w:t>
      </w:r>
    </w:p>
    <w:p>
      <w:pPr>
        <w:tabs>
          <w:tab w:val="right" w:pos="9026"/>
        </w:tabs>
        <w:spacing w:after="20" w:before="40"/>
      </w:pPr>
      <w:r>
        <w:rPr>
          <w:rFonts w:ascii="Arial" w:cs="Arial" w:eastAsia="Arial" w:hAnsi="Arial"/>
          <w:b/>
          <w:bCs/>
          <w:sz w:val="20"/>
          <w:szCs w:val="20"/>
        </w:rPr>
        <w:t xml:space="preserve">B.Tech in Computer Science Engineering</w:t>
      </w:r>
      <w:r>
        <w:rPr>
          <w:rFonts w:ascii="Arial" w:cs="Arial" w:eastAsia="Arial" w:hAnsi="Arial"/>
          <w:sz w:val="20"/>
          <w:szCs w:val="20"/>
        </w:rPr>
        <w:t xml:space="preserve">, JNTUH</w:t>
      </w:r>
      <w:r>
        <w:rPr>
          <w:rFonts w:ascii="Arial" w:cs="Arial" w:eastAsia="Arial" w:hAnsi="Arial"/>
          <w:i/>
          <w:iCs/>
          <w:sz w:val="20"/>
          <w:szCs w:val="20"/>
        </w:rPr>
        <w:t xml:space="preserve">	2015 Apr – 2019 Apr</w:t>
      </w:r>
    </w:p>
    <w:p>
      <w:pPr>
        <w:pBdr>
          <w:bottom w:val="single" w:color="2E75B6" w:sz="6" w:space="1"/>
        </w:pBdr>
        <w:spacing w:after="60" w:before="200"/>
      </w:pPr>
      <w:r>
        <w:rPr>
          <w:rFonts w:ascii="Arial" w:cs="Arial" w:eastAsia="Arial" w:hAnsi="Arial"/>
          <w:b/>
          <w:bCs/>
          <w:color w:val="2E75B6"/>
          <w:sz w:val="22"/>
          <w:szCs w:val="22"/>
        </w:rPr>
        <w:t xml:space="preserve">TECHNICAL SKILLS</w:t>
      </w:r>
    </w:p>
    <w:p>
      <w:pPr>
        <w:spacing w:after="100" w:before="60"/>
      </w:pPr>
      <w:r>
        <w:rPr>
          <w:rFonts w:ascii="Arial" w:cs="Arial" w:eastAsia="Arial" w:hAnsi="Arial"/>
          <w:sz w:val="20"/>
          <w:szCs w:val="20"/>
        </w:rPr>
        <w:t xml:space="preserve">PySpark, Spark SQL, Spark Streaming, Hadoop, HDFS, Hive, Sqoop, HBase | Apache Kafka, Oozie, MapReduce, YARN | AWS (EMR, S3, EC2, Redshift), Azure, Databricks, GCP | Python, Java, SQL, PL/SQL, HiveQL | MySQL, Oracle, Teradata, MongoDB, NoSQL | Parquet, Avro, ORC, JSON | Docker, Nextflow, Snakemake, DVC | MLflow, Ray, Dask | Tableau, Power BI | Git, Linux, Agile/Scrum</w:t>
      </w:r>
    </w:p>
    <w:p>
      <w:pPr>
        <w:pBdr>
          <w:bottom w:val="single" w:color="2E75B6" w:sz="6" w:space="1"/>
        </w:pBdr>
        <w:spacing w:after="60" w:before="200"/>
      </w:pPr>
      <w:r>
        <w:rPr>
          <w:rFonts w:ascii="Arial" w:cs="Arial" w:eastAsia="Arial" w:hAnsi="Arial"/>
          <w:b/>
          <w:bCs/>
          <w:color w:val="2E75B6"/>
          <w:sz w:val="22"/>
          <w:szCs w:val="22"/>
        </w:rPr>
        <w:t xml:space="preserve">RESEARCH PROJECTS</w:t>
      </w:r>
    </w:p>
    <w:p>
      <w:pPr>
        <w:spacing w:after="20" w:before="80"/>
      </w:pPr>
      <w:r>
        <w:rPr>
          <w:rFonts w:ascii="Arial" w:cs="Arial" w:eastAsia="Arial" w:hAnsi="Arial"/>
          <w:b/>
          <w:bCs/>
          <w:sz w:val="20"/>
          <w:szCs w:val="20"/>
        </w:rPr>
        <w:t xml:space="preserve">Single-Cell Computational Biology Pipeline</w:t>
      </w:r>
    </w:p>
    <w:p>
      <w:pPr>
        <w:spacing w:after="60" w:before="20"/>
        <w:ind w:left="180"/>
      </w:pPr>
      <w:r>
        <w:rPr>
          <w:rFonts w:ascii="Arial" w:cs="Arial" w:eastAsia="Arial" w:hAnsi="Arial"/>
          <w:sz w:val="19"/>
          <w:szCs w:val="19"/>
        </w:rPr>
        <w:t xml:space="preserve">Processed 119,587 cells through automated QC, Harmony/scVI batch correction, consensus cell-type annotation (23 types), and pseudobulk ML classification achieving &gt;93% accuracy. Built CLI, Snakemake, and Nextflow orchestration.</w:t>
      </w:r>
    </w:p>
    <w:p>
      <w:pPr>
        <w:spacing w:after="20" w:before="80"/>
      </w:pPr>
      <w:r>
        <w:rPr>
          <w:rFonts w:ascii="Arial" w:cs="Arial" w:eastAsia="Arial" w:hAnsi="Arial"/>
          <w:b/>
          <w:bCs/>
          <w:sz w:val="20"/>
          <w:szCs w:val="20"/>
        </w:rPr>
        <w:t xml:space="preserve">Proteomics Biomarker Discovery &amp; Drug Sensitivity Pipeline</w:t>
      </w:r>
    </w:p>
    <w:p>
      <w:pPr>
        <w:spacing w:after="60" w:before="20"/>
        <w:ind w:left="180"/>
      </w:pPr>
      <w:r>
        <w:rPr>
          <w:rFonts w:ascii="Arial" w:cs="Arial" w:eastAsia="Arial" w:hAnsi="Arial"/>
          <w:sz w:val="19"/>
          <w:szCs w:val="19"/>
        </w:rPr>
        <w:t xml:space="preserve">Integrated mass spectrometry proteomics with CRISPR dependency screens using Graph Attention Networks and agentic hyperparameter tuning (ROC-AUC optimization). Deployed via MLflow with Docker/Apptainer containerization.</w:t>
      </w:r>
    </w:p>
    <w:p>
      <w:pPr>
        <w:spacing w:after="20" w:before="80"/>
      </w:pPr>
      <w:r>
        <w:rPr>
          <w:rFonts w:ascii="Arial" w:cs="Arial" w:eastAsia="Arial" w:hAnsi="Arial"/>
          <w:b/>
          <w:bCs/>
          <w:sz w:val="20"/>
          <w:szCs w:val="20"/>
        </w:rPr>
        <w:t xml:space="preserve">Clinical Digital Twin Pipeline for Disease Progression</w:t>
      </w:r>
    </w:p>
    <w:p>
      <w:pPr>
        <w:spacing w:after="60" w:before="20"/>
        <w:ind w:left="180"/>
      </w:pPr>
      <w:r>
        <w:rPr>
          <w:rFonts w:ascii="Arial" w:cs="Arial" w:eastAsia="Arial" w:hAnsi="Arial"/>
          <w:sz w:val="19"/>
          <w:szCs w:val="19"/>
        </w:rPr>
        <w:t xml:space="preserve">Implemented 9-stage reproducible ML pipeline with frozen preprocessing contracts, patient-level data splits preventing leakage, and 3-tier modeling (logistic regression → DeepHit → multimodal fusion). Achieved AUROC 0.758 on public metadata using Optuna Bayesian hyperparameter optimization.</w:t>
      </w:r>
    </w:p>
    <w:p>
      <w:pPr>
        <w:spacing w:after="20" w:before="80"/>
      </w:pPr>
      <w:r>
        <w:rPr>
          <w:rFonts w:ascii="Arial" w:cs="Arial" w:eastAsia="Arial" w:hAnsi="Arial"/>
          <w:b/>
          <w:bCs/>
          <w:sz w:val="20"/>
          <w:szCs w:val="20"/>
        </w:rPr>
        <w:t xml:space="preserve">Multi-Cohort Single-Cell Transcriptomic Atlas (MM-SCATLAS)</w:t>
      </w:r>
    </w:p>
    <w:p>
      <w:pPr>
        <w:spacing w:after="60" w:before="20"/>
        <w:ind w:left="180"/>
      </w:pPr>
      <w:r>
        <w:rPr>
          <w:rFonts w:ascii="Arial" w:cs="Arial" w:eastAsia="Arial" w:hAnsi="Arial"/>
          <w:sz w:val="19"/>
          <w:szCs w:val="19"/>
        </w:rPr>
        <w:t xml:space="preserve">Built end-to-end pipeline integrating 443,515 cells from 183 patients across 3 research cohorts using scVI variational autoencoders for batch correction, RNA velocity analysis, and a Multiple Instance Learning classifier achieving 61.2% treatment response prediction accuracy. Implemented RAG system combining 50,000 cell embeddings with 246 curated PubMed papers.</w:t>
      </w:r>
    </w:p>
    <w:p>
      <w:pPr>
        <w:pBdr>
          <w:bottom w:val="single" w:color="2E75B6" w:sz="6" w:space="1"/>
        </w:pBdr>
        <w:spacing w:after="60" w:before="200"/>
      </w:pPr>
      <w:r>
        <w:rPr>
          <w:rFonts w:ascii="Arial" w:cs="Arial" w:eastAsia="Arial" w:hAnsi="Arial"/>
          <w:b/>
          <w:bCs/>
          <w:color w:val="2E75B6"/>
          <w:sz w:val="22"/>
          <w:szCs w:val="22"/>
        </w:rPr>
        <w:t xml:space="preserve">PROFESSIONAL EXPERIENCE</w:t>
      </w:r>
    </w:p>
    <w:p>
      <w:pPr>
        <w:tabs>
          <w:tab w:val="right" w:pos="9026"/>
        </w:tabs>
        <w:spacing w:after="20" w:before="100"/>
      </w:pPr>
      <w:r>
        <w:rPr>
          <w:rFonts w:ascii="Arial" w:cs="Arial" w:eastAsia="Arial" w:hAnsi="Arial"/>
          <w:b/>
          <w:bCs/>
          <w:sz w:val="20"/>
          <w:szCs w:val="20"/>
        </w:rPr>
        <w:t xml:space="preserve">Big Data Engineer</w:t>
      </w:r>
      <w:r>
        <w:rPr>
          <w:rFonts w:ascii="Arial" w:cs="Arial" w:eastAsia="Arial" w:hAnsi="Arial"/>
          <w:sz w:val="20"/>
          <w:szCs w:val="20"/>
        </w:rPr>
        <w:t xml:space="preserve"> — Carelon Global Solutions / Elevance Health</w:t>
      </w:r>
      <w:r>
        <w:rPr>
          <w:rFonts w:ascii="Arial" w:cs="Arial" w:eastAsia="Arial" w:hAnsi="Arial"/>
          <w:i/>
          <w:iCs/>
          <w:sz w:val="20"/>
          <w:szCs w:val="20"/>
        </w:rPr>
        <w:t xml:space="preserve">	Jul 2023 – Aug 2024</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Built ETL pipelines using PySpark, Spark SQL, and Apache Kafka for real-time data streaming across healthcare data systems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Optimized Spark cluster performance via RDD/DataFrame tuning, partitioning, and broadcast joins—reducing latency by 40%</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Designed and maintained Hive-based data warehouse with external tables, DDLs, and HiveQL for analytics reporting</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Deployed solutions on AWS (EMR, S3, EC2) with Oozie-orchestrated workflows and Power BI dashboards for stakeholders</w:t>
      </w:r>
    </w:p>
    <w:p>
      <w:pPr>
        <w:tabs>
          <w:tab w:val="right" w:pos="9026"/>
        </w:tabs>
        <w:spacing w:after="20" w:before="100"/>
      </w:pPr>
      <w:r>
        <w:rPr>
          <w:rFonts w:ascii="Arial" w:cs="Arial" w:eastAsia="Arial" w:hAnsi="Arial"/>
          <w:b/>
          <w:bCs/>
          <w:sz w:val="20"/>
          <w:szCs w:val="20"/>
        </w:rPr>
        <w:t xml:space="preserve">Big Data Engineer</w:t>
      </w:r>
      <w:r>
        <w:rPr>
          <w:rFonts w:ascii="Arial" w:cs="Arial" w:eastAsia="Arial" w:hAnsi="Arial"/>
          <w:sz w:val="20"/>
          <w:szCs w:val="20"/>
        </w:rPr>
        <w:t xml:space="preserve"> — Nike Inc. (via Lyve Tech LLC)</w:t>
      </w:r>
      <w:r>
        <w:rPr>
          <w:rFonts w:ascii="Arial" w:cs="Arial" w:eastAsia="Arial" w:hAnsi="Arial"/>
          <w:i/>
          <w:iCs/>
          <w:sz w:val="20"/>
          <w:szCs w:val="20"/>
        </w:rPr>
        <w:t xml:space="preserve">	Jul 2021 – May 2023</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Developed PySpark and Scala ETL pipelines on Amazon EMR processing terabytes of customer data from source-to-target mappings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Built Extract-Transform-Load pipelines feeding Amazon S3 Data Lake via Databricks, enabling enterprise analytics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Tuned Spark applications and Databricks cluster configurations, achieving 35% improvement in job execution times</w:t>
      </w:r>
    </w:p>
    <w:p>
      <w:pPr>
        <w:spacing w:after="40" w:before="40"/>
        <w:ind w:left="360" w:hanging="180"/>
      </w:pPr>
      <w:r>
        <w:rPr>
          <w:rFonts w:ascii="Arial" w:cs="Arial" w:eastAsia="Arial" w:hAnsi="Arial"/>
          <w:sz w:val="20"/>
          <w:szCs w:val="20"/>
        </w:rPr>
        <w:t xml:space="preserve">• </w:t>
      </w:r>
      <w:r>
        <w:rPr>
          <w:rFonts w:ascii="Arial" w:cs="Arial" w:eastAsia="Arial" w:hAnsi="Arial"/>
          <w:sz w:val="20"/>
          <w:szCs w:val="20"/>
        </w:rPr>
        <w:t xml:space="preserve">Created ETL pipelines using Apache Kafka and Spark Streaming for real-time data integration with Hive partitioned tables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2026-04-13T17:26:46.423Z</dcterms:created>
  <dcterms:modified xsi:type="dcterms:W3CDTF">2026-04-13T17:26:46.423Z</dcterms:modified>
</cp:coreProperties>
</file>

<file path=docProps/custom.xml><?xml version="1.0" encoding="utf-8"?>
<Properties xmlns="http://schemas.openxmlformats.org/officeDocument/2006/custom-properties" xmlns:vt="http://schemas.openxmlformats.org/officeDocument/2006/docPropsVTypes"/>
</file>