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136C" w:rsidRPr="00E63E74" w:rsidRDefault="00E63E74" w:rsidP="00E63E74">
      <w:pPr>
        <w:pStyle w:val="Heading2"/>
        <w:jc w:val="both"/>
        <w:rPr>
          <w:rFonts w:ascii="Times New Roman" w:hAnsi="Times New Roman" w:cs="Times New Roman"/>
        </w:rPr>
      </w:pPr>
      <w:bookmarkStart w:id="0" w:name="Xecd8044d84de03c1f136402ab0eb51f93094d79"/>
      <w:bookmarkStart w:id="1" w:name="content"/>
      <w:bookmarkStart w:id="2" w:name="Xc014db829769b1161879a389df550a3dc99b82a"/>
      <w:r w:rsidRPr="00E63E74">
        <w:rPr>
          <w:rFonts w:ascii="Times New Roman" w:hAnsi="Times New Roman" w:cs="Times New Roman"/>
        </w:rPr>
        <w:t>Research positioning and novelty boundary</w:t>
      </w:r>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b/>
          <w:bCs/>
        </w:rPr>
        <w:t>GPU acceleration of the Method of Moments is not, by itself, novel.</w:t>
      </w:r>
      <w:r w:rsidRPr="00E63E74">
        <w:rPr>
          <w:rFonts w:ascii="Times New Roman" w:hAnsi="Times New Roman" w:cs="Times New Roman"/>
        </w:rPr>
        <w:t xml:space="preserve"> Peng and Nie demonstrated GPU acceleration of MoM calculations in 2008; Lezar and Davidson subsequently treated GPU-accelerated MoM and GPU LU factorization; Topa </w:t>
      </w:r>
      <w:r w:rsidRPr="00E63E74">
        <w:rPr>
          <w:rFonts w:ascii="Times New Roman" w:hAnsi="Times New Roman" w:cs="Times New Roman"/>
          <w:i/>
          <w:iCs/>
        </w:rPr>
        <w:t>et al.</w:t>
      </w:r>
      <w:r w:rsidRPr="00E63E74">
        <w:rPr>
          <w:rFonts w:ascii="Times New Roman" w:hAnsi="Times New Roman" w:cs="Times New Roman"/>
        </w:rPr>
        <w:t xml:space="preserve"> mapped RWG-based M</w:t>
      </w:r>
      <w:r w:rsidRPr="00E63E74">
        <w:rPr>
          <w:rFonts w:ascii="Times New Roman" w:hAnsi="Times New Roman" w:cs="Times New Roman"/>
        </w:rPr>
        <w:t xml:space="preserve">oM to CUDA; and Shi and Jin later accelerated integral-equation operations including matrix filling and matrix-vector products on GPUs [7]–[11]. </w:t>
      </w:r>
      <w:hyperlink r:id="rId5">
        <w:r w:rsidRPr="00E63E74">
          <w:rPr>
            <w:rStyle w:val="Hyperlink"/>
            <w:rFonts w:ascii="Times New Roman" w:hAnsi="Times New Roman" w:cs="Times New Roman"/>
          </w:rPr>
          <w:t>[1]</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Likewise, </w:t>
      </w:r>
      <w:r w:rsidRPr="00E63E74">
        <w:rPr>
          <w:rFonts w:ascii="Times New Roman" w:hAnsi="Times New Roman" w:cs="Times New Roman"/>
          <w:b/>
          <w:bCs/>
        </w:rPr>
        <w:t>periodic MoM is well established</w:t>
      </w:r>
      <w:r w:rsidRPr="00E63E74">
        <w:rPr>
          <w:rFonts w:ascii="Times New Roman" w:hAnsi="Times New Roman" w:cs="Times New Roman"/>
        </w:rPr>
        <w:t xml:space="preserve">. Cwik and Mittra applied MoM to periodic conducting/resistive patch arrays; Singh </w:t>
      </w:r>
      <w:r w:rsidRPr="00E63E74">
        <w:rPr>
          <w:rFonts w:ascii="Times New Roman" w:hAnsi="Times New Roman" w:cs="Times New Roman"/>
          <w:i/>
          <w:iCs/>
        </w:rPr>
        <w:t>et al.</w:t>
      </w:r>
      <w:r w:rsidRPr="00E63E74">
        <w:rPr>
          <w:rFonts w:ascii="Times New Roman" w:hAnsi="Times New Roman" w:cs="Times New Roman"/>
        </w:rPr>
        <w:t xml:space="preserve"> addressed the slow convergence of periodic Green-function series; Michalski and Mosig developed layered-media Green-function machinery for integral equations; and Dar</w:t>
      </w:r>
      <w:r w:rsidRPr="00E63E74">
        <w:rPr>
          <w:rFonts w:ascii="Times New Roman" w:hAnsi="Times New Roman" w:cs="Times New Roman"/>
        </w:rPr>
        <w:t xml:space="preserve">denne and Craeye formulated MoM for infinitely periodic structures containing metallic and dielectric objects [2]–[5]. More recently, Dessy </w:t>
      </w:r>
      <w:r w:rsidRPr="00E63E74">
        <w:rPr>
          <w:rFonts w:ascii="Times New Roman" w:hAnsi="Times New Roman" w:cs="Times New Roman"/>
          <w:i/>
          <w:iCs/>
        </w:rPr>
        <w:t>et al.</w:t>
      </w:r>
      <w:r w:rsidRPr="00E63E74">
        <w:rPr>
          <w:rFonts w:ascii="Times New Roman" w:hAnsi="Times New Roman" w:cs="Times New Roman"/>
        </w:rPr>
        <w:t xml:space="preserve"> presented a hybrid spectral/spatial periodic-MoM strategy specifically for efficient metasurface analysis in </w:t>
      </w:r>
      <w:r w:rsidRPr="00E63E74">
        <w:rPr>
          <w:rFonts w:ascii="Times New Roman" w:hAnsi="Times New Roman" w:cs="Times New Roman"/>
        </w:rPr>
        <w:t xml:space="preserve">2025 [6]. </w:t>
      </w:r>
      <w:hyperlink r:id="rId6">
        <w:r w:rsidRPr="00E63E74">
          <w:rPr>
            <w:rStyle w:val="Hyperlink"/>
            <w:rFonts w:ascii="Times New Roman" w:hAnsi="Times New Roman" w:cs="Times New Roman"/>
          </w:rPr>
          <w:t>[2]</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Nor should the paper claim that Python, GPU acceleration, metasurface analysis, or inverse-design compatibility are individually unprecedented. Bempp-cl provides a Python bounda</w:t>
      </w:r>
      <w:r w:rsidRPr="00E63E74">
        <w:rPr>
          <w:rFonts w:ascii="Times New Roman" w:hAnsi="Times New Roman" w:cs="Times New Roman"/>
        </w:rPr>
        <w:t>ry-element environment with OpenCL execution on CPUs and GPUs, including Maxwell-scattering examples [12]. TORCWA is a particularly important neighboring work: it is a Python/PyTorch, GPU-accelerated rigorous coupled-wave analysis implementation that suppo</w:t>
      </w:r>
      <w:r w:rsidRPr="00E63E74">
        <w:rPr>
          <w:rFonts w:ascii="Times New Roman" w:hAnsi="Times New Roman" w:cs="Times New Roman"/>
        </w:rPr>
        <w:t xml:space="preserve">rts gradient-based metasurface optimization [13]. </w:t>
      </w:r>
      <w:hyperlink r:id="rId7">
        <w:r w:rsidRPr="00E63E74">
          <w:rPr>
            <w:rStyle w:val="Hyperlink"/>
            <w:rFonts w:ascii="Times New Roman" w:hAnsi="Times New Roman" w:cs="Times New Roman"/>
          </w:rPr>
          <w:t>[3]</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The </w:t>
      </w:r>
      <w:r w:rsidRPr="00E63E74">
        <w:rPr>
          <w:rFonts w:ascii="Times New Roman" w:hAnsi="Times New Roman" w:cs="Times New Roman"/>
          <w:b/>
          <w:bCs/>
        </w:rPr>
        <w:t>defensible novelty</w:t>
      </w:r>
      <w:r w:rsidRPr="00E63E74">
        <w:rPr>
          <w:rFonts w:ascii="Times New Roman" w:hAnsi="Times New Roman" w:cs="Times New Roman"/>
        </w:rPr>
        <w:t xml:space="preserve"> is therefore the </w:t>
      </w:r>
      <w:r w:rsidRPr="00E63E74">
        <w:rPr>
          <w:rFonts w:ascii="Times New Roman" w:hAnsi="Times New Roman" w:cs="Times New Roman"/>
          <w:i/>
          <w:iCs/>
        </w:rPr>
        <w:t>combination and specialization</w:t>
      </w:r>
      <w:r w:rsidRPr="00E63E74">
        <w:rPr>
          <w:rFonts w:ascii="Times New Roman" w:hAnsi="Times New Roman" w:cs="Times New Roman"/>
        </w:rPr>
        <w:t>:</w:t>
      </w:r>
    </w:p>
    <w:p w:rsidR="0090136C" w:rsidRPr="00E63E74" w:rsidRDefault="00E63E74" w:rsidP="00E63E74">
      <w:pPr>
        <w:pStyle w:val="BlockText"/>
        <w:jc w:val="both"/>
        <w:rPr>
          <w:rFonts w:ascii="Times New Roman" w:hAnsi="Times New Roman" w:cs="Times New Roman"/>
        </w:rPr>
      </w:pPr>
      <w:r w:rsidRPr="00E63E74">
        <w:rPr>
          <w:rFonts w:ascii="Times New Roman" w:hAnsi="Times New Roman" w:cs="Times New Roman"/>
        </w:rPr>
        <w:t>A periodic MoM solver deliberately engineered as a high-throu</w:t>
      </w:r>
      <w:r w:rsidRPr="00E63E74">
        <w:rPr>
          <w:rFonts w:ascii="Times New Roman" w:hAnsi="Times New Roman" w:cs="Times New Roman"/>
        </w:rPr>
        <w:t xml:space="preserve">ghput, Python-native GPU engine for </w:t>
      </w:r>
      <w:r w:rsidRPr="00E63E74">
        <w:rPr>
          <w:rFonts w:ascii="Times New Roman" w:hAnsi="Times New Roman" w:cs="Times New Roman"/>
          <w:b/>
          <w:bCs/>
        </w:rPr>
        <w:t xml:space="preserve">metasurface unit-cell </w:t>
      </w:r>
      <m:oMath>
        <m:r>
          <w:rPr>
            <w:rFonts w:ascii="Cambria Math" w:hAnsi="Cambria Math" w:cs="Times New Roman"/>
          </w:rPr>
          <m:t>S</m:t>
        </m:r>
      </m:oMath>
      <w:r w:rsidRPr="00E63E74">
        <w:rPr>
          <w:rFonts w:ascii="Times New Roman" w:hAnsi="Times New Roman" w:cs="Times New Roman"/>
          <w:b/>
          <w:bCs/>
        </w:rPr>
        <w:t>-parameter generation</w:t>
      </w:r>
      <w:r w:rsidRPr="00E63E74">
        <w:rPr>
          <w:rFonts w:ascii="Times New Roman" w:hAnsi="Times New Roman" w:cs="Times New Roman"/>
        </w:rPr>
        <w:t>, with Floquet-periodic electromagnetic modeling, GPU-parallel matrix construction and solution, batch/HPC execution, and an interface intended for direct use in data-driven a</w:t>
      </w:r>
      <w:r w:rsidRPr="00E63E74">
        <w:rPr>
          <w:rFonts w:ascii="Times New Roman" w:hAnsi="Times New Roman" w:cs="Times New Roman"/>
        </w:rPr>
        <w:t>nd physics-guided inverse-design pipelines.</w:t>
      </w:r>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 xml:space="preserve">The literature surveyed here did </w:t>
      </w:r>
      <w:r w:rsidRPr="00E63E74">
        <w:rPr>
          <w:rFonts w:ascii="Times New Roman" w:hAnsi="Times New Roman" w:cs="Times New Roman"/>
          <w:b/>
          <w:bCs/>
        </w:rPr>
        <w:t>not identify a peer-reviewed work that unambiguously combines all of those elements in one periodic-MoM unit-cell workflow</w:t>
      </w:r>
      <w:r w:rsidRPr="00E63E74">
        <w:rPr>
          <w:rFonts w:ascii="Times New Roman" w:hAnsi="Times New Roman" w:cs="Times New Roman"/>
        </w:rPr>
        <w:t>. That should be expressed as the outcome of a literature</w:t>
      </w:r>
      <w:r w:rsidRPr="00E63E74">
        <w:rPr>
          <w:rFonts w:ascii="Times New Roman" w:hAnsi="Times New Roman" w:cs="Times New Roman"/>
        </w:rPr>
        <w:t xml:space="preserve"> survey, not as an absolute “first-ever” claim. The existence of recent periodic-MoM work [6], Python/GPU boundary-element software [12], and GPU-differentiable RCWA [13] makes such qualification particularly important. </w:t>
      </w:r>
      <w:hyperlink r:id="rId8">
        <w:r w:rsidRPr="00E63E74">
          <w:rPr>
            <w:rStyle w:val="Hyperlink"/>
            <w:rFonts w:ascii="Times New Roman" w:hAnsi="Times New Roman" w:cs="Times New Roman"/>
          </w:rPr>
          <w:t>[4]</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Commercial EM packages are proprietary and their depl</w:t>
      </w:r>
      <w:r w:rsidRPr="00E63E74">
        <w:rPr>
          <w:rFonts w:ascii="Times New Roman" w:hAnsi="Times New Roman" w:cs="Times New Roman"/>
        </w:rPr>
        <w:t xml:space="preserve">oyment on HPC/GPU infrastructure is governed by vendor licensing and entitlement models, but actual cost depends on institutional agreements, products, and hardware configuration. The scientifically safer claim is that </w:t>
      </w:r>
      <w:r w:rsidRPr="00E63E74">
        <w:rPr>
          <w:rFonts w:ascii="Times New Roman" w:hAnsi="Times New Roman" w:cs="Times New Roman"/>
          <w:b/>
          <w:bCs/>
        </w:rPr>
        <w:t>a self-controlled solver removes prop</w:t>
      </w:r>
      <w:r w:rsidRPr="00E63E74">
        <w:rPr>
          <w:rFonts w:ascii="Times New Roman" w:hAnsi="Times New Roman" w:cs="Times New Roman"/>
          <w:b/>
          <w:bCs/>
        </w:rPr>
        <w:t>rietary-solver licensing from the marginal cost and scheduling path of each generated sample</w:t>
      </w:r>
      <w:r w:rsidRPr="00E63E74">
        <w:rPr>
          <w:rFonts w:ascii="Times New Roman" w:hAnsi="Times New Roman" w:cs="Times New Roman"/>
        </w:rPr>
        <w:t>, while commercial full-wave software can remain the validation reference. Official commercial-solver documentation confirms that GPU/HPC execution exists within ve</w:t>
      </w:r>
      <w:r w:rsidRPr="00E63E74">
        <w:rPr>
          <w:rFonts w:ascii="Times New Roman" w:hAnsi="Times New Roman" w:cs="Times New Roman"/>
        </w:rPr>
        <w:t xml:space="preserve">ndor-specific licensing frameworks. </w:t>
      </w:r>
      <w:hyperlink r:id="rId9">
        <w:r w:rsidRPr="00E63E74">
          <w:rPr>
            <w:rStyle w:val="Hyperlink"/>
            <w:rFonts w:ascii="Times New Roman" w:hAnsi="Times New Roman" w:cs="Times New Roman"/>
          </w:rPr>
          <w:t>[5]</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One further scope point is essential. The theoretical draft below assumes, unless your implementation already does more, </w:t>
      </w:r>
      <w:r w:rsidRPr="00E63E74">
        <w:rPr>
          <w:rFonts w:ascii="Times New Roman" w:hAnsi="Times New Roman" w:cs="Times New Roman"/>
          <w:b/>
          <w:bCs/>
        </w:rPr>
        <w:t>electrically thin conduct</w:t>
      </w:r>
      <w:r w:rsidRPr="00E63E74">
        <w:rPr>
          <w:rFonts w:ascii="Times New Roman" w:hAnsi="Times New Roman" w:cs="Times New Roman"/>
          <w:b/>
          <w:bCs/>
        </w:rPr>
        <w:t>ing patterns embedded in or printed on plane-stratified media</w:t>
      </w:r>
      <w:r w:rsidRPr="00E63E74">
        <w:rPr>
          <w:rFonts w:ascii="Times New Roman" w:hAnsi="Times New Roman" w:cs="Times New Roman"/>
        </w:rPr>
        <w:t xml:space="preserve">. That is a natural target for surface-integral-equation MoM. </w:t>
      </w:r>
      <w:r w:rsidRPr="00E63E74">
        <w:rPr>
          <w:rFonts w:ascii="Times New Roman" w:hAnsi="Times New Roman" w:cs="Times New Roman"/>
        </w:rPr>
        <w:lastRenderedPageBreak/>
        <w:t>Arbitrary three-dimensional dielectric meta-atoms require equivalent electric/magnetic surface-current formulations such as PMCHWT, a</w:t>
      </w:r>
      <w:r w:rsidRPr="00E63E74">
        <w:rPr>
          <w:rFonts w:ascii="Times New Roman" w:hAnsi="Times New Roman" w:cs="Times New Roman"/>
        </w:rPr>
        <w:t xml:space="preserve"> volume-integral equation, or another extension; those capabilities must not be implied unless they actually exist. Dardenne and Craeye's work illustrates that periodic formulations combining metal and dielectric bodies require additional machinery beyond </w:t>
      </w:r>
      <w:r w:rsidRPr="00E63E74">
        <w:rPr>
          <w:rFonts w:ascii="Times New Roman" w:hAnsi="Times New Roman" w:cs="Times New Roman"/>
        </w:rPr>
        <w:t xml:space="preserve">the simplest PEC EFIE [5]. </w:t>
      </w:r>
      <w:hyperlink r:id="rId10">
        <w:r w:rsidRPr="00E63E74">
          <w:rPr>
            <w:rStyle w:val="Hyperlink"/>
            <w:rFonts w:ascii="Times New Roman" w:hAnsi="Times New Roman" w:cs="Times New Roman"/>
          </w:rPr>
          <w:t>[6]</w:t>
        </w:r>
      </w:hyperlink>
    </w:p>
    <w:p w:rsidR="0090136C" w:rsidRPr="00E63E74" w:rsidRDefault="00E63E74" w:rsidP="00E63E74">
      <w:pPr>
        <w:pStyle w:val="Heading2"/>
        <w:jc w:val="both"/>
        <w:rPr>
          <w:rFonts w:ascii="Times New Roman" w:hAnsi="Times New Roman" w:cs="Times New Roman"/>
        </w:rPr>
      </w:pPr>
      <w:bookmarkStart w:id="3" w:name="abstract-and-introduction"/>
      <w:bookmarkEnd w:id="2"/>
      <w:r w:rsidRPr="00E63E74">
        <w:rPr>
          <w:rFonts w:ascii="Times New Roman" w:hAnsi="Times New Roman" w:cs="Times New Roman"/>
        </w:rPr>
        <w:t>Abstract and introduction</w:t>
      </w:r>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b/>
          <w:bCs/>
        </w:rPr>
        <w:t>Abstract—</w:t>
      </w:r>
      <w:r w:rsidRPr="00E63E74">
        <w:rPr>
          <w:rFonts w:ascii="Times New Roman" w:hAnsi="Times New Roman" w:cs="Times New Roman"/>
        </w:rPr>
        <w:t xml:space="preserve"> Data-driven metasurface design increasingly requires large numbers of accurate electromagnetic simulations for surrogate-mod</w:t>
      </w:r>
      <w:r w:rsidRPr="00E63E74">
        <w:rPr>
          <w:rFonts w:ascii="Times New Roman" w:hAnsi="Times New Roman" w:cs="Times New Roman"/>
        </w:rPr>
        <w:t>el training, generative inverse design, optimization, and candidate validation. Repeated generation of such datasets using general-purpose commercial full-wave solvers can introduce practical limitations associated with automation, computational throughput</w:t>
      </w:r>
      <w:r w:rsidRPr="00E63E74">
        <w:rPr>
          <w:rFonts w:ascii="Times New Roman" w:hAnsi="Times New Roman" w:cs="Times New Roman"/>
        </w:rPr>
        <w:t>, cluster deployment, and proprietary licensing. This paper presents a Python-native, GPU-compatible Method of Moments framework for high-throughput electromagnetic analysis of periodically repeated metasurface unit cells. The formulation combines a Floque</w:t>
      </w:r>
      <w:r w:rsidRPr="00E63E74">
        <w:rPr>
          <w:rFonts w:ascii="Times New Roman" w:hAnsi="Times New Roman" w:cs="Times New Roman"/>
        </w:rPr>
        <w:t>t-periodic surface integral equation, unit-cell current discretization, periodic layered-medium Green functions, GPU-parallel impedance-matrix construction, GPU-based complex linear algebra, and modal post-processing for extraction of reflection and transm</w:t>
      </w:r>
      <w:r w:rsidRPr="00E63E74">
        <w:rPr>
          <w:rFonts w:ascii="Times New Roman" w:hAnsi="Times New Roman" w:cs="Times New Roman"/>
        </w:rPr>
        <w:t xml:space="preserve">ission </w:t>
      </w:r>
      <m:oMath>
        <m:r>
          <w:rPr>
            <w:rFonts w:ascii="Cambria Math" w:hAnsi="Cambria Math" w:cs="Times New Roman"/>
          </w:rPr>
          <m:t>S</m:t>
        </m:r>
      </m:oMath>
      <w:r w:rsidRPr="00E63E74">
        <w:rPr>
          <w:rFonts w:ascii="Times New Roman" w:hAnsi="Times New Roman" w:cs="Times New Roman"/>
        </w:rPr>
        <w:t>-parameters. The resulting solver is designed to operate both as a standalone forward simulator and as a physics engine embedded within machine-learning and inverse-design workflows. Validation is performed against a commercial full-wave solver us</w:t>
      </w:r>
      <w:r w:rsidRPr="00E63E74">
        <w:rPr>
          <w:rFonts w:ascii="Times New Roman" w:hAnsi="Times New Roman" w:cs="Times New Roman"/>
        </w:rPr>
        <w:t>ing canonical and parametrically varied metasurface geometries,</w:t>
      </w:r>
      <w:r>
        <w:rPr>
          <w:rFonts w:ascii="Times New Roman" w:hAnsi="Times New Roman" w:cs="Times New Roman"/>
        </w:rPr>
        <w:t xml:space="preserve"> together with mesh-convergence</w:t>
      </w:r>
      <w:r w:rsidRPr="00E63E74">
        <w:rPr>
          <w:rFonts w:ascii="Times New Roman" w:hAnsi="Times New Roman" w:cs="Times New Roman"/>
        </w:rPr>
        <w:t>. The implementation is further benchmarked against a CPU reference to quantify matrix-assembly time,</w:t>
      </w:r>
      <w:r w:rsidRPr="00E63E74">
        <w:rPr>
          <w:rFonts w:ascii="Times New Roman" w:hAnsi="Times New Roman" w:cs="Times New Roman"/>
        </w:rPr>
        <w:t xml:space="preserve"> solution time, end-to-end acceleration, GPU-memory scaling, and dataset-generation throughput. For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test</m:t>
            </m:r>
          </m:sub>
        </m:sSub>
        <m:r>
          <m:rPr>
            <m:sty m:val="p"/>
          </m:rPr>
          <w:rPr>
            <w:rFonts w:ascii="Cambria Math" w:hAnsi="Cambria Math" w:cs="Times New Roman"/>
          </w:rPr>
          <m:t>]</m:t>
        </m:r>
      </m:oMath>
      <w:r w:rsidRPr="00E63E74">
        <w:rPr>
          <w:rFonts w:ascii="Times New Roman" w:hAnsi="Times New Roman" w:cs="Times New Roman"/>
        </w:rPr>
        <w:t xml:space="preserve"> validation structures, the proposed solver achieves </w:t>
      </w:r>
      <m:oMath>
        <m:r>
          <m:rPr>
            <m:sty m:val="p"/>
          </m:rPr>
          <w:rPr>
            <w:rFonts w:ascii="Cambria Math" w:hAnsi="Cambria Math" w:cs="Times New Roman"/>
          </w:rPr>
          <m:t>[</m:t>
        </m:r>
        <m:r>
          <m:rPr>
            <m:nor/>
          </m:rPr>
          <w:rPr>
            <w:rFonts w:ascii="Times New Roman" w:hAnsi="Times New Roman" w:cs="Times New Roman"/>
          </w:rPr>
          <m:t xml:space="preserve">complex </m:t>
        </m:r>
        <m:r>
          <w:rPr>
            <w:rFonts w:ascii="Cambria Math" w:hAnsi="Cambria Math" w:cs="Times New Roman"/>
          </w:rPr>
          <m:t>S</m:t>
        </m:r>
        <m:r>
          <m:rPr>
            <m:nor/>
          </m:rPr>
          <w:rPr>
            <w:rFonts w:ascii="Times New Roman" w:hAnsi="Times New Roman" w:cs="Times New Roman"/>
          </w:rPr>
          <m:t>-parameter error</m:t>
        </m:r>
        <m:r>
          <m:rPr>
            <m:sty m:val="p"/>
          </m:rPr>
          <w:rPr>
            <w:rFonts w:ascii="Cambria Math" w:hAnsi="Cambria Math" w:cs="Times New Roman"/>
          </w:rPr>
          <m:t>]</m:t>
        </m:r>
      </m:oMath>
      <w:r w:rsidRPr="00E63E74">
        <w:rPr>
          <w:rFonts w:ascii="Times New Roman" w:hAnsi="Times New Roman" w:cs="Times New Roman"/>
        </w:rPr>
        <w:t xml:space="preserve">, an end-to-end acceleration of </w:t>
      </w:r>
      <m:oMath>
        <m:r>
          <m:rPr>
            <m:sty m:val="p"/>
          </m:rPr>
          <w:rPr>
            <w:rFonts w:ascii="Cambria Math" w:hAnsi="Cambria Math" w:cs="Times New Roman"/>
          </w:rPr>
          <m:t>[</m:t>
        </m:r>
        <m:r>
          <m:rPr>
            <m:nor/>
          </m:rPr>
          <w:rPr>
            <w:rFonts w:ascii="Times New Roman" w:hAnsi="Times New Roman" w:cs="Times New Roman"/>
          </w:rPr>
          <m:t>speed-up</m:t>
        </m:r>
        <m:r>
          <m:rPr>
            <m:sty m:val="p"/>
          </m:rPr>
          <w:rPr>
            <w:rFonts w:ascii="Cambria Math" w:hAnsi="Cambria Math" w:cs="Times New Roman"/>
          </w:rPr>
          <m:t>]</m:t>
        </m:r>
      </m:oMath>
      <w:r w:rsidRPr="00E63E74">
        <w:rPr>
          <w:rFonts w:ascii="Times New Roman" w:hAnsi="Times New Roman" w:cs="Times New Roman"/>
        </w:rPr>
        <w:t xml:space="preserve">, and a sustained throughput of </w:t>
      </w:r>
      <m:oMath>
        <m:r>
          <m:rPr>
            <m:sty m:val="p"/>
          </m:rPr>
          <w:rPr>
            <w:rFonts w:ascii="Cambria Math" w:hAnsi="Cambria Math" w:cs="Times New Roman"/>
          </w:rPr>
          <m:t>[</m:t>
        </m:r>
        <m:r>
          <m:rPr>
            <m:nor/>
          </m:rPr>
          <w:rPr>
            <w:rFonts w:ascii="Times New Roman" w:hAnsi="Times New Roman" w:cs="Times New Roman"/>
          </w:rPr>
          <m:t>unit cells/hour</m:t>
        </m:r>
        <m:r>
          <m:rPr>
            <m:sty m:val="p"/>
          </m:rPr>
          <w:rPr>
            <w:rFonts w:ascii="Cambria Math" w:hAnsi="Cambria Math" w:cs="Times New Roman"/>
          </w:rPr>
          <m:t>]</m:t>
        </m:r>
      </m:oMath>
      <w:r w:rsidRPr="00E63E74">
        <w:rPr>
          <w:rFonts w:ascii="Times New Roman" w:hAnsi="Times New Roman" w:cs="Times New Roman"/>
        </w:rPr>
        <w:t>. Rather than introducing GPU acceleration of MoM as an isolated concept, the work targets an integrated computational-electromagnetics workflow for scalable metasurface dataset generation and physics-guided</w:t>
      </w:r>
      <w:r w:rsidRPr="00E63E74">
        <w:rPr>
          <w:rFonts w:ascii="Times New Roman" w:hAnsi="Times New Roman" w:cs="Times New Roman"/>
        </w:rPr>
        <w:t xml:space="preserve"> inverse design.</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b/>
          <w:bCs/>
        </w:rPr>
        <w:t>Index Terms—</w:t>
      </w:r>
      <w:r w:rsidRPr="00E63E74">
        <w:rPr>
          <w:rFonts w:ascii="Times New Roman" w:hAnsi="Times New Roman" w:cs="Times New Roman"/>
        </w:rPr>
        <w:t xml:space="preserve"> computational electromagnetics, method of moments, metasurface, periodic structures, GPU computing, CUDA, </w:t>
      </w:r>
      <m:oMath>
        <m:r>
          <w:rPr>
            <w:rFonts w:ascii="Cambria Math" w:hAnsi="Cambria Math" w:cs="Times New Roman"/>
          </w:rPr>
          <m:t>S</m:t>
        </m:r>
      </m:oMath>
      <w:r w:rsidRPr="00E63E74">
        <w:rPr>
          <w:rFonts w:ascii="Times New Roman" w:hAnsi="Times New Roman" w:cs="Times New Roman"/>
        </w:rPr>
        <w:t>-parameters, Floquet modes, inverse design, deep learning, high-performance computing.</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b/>
          <w:bCs/>
        </w:rPr>
        <w:t>Introduction—</w:t>
      </w:r>
      <w:r w:rsidRPr="00E63E74">
        <w:rPr>
          <w:rFonts w:ascii="Times New Roman" w:hAnsi="Times New Roman" w:cs="Times New Roman"/>
        </w:rPr>
        <w:t xml:space="preserve"> Metasurfaces achi</w:t>
      </w:r>
      <w:r w:rsidRPr="00E63E74">
        <w:rPr>
          <w:rFonts w:ascii="Times New Roman" w:hAnsi="Times New Roman" w:cs="Times New Roman"/>
        </w:rPr>
        <w:t>eve prescribed electromagnetic transformations through spatially engineered subwavelength inclusions, making the electromagnetic response of an individual periodically repeated unit cell a fundamental quantity in many design workflows. For a specified geom</w:t>
      </w:r>
      <w:r w:rsidRPr="00E63E74">
        <w:rPr>
          <w:rFonts w:ascii="Times New Roman" w:hAnsi="Times New Roman" w:cs="Times New Roman"/>
        </w:rPr>
        <w:t>etry, material stack, frequency, incidence angle, and polarization, the design problem commonly reduces at the unit-cell level to determining quantities such as complex reflection and transmission coefficients. When the structure is treated as infinitely p</w:t>
      </w:r>
      <w:r w:rsidRPr="00E63E74">
        <w:rPr>
          <w:rFonts w:ascii="Times New Roman" w:hAnsi="Times New Roman" w:cs="Times New Roman"/>
        </w:rPr>
        <w:t>eriodic, the fields and induced currents satisfy Bloch/Floquet conditions, allowing a single cell to represent the infinite array. Periodic integral-equation and MoM formulations for conducting arrays have a long history, including Cwik and Mittra's treatm</w:t>
      </w:r>
      <w:r w:rsidRPr="00E63E74">
        <w:rPr>
          <w:rFonts w:ascii="Times New Roman" w:hAnsi="Times New Roman" w:cs="Times New Roman"/>
        </w:rPr>
        <w:t xml:space="preserve">ent of periodic conducting and resistive patches and later developments for more general periodic metallic/dielectric structures [2], [5]. </w:t>
      </w:r>
      <w:hyperlink r:id="rId11">
        <w:r w:rsidRPr="00E63E74">
          <w:rPr>
            <w:rStyle w:val="Hyperlink"/>
            <w:rFonts w:ascii="Times New Roman" w:hAnsi="Times New Roman" w:cs="Times New Roman"/>
          </w:rPr>
          <w:t>[7]</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For thin metallic or impedance-sheet structures,</w:t>
      </w:r>
      <w:r w:rsidRPr="00E63E74">
        <w:rPr>
          <w:rFonts w:ascii="Times New Roman" w:hAnsi="Times New Roman" w:cs="Times New Roman"/>
        </w:rPr>
        <w:t xml:space="preserve"> an integral-equation formulation is particularly attractive because the unknown current is confined to the electromagnetic scatterer's surface rather than throughout the surrounding free-space volume. Arbitrarily shaped conducting </w:t>
      </w:r>
      <w:r w:rsidRPr="00E63E74">
        <w:rPr>
          <w:rFonts w:ascii="Times New Roman" w:hAnsi="Times New Roman" w:cs="Times New Roman"/>
        </w:rPr>
        <w:lastRenderedPageBreak/>
        <w:t>surfaces can be discreti</w:t>
      </w:r>
      <w:r w:rsidRPr="00E63E74">
        <w:rPr>
          <w:rFonts w:ascii="Times New Roman" w:hAnsi="Times New Roman" w:cs="Times New Roman"/>
        </w:rPr>
        <w:t>zed using Rao-Wilton-Glisson basis functions [1], while plane-stratified substrates can be represented through the appropriate layered-medium Green functions [4]. These characteristics make MoM a natural candidate for printed frequency-selective surfaces a</w:t>
      </w:r>
      <w:r w:rsidRPr="00E63E74">
        <w:rPr>
          <w:rFonts w:ascii="Times New Roman" w:hAnsi="Times New Roman" w:cs="Times New Roman"/>
        </w:rPr>
        <w:t xml:space="preserve">nd many microwave metasurface unit cells, although it is not universally preferable to finite-element, finite-difference, or Fourier-modal methods for every metasurface class. </w:t>
      </w:r>
      <w:hyperlink r:id="rId12">
        <w:r w:rsidRPr="00E63E74">
          <w:rPr>
            <w:rStyle w:val="Hyperlink"/>
            <w:rFonts w:ascii="Times New Roman" w:hAnsi="Times New Roman" w:cs="Times New Roman"/>
          </w:rPr>
          <w:t>[8]</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The computa</w:t>
      </w:r>
      <w:r w:rsidRPr="00E63E74">
        <w:rPr>
          <w:rFonts w:ascii="Times New Roman" w:hAnsi="Times New Roman" w:cs="Times New Roman"/>
        </w:rPr>
        <w:t>tional difficulty arises when this forward problem must be solved not once but tens of thousands—or potentially many more times—during design-space exploration or data generation. A conventional surface MoM discretization produces a dense impedance matrix.</w:t>
      </w:r>
      <w:r w:rsidRPr="00E63E74">
        <w:rPr>
          <w:rFonts w:ascii="Times New Roman" w:hAnsi="Times New Roman" w:cs="Times New Roman"/>
        </w:rPr>
        <w:t xml:space="preserve"> With </w:t>
      </w:r>
      <m:oMath>
        <m:r>
          <w:rPr>
            <w:rFonts w:ascii="Cambria Math" w:hAnsi="Cambria Math" w:cs="Times New Roman"/>
          </w:rPr>
          <m:t>N</m:t>
        </m:r>
      </m:oMath>
      <w:r w:rsidRPr="00E63E74">
        <w:rPr>
          <w:rFonts w:ascii="Times New Roman" w:hAnsi="Times New Roman" w:cs="Times New Roman"/>
        </w:rPr>
        <w:t xml:space="preserve"> current unknowns, explicit matrix storage scales nominally as </w:t>
      </w:r>
      <m:oMath>
        <m:r>
          <w:rPr>
            <w:rFonts w:ascii="Cambria Math" w:hAnsi="Cambria Math" w:cs="Times New Roman"/>
          </w:rPr>
          <m:t>O</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m:rPr>
            <m:sty m:val="p"/>
          </m:rPr>
          <w:rPr>
            <w:rFonts w:ascii="Cambria Math" w:hAnsi="Cambria Math" w:cs="Times New Roman"/>
          </w:rPr>
          <m:t>)</m:t>
        </m:r>
      </m:oMath>
      <w:r w:rsidRPr="00E63E74">
        <w:rPr>
          <w:rFonts w:ascii="Times New Roman" w:hAnsi="Times New Roman" w:cs="Times New Roman"/>
        </w:rPr>
        <w:t xml:space="preserve">, while a conventional dense direct factorization scales nominally as </w:t>
      </w:r>
      <m:oMath>
        <m:r>
          <w:rPr>
            <w:rFonts w:ascii="Cambria Math" w:hAnsi="Cambria Math" w:cs="Times New Roman"/>
          </w:rPr>
          <m:t>O</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3</m:t>
            </m:r>
          </m:sup>
        </m:sSup>
        <m:r>
          <m:rPr>
            <m:sty m:val="p"/>
          </m:rPr>
          <w:rPr>
            <w:rFonts w:ascii="Cambria Math" w:hAnsi="Cambria Math" w:cs="Times New Roman"/>
          </w:rPr>
          <m:t>)</m:t>
        </m:r>
      </m:oMath>
      <w:r w:rsidRPr="00E63E74">
        <w:rPr>
          <w:rFonts w:ascii="Times New Roman" w:hAnsi="Times New Roman" w:cs="Times New Roman"/>
        </w:rPr>
        <w:t>. In addition, evaluating the pairwise Green-function interactions required for matrix construction c</w:t>
      </w:r>
      <w:r w:rsidRPr="00E63E74">
        <w:rPr>
          <w:rFonts w:ascii="Times New Roman" w:hAnsi="Times New Roman" w:cs="Times New Roman"/>
        </w:rPr>
        <w:t xml:space="preserve">an dominate computation for moderate-sized repeated solves. Previous research therefore explored GPUs for both MoM matrix evaluation and dense linear algebra [7]–[11]. </w:t>
      </w:r>
      <w:hyperlink r:id="rId13">
        <w:r w:rsidRPr="00E63E74">
          <w:rPr>
            <w:rStyle w:val="Hyperlink"/>
            <w:rFonts w:ascii="Times New Roman" w:hAnsi="Times New Roman" w:cs="Times New Roman"/>
          </w:rPr>
          <w:t>[1]</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The same computatio</w:t>
      </w:r>
      <w:r w:rsidRPr="00E63E74">
        <w:rPr>
          <w:rFonts w:ascii="Times New Roman" w:hAnsi="Times New Roman" w:cs="Times New Roman"/>
        </w:rPr>
        <w:t>nal burden has acquired renewed importance with the growth of machine-learning-assisted electromagnetic design. Neural-network-based forward surrogates and inverse models have been demonstrated for nanophotonic scattering and inverse design [14], [16], whi</w:t>
      </w:r>
      <w:r w:rsidRPr="00E63E74">
        <w:rPr>
          <w:rFonts w:ascii="Times New Roman" w:hAnsi="Times New Roman" w:cs="Times New Roman"/>
        </w:rPr>
        <w:t xml:space="preserve">le generative models have been used to produce metasurface geometries from desired spectra [15]. These methods shift a substantial fraction of computational expense to the </w:t>
      </w:r>
      <w:r w:rsidRPr="00E63E74">
        <w:rPr>
          <w:rFonts w:ascii="Times New Roman" w:hAnsi="Times New Roman" w:cs="Times New Roman"/>
          <w:b/>
          <w:bCs/>
        </w:rPr>
        <w:t>data-generation stage</w:t>
      </w:r>
      <w:r w:rsidRPr="00E63E74">
        <w:rPr>
          <w:rFonts w:ascii="Times New Roman" w:hAnsi="Times New Roman" w:cs="Times New Roman"/>
        </w:rPr>
        <w:t>: the neural network is inexpensive to evaluate after training,</w:t>
      </w:r>
      <w:r w:rsidRPr="00E63E74">
        <w:rPr>
          <w:rFonts w:ascii="Times New Roman" w:hAnsi="Times New Roman" w:cs="Times New Roman"/>
        </w:rPr>
        <w:t xml:space="preserve"> but its training pairs must first be obtained from electromagnetic calculations. </w:t>
      </w:r>
      <w:hyperlink r:id="rId14">
        <w:r w:rsidRPr="00E63E74">
          <w:rPr>
            <w:rStyle w:val="Hyperlink"/>
            <w:rFonts w:ascii="Times New Roman" w:hAnsi="Times New Roman" w:cs="Times New Roman"/>
          </w:rPr>
          <w:t>[9]</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This dependence is not merely hypothetical. Ghorbani </w:t>
      </w:r>
      <w:r w:rsidRPr="00E63E74">
        <w:rPr>
          <w:rFonts w:ascii="Times New Roman" w:hAnsi="Times New Roman" w:cs="Times New Roman"/>
          <w:i/>
          <w:iCs/>
        </w:rPr>
        <w:t>et al.</w:t>
      </w:r>
      <w:r w:rsidRPr="00E63E74">
        <w:rPr>
          <w:rFonts w:ascii="Times New Roman" w:hAnsi="Times New Roman" w:cs="Times New Roman"/>
        </w:rPr>
        <w:t xml:space="preserve"> used full-wave simulations of randomly generated metasurface unit cells to construct a learning dataset for wideband automatic metasurface design; their workflow coupled data-generation scripts to CST Microwave Studio to obtain the required electrom</w:t>
      </w:r>
      <w:r w:rsidRPr="00E63E74">
        <w:rPr>
          <w:rFonts w:ascii="Times New Roman" w:hAnsi="Times New Roman" w:cs="Times New Roman"/>
        </w:rPr>
        <w:t xml:space="preserve">agnetic responses [17]. Such approaches are effective, but they demonstrate how a data-driven workflow can inherit the simulation throughput, automation, and licensing constraints of the external full-wave engine used to label its samples. </w:t>
      </w:r>
      <w:hyperlink r:id="rId15">
        <w:r w:rsidRPr="00E63E74">
          <w:rPr>
            <w:rStyle w:val="Hyperlink"/>
            <w:rFonts w:ascii="Times New Roman" w:hAnsi="Times New Roman" w:cs="Times New Roman"/>
          </w:rPr>
          <w:t>[10]</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General-purpose commercial packages remain valuable because of their broad material models, meshing capabilities, multiphysics support, mature user interfaces, and extensive validation. The objecti</w:t>
      </w:r>
      <w:r w:rsidRPr="00E63E74">
        <w:rPr>
          <w:rFonts w:ascii="Times New Roman" w:hAnsi="Times New Roman" w:cs="Times New Roman"/>
        </w:rPr>
        <w:t xml:space="preserve">ve here is therefore </w:t>
      </w:r>
      <w:r w:rsidRPr="00E63E74">
        <w:rPr>
          <w:rFonts w:ascii="Times New Roman" w:hAnsi="Times New Roman" w:cs="Times New Roman"/>
          <w:b/>
          <w:bCs/>
        </w:rPr>
        <w:t>not to replace commercial electromagnetic software for all applications</w:t>
      </w:r>
      <w:r w:rsidRPr="00E63E74">
        <w:rPr>
          <w:rFonts w:ascii="Times New Roman" w:hAnsi="Times New Roman" w:cs="Times New Roman"/>
        </w:rPr>
        <w:t xml:space="preserve">. Instead, the motivation is to develop a narrower solver whose numerical formulation is tailored to a repetitive workload: periodic metasurface unit-cell analysis </w:t>
      </w:r>
      <w:r w:rsidRPr="00E63E74">
        <w:rPr>
          <w:rFonts w:ascii="Times New Roman" w:hAnsi="Times New Roman" w:cs="Times New Roman"/>
        </w:rPr>
        <w:t xml:space="preserve">followed by extraction of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11</m:t>
            </m:r>
          </m:sub>
        </m:sSub>
      </m:oMath>
      <w:r w:rsidRPr="00E63E7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21</m:t>
            </m:r>
          </m:sub>
        </m:sSub>
      </m:oMath>
      <w:r w:rsidRPr="00E63E74">
        <w:rPr>
          <w:rFonts w:ascii="Times New Roman" w:hAnsi="Times New Roman" w:cs="Times New Roman"/>
        </w:rPr>
        <w:t>. By controlling the complete numerical stack, large parameter sweeps can be submitted directly to locally available or institutional GPU infrastructure, while selected cases remain cross-validated using established c</w:t>
      </w:r>
      <w:r w:rsidRPr="00E63E74">
        <w:rPr>
          <w:rFonts w:ascii="Times New Roman" w:hAnsi="Times New Roman" w:cs="Times New Roman"/>
        </w:rPr>
        <w:t>ommercial software.</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Several related directions already exist and define the novelty boundary of the present work. Periodic MoM itself is established [2]–[6]; GPU-based MoM has been reported extensively [7]–[11]; Bempp-cl demonstrates that Python and accele</w:t>
      </w:r>
      <w:r w:rsidRPr="00E63E74">
        <w:rPr>
          <w:rFonts w:ascii="Times New Roman" w:hAnsi="Times New Roman" w:cs="Times New Roman"/>
        </w:rPr>
        <w:t>rated boundary-element computing can coexist [12]; and TORCWA provides a GPU-accelerated Python Fourier-modal solver together with gradient-based metasurface optimization [13]. Consequently, neither “MoM on a GPU” nor “a Python metasurface solver” constitu</w:t>
      </w:r>
      <w:r w:rsidRPr="00E63E74">
        <w:rPr>
          <w:rFonts w:ascii="Times New Roman" w:hAnsi="Times New Roman" w:cs="Times New Roman"/>
        </w:rPr>
        <w:t xml:space="preserve">tes a sufficient research contribution by itself. </w:t>
      </w:r>
      <w:hyperlink r:id="rId16">
        <w:r w:rsidRPr="00E63E74">
          <w:rPr>
            <w:rStyle w:val="Hyperlink"/>
            <w:rFonts w:ascii="Times New Roman" w:hAnsi="Times New Roman" w:cs="Times New Roman"/>
          </w:rPr>
          <w:t>[11]</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b/>
          <w:bCs/>
        </w:rPr>
        <w:t>Contribution statement suitable for the final paragraph of the Introduction.</w:t>
      </w:r>
      <w:r w:rsidRPr="00E63E74">
        <w:rPr>
          <w:rFonts w:ascii="Times New Roman" w:hAnsi="Times New Roman" w:cs="Times New Roman"/>
        </w:rPr>
        <w:br/>
      </w:r>
      <w:r w:rsidRPr="00E63E74">
        <w:rPr>
          <w:rFonts w:ascii="Times New Roman" w:hAnsi="Times New Roman" w:cs="Times New Roman"/>
          <w:i/>
          <w:iCs/>
        </w:rPr>
        <w:t>The contribution of this work is an integrated pe</w:t>
      </w:r>
      <w:r w:rsidRPr="00E63E74">
        <w:rPr>
          <w:rFonts w:ascii="Times New Roman" w:hAnsi="Times New Roman" w:cs="Times New Roman"/>
          <w:i/>
          <w:iCs/>
        </w:rPr>
        <w:t xml:space="preserve">riodic-MoM framework designed specifically for </w:t>
      </w:r>
      <w:r w:rsidRPr="00E63E74">
        <w:rPr>
          <w:rFonts w:ascii="Times New Roman" w:hAnsi="Times New Roman" w:cs="Times New Roman"/>
          <w:i/>
          <w:iCs/>
        </w:rPr>
        <w:lastRenderedPageBreak/>
        <w:t>high-throughput metasurface unit-cell characterization. In contrast to earlier GPU-MoM studies primarily concerned with accelerating general scattering calculations, the present implementation couples Floquet-</w:t>
      </w:r>
      <w:r w:rsidRPr="00E63E74">
        <w:rPr>
          <w:rFonts w:ascii="Times New Roman" w:hAnsi="Times New Roman" w:cs="Times New Roman"/>
          <w:i/>
          <w:iCs/>
        </w:rPr>
        <w:t xml:space="preserve">periodic electromagnetic modeling, direct unit-cell </w:t>
      </w:r>
      <m:oMath>
        <m:r>
          <w:rPr>
            <w:rFonts w:ascii="Cambria Math" w:hAnsi="Cambria Math" w:cs="Times New Roman"/>
          </w:rPr>
          <m:t>S</m:t>
        </m:r>
      </m:oMath>
      <w:r w:rsidRPr="00E63E74">
        <w:rPr>
          <w:rFonts w:ascii="Times New Roman" w:hAnsi="Times New Roman" w:cs="Times New Roman"/>
          <w:i/>
          <w:iCs/>
        </w:rPr>
        <w:t>-parameter extraction, GPU-parallel impedance assembly and linear algebra, and batch-oriented Python interfaces intended for large-scale dataset generation. The same forward interface can be called dire</w:t>
      </w:r>
      <w:r w:rsidRPr="00E63E74">
        <w:rPr>
          <w:rFonts w:ascii="Times New Roman" w:hAnsi="Times New Roman" w:cs="Times New Roman"/>
          <w:i/>
          <w:iCs/>
        </w:rPr>
        <w:t xml:space="preserve">ctly from machine-learning and inverse-design workflows, permitting the MoM model to function both as an offline data generator and as an online physics evaluator. The solver is validated against </w:t>
      </w:r>
      <m:oMath>
        <m:r>
          <m:rPr>
            <m:sty m:val="p"/>
          </m:rPr>
          <w:rPr>
            <w:rFonts w:ascii="Cambria Math" w:hAnsi="Cambria Math" w:cs="Times New Roman"/>
          </w:rPr>
          <m:t>[</m:t>
        </m:r>
        <m:r>
          <w:rPr>
            <w:rFonts w:ascii="Cambria Math" w:hAnsi="Cambria Math" w:cs="Times New Roman"/>
          </w:rPr>
          <m:t>CST</m:t>
        </m:r>
        <m:r>
          <m:rPr>
            <m:sty m:val="p"/>
          </m:rPr>
          <w:rPr>
            <w:rFonts w:ascii="Cambria Math" w:hAnsi="Cambria Math" w:cs="Times New Roman"/>
          </w:rPr>
          <m:t>/</m:t>
        </m:r>
        <m:r>
          <w:rPr>
            <w:rFonts w:ascii="Cambria Math" w:hAnsi="Cambria Math" w:cs="Times New Roman"/>
          </w:rPr>
          <m:t>HFSS</m:t>
        </m:r>
        <m:r>
          <m:rPr>
            <m:sty m:val="p"/>
          </m:rPr>
          <w:rPr>
            <w:rFonts w:ascii="Cambria Math" w:hAnsi="Cambria Math" w:cs="Times New Roman"/>
          </w:rPr>
          <m:t>]</m:t>
        </m:r>
      </m:oMath>
      <w:r w:rsidRPr="00E63E74">
        <w:rPr>
          <w:rFonts w:ascii="Times New Roman" w:hAnsi="Times New Roman" w:cs="Times New Roman"/>
          <w:i/>
          <w:iCs/>
        </w:rPr>
        <w:t xml:space="preserve"> over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w:r w:rsidRPr="00E63E74">
        <w:rPr>
          <w:rFonts w:ascii="Times New Roman" w:hAnsi="Times New Roman" w:cs="Times New Roman"/>
          <w:i/>
          <w:iCs/>
        </w:rPr>
        <w:t xml:space="preserve"> </w:t>
      </w:r>
      <w:r w:rsidRPr="00E63E74">
        <w:rPr>
          <w:rFonts w:ascii="Times New Roman" w:hAnsi="Times New Roman" w:cs="Times New Roman"/>
          <w:i/>
          <w:iCs/>
        </w:rPr>
        <w:t>unit-cell configurations and benchmarked on CPU and GPU hardware to quantify accuracy, computational scaling, and dataset-generation throughput.</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That contribution statement is defensible </w:t>
      </w:r>
      <w:r w:rsidRPr="00E63E74">
        <w:rPr>
          <w:rFonts w:ascii="Times New Roman" w:hAnsi="Times New Roman" w:cs="Times New Roman"/>
          <w:b/>
          <w:bCs/>
        </w:rPr>
        <w:t>provided the paper supplies the validation and performance evidence n</w:t>
      </w:r>
      <w:r w:rsidRPr="00E63E74">
        <w:rPr>
          <w:rFonts w:ascii="Times New Roman" w:hAnsi="Times New Roman" w:cs="Times New Roman"/>
          <w:b/>
          <w:bCs/>
        </w:rPr>
        <w:t>amed in it</w:t>
      </w:r>
      <w:r w:rsidRPr="00E63E74">
        <w:rPr>
          <w:rFonts w:ascii="Times New Roman" w:hAnsi="Times New Roman" w:cs="Times New Roman"/>
        </w:rPr>
        <w:t>.</w:t>
      </w:r>
    </w:p>
    <w:p w:rsidR="0090136C" w:rsidRPr="00E63E74" w:rsidRDefault="00E63E74" w:rsidP="00E63E74">
      <w:pPr>
        <w:pStyle w:val="Heading2"/>
        <w:jc w:val="both"/>
        <w:rPr>
          <w:rFonts w:ascii="Times New Roman" w:hAnsi="Times New Roman" w:cs="Times New Roman"/>
        </w:rPr>
      </w:pPr>
      <w:bookmarkStart w:id="4" w:name="theoretical-formulation"/>
      <w:bookmarkEnd w:id="3"/>
      <w:r w:rsidRPr="00E63E74">
        <w:rPr>
          <w:rFonts w:ascii="Times New Roman" w:hAnsi="Times New Roman" w:cs="Times New Roman"/>
        </w:rPr>
        <w:t>Theoretical formulation</w:t>
      </w:r>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b/>
          <w:bCs/>
        </w:rPr>
        <w:t>Draft manuscript text—Theoretical Formulation.</w:t>
      </w:r>
      <w:r w:rsidRPr="00E63E74">
        <w:rPr>
          <w:rFonts w:ascii="Times New Roman" w:hAnsi="Times New Roman" w:cs="Times New Roman"/>
        </w:rPr>
        <w:br/>
        <w:t xml:space="preserve">Consider a two-dimensional periodic metasurface defined by primitive lattice vectors </w:t>
      </w:r>
      <m:oMath>
        <m:sSub>
          <m:sSubPr>
            <m:ctrlPr>
              <w:rPr>
                <w:rFonts w:ascii="Cambria Math" w:hAnsi="Cambria Math" w:cs="Times New Roman"/>
              </w:rPr>
            </m:ctrlPr>
          </m:sSubPr>
          <m:e>
            <m:r>
              <m:rPr>
                <m:sty m:val="bi"/>
              </m:rPr>
              <w:rPr>
                <w:rFonts w:ascii="Cambria Math" w:hAnsi="Cambria Math" w:cs="Times New Roman"/>
              </w:rPr>
              <m:t>a</m:t>
            </m:r>
          </m:e>
          <m:sub>
            <m:r>
              <w:rPr>
                <w:rFonts w:ascii="Cambria Math" w:hAnsi="Cambria Math" w:cs="Times New Roman"/>
              </w:rPr>
              <m:t>1</m:t>
            </m:r>
          </m:sub>
        </m:sSub>
      </m:oMath>
      <w:r w:rsidRPr="00E63E74">
        <w:rPr>
          <w:rFonts w:ascii="Times New Roman" w:hAnsi="Times New Roman" w:cs="Times New Roman"/>
        </w:rPr>
        <w:t xml:space="preserve"> and </w:t>
      </w:r>
      <m:oMath>
        <m:sSub>
          <m:sSubPr>
            <m:ctrlPr>
              <w:rPr>
                <w:rFonts w:ascii="Cambria Math" w:hAnsi="Cambria Math" w:cs="Times New Roman"/>
              </w:rPr>
            </m:ctrlPr>
          </m:sSubPr>
          <m:e>
            <m:r>
              <m:rPr>
                <m:sty m:val="bi"/>
              </m:rPr>
              <w:rPr>
                <w:rFonts w:ascii="Cambria Math" w:hAnsi="Cambria Math" w:cs="Times New Roman"/>
              </w:rPr>
              <m:t>a</m:t>
            </m:r>
          </m:e>
          <m:sub>
            <m:r>
              <w:rPr>
                <w:rFonts w:ascii="Cambria Math" w:hAnsi="Cambria Math" w:cs="Times New Roman"/>
              </w:rPr>
              <m:t>2</m:t>
            </m:r>
          </m:sub>
        </m:sSub>
      </m:oMath>
      <w:r w:rsidRPr="00E63E74">
        <w:rPr>
          <w:rFonts w:ascii="Times New Roman" w:hAnsi="Times New Roman" w:cs="Times New Roman"/>
        </w:rPr>
        <w:t>, with lattice translations</w:t>
      </w:r>
    </w:p>
    <w:p w:rsidR="0090136C" w:rsidRPr="00E63E74" w:rsidRDefault="00E63E74" w:rsidP="00E63E74">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i"/>
                </m:rPr>
                <w:rPr>
                  <w:rFonts w:ascii="Cambria Math" w:hAnsi="Cambria Math" w:cs="Times New Roman"/>
                </w:rPr>
                <m:t>R</m:t>
              </m:r>
            </m:e>
            <m:sub>
              <m:r>
                <w:rPr>
                  <w:rFonts w:ascii="Cambria Math" w:hAnsi="Cambria Math" w:cs="Times New Roman"/>
                </w:rPr>
                <m:t>mn</m:t>
              </m:r>
            </m:sub>
          </m:sSub>
          <m:r>
            <m:rPr>
              <m:sty m:val="p"/>
            </m:rPr>
            <w:rPr>
              <w:rFonts w:ascii="Cambria Math" w:hAnsi="Cambria Math" w:cs="Times New Roman"/>
            </w:rPr>
            <m:t>=</m:t>
          </m:r>
          <m:r>
            <w:rPr>
              <w:rFonts w:ascii="Cambria Math" w:hAnsi="Cambria Math" w:cs="Times New Roman"/>
            </w:rPr>
            <m:t>m</m:t>
          </m:r>
          <m:sSub>
            <m:sSubPr>
              <m:ctrlPr>
                <w:rPr>
                  <w:rFonts w:ascii="Cambria Math" w:hAnsi="Cambria Math" w:cs="Times New Roman"/>
                </w:rPr>
              </m:ctrlPr>
            </m:sSubPr>
            <m:e>
              <m:r>
                <m:rPr>
                  <m:sty m:val="bi"/>
                </m:rPr>
                <w:rPr>
                  <w:rFonts w:ascii="Cambria Math" w:hAnsi="Cambria Math" w:cs="Times New Roman"/>
                </w:rPr>
                <m:t>a</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m:rPr>
                  <m:sty m:val="bi"/>
                </m:rPr>
                <w:rPr>
                  <w:rFonts w:ascii="Cambria Math" w:hAnsi="Cambria Math" w:cs="Times New Roman"/>
                </w:rPr>
                <m:t>a</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  </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r>
            <m:rPr>
              <m:scr m:val="double-struck"/>
              <m:sty m:val="p"/>
            </m:rPr>
            <w:rPr>
              <w:rFonts w:ascii="Cambria Math" w:hAnsi="Cambria Math" w:cs="Times New Roman"/>
            </w:rPr>
            <m:t>∈Z.</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The derivation belo</w:t>
      </w:r>
      <w:r w:rsidRPr="00E63E74">
        <w:rPr>
          <w:rFonts w:ascii="Times New Roman" w:hAnsi="Times New Roman" w:cs="Times New Roman"/>
        </w:rPr>
        <w:t xml:space="preserve">w adopts the </w:t>
      </w:r>
      <m:oMath>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jωt</m:t>
            </m:r>
          </m:sup>
        </m:sSup>
      </m:oMath>
      <w:r w:rsidRPr="00E63E74">
        <w:rPr>
          <w:rFonts w:ascii="Times New Roman" w:hAnsi="Times New Roman" w:cs="Times New Roman"/>
        </w:rPr>
        <w:t xml:space="preserve"> convention. A plane wave incident on the structure has tangential wave vector </w:t>
      </w:r>
      <m:oMath>
        <m:sSubSup>
          <m:sSubSupPr>
            <m:ctrlPr>
              <w:rPr>
                <w:rFonts w:ascii="Cambria Math" w:hAnsi="Cambria Math" w:cs="Times New Roman"/>
              </w:rPr>
            </m:ctrlPr>
          </m:sSubSupPr>
          <m:e>
            <m:r>
              <m:rPr>
                <m:sty m:val="bi"/>
              </m:rPr>
              <w:rPr>
                <w:rFonts w:ascii="Cambria Math" w:hAnsi="Cambria Math" w:cs="Times New Roman"/>
              </w:rPr>
              <m:t>k</m:t>
            </m:r>
          </m:e>
          <m:sub>
            <m:r>
              <w:rPr>
                <w:rFonts w:ascii="Cambria Math" w:hAnsi="Cambria Math" w:cs="Times New Roman"/>
              </w:rPr>
              <m:t>t</m:t>
            </m:r>
          </m:sub>
          <m:sup>
            <m:r>
              <m:rPr>
                <m:sty m:val="p"/>
              </m:rPr>
              <w:rPr>
                <w:rFonts w:ascii="Cambria Math" w:hAnsi="Cambria Math" w:cs="Times New Roman"/>
              </w:rPr>
              <m:t>inc</m:t>
            </m:r>
          </m:sup>
        </m:sSubSup>
      </m:oMath>
      <w:r w:rsidRPr="00E63E74">
        <w:rPr>
          <w:rFonts w:ascii="Times New Roman" w:hAnsi="Times New Roman" w:cs="Times New Roman"/>
        </w:rPr>
        <w:t xml:space="preserve"> and electric field</w:t>
      </w:r>
    </w:p>
    <w:p w:rsidR="0090136C" w:rsidRPr="00E63E74" w:rsidRDefault="00E63E74" w:rsidP="00E63E74">
      <w:pPr>
        <w:pStyle w:val="BodyText"/>
        <w:jc w:val="both"/>
        <w:rPr>
          <w:rFonts w:ascii="Times New Roman" w:hAnsi="Times New Roman" w:cs="Times New Roman"/>
        </w:rPr>
      </w:pPr>
      <m:oMathPara>
        <m:oMathParaPr>
          <m:jc m:val="center"/>
        </m:oMathParaPr>
        <m:oMath>
          <m:sSup>
            <m:sSupPr>
              <m:ctrlPr>
                <w:rPr>
                  <w:rFonts w:ascii="Cambria Math" w:hAnsi="Cambria Math" w:cs="Times New Roman"/>
                </w:rPr>
              </m:ctrlPr>
            </m:sSupPr>
            <m:e>
              <m:r>
                <m:rPr>
                  <m:sty m:val="bi"/>
                </m:rPr>
                <w:rPr>
                  <w:rFonts w:ascii="Cambria Math" w:hAnsi="Cambria Math" w:cs="Times New Roman"/>
                </w:rPr>
                <m:t>E</m:t>
              </m:r>
            </m:e>
            <m:sup>
              <m:r>
                <m:rPr>
                  <m:sty m:val="p"/>
                </m:rPr>
                <w:rPr>
                  <w:rFonts w:ascii="Cambria Math" w:hAnsi="Cambria Math" w:cs="Times New Roman"/>
                </w:rPr>
                <m:t>inc</m:t>
              </m:r>
            </m:sup>
          </m:sSup>
          <m:r>
            <m:rPr>
              <m:sty m:val="p"/>
            </m:rPr>
            <w:rPr>
              <w:rFonts w:ascii="Cambria Math" w:hAnsi="Cambria Math" w:cs="Times New Roman"/>
            </w:rPr>
            <m:t>(</m:t>
          </m:r>
          <m:r>
            <m:rPr>
              <m:sty m:val="bi"/>
            </m:rPr>
            <w:rPr>
              <w:rFonts w:ascii="Cambria Math" w:hAnsi="Cambria Math" w:cs="Times New Roman"/>
            </w:rPr>
            <m:t>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0</m:t>
              </m:r>
            </m:sub>
          </m:sSub>
          <m:acc>
            <m:accPr>
              <m:ctrlPr>
                <w:rPr>
                  <w:rFonts w:ascii="Cambria Math" w:hAnsi="Cambria Math" w:cs="Times New Roman"/>
                </w:rPr>
              </m:ctrlPr>
            </m:accPr>
            <m:e>
              <m:r>
                <m:rPr>
                  <m:sty m:val="bi"/>
                </m:rPr>
                <w:rPr>
                  <w:rFonts w:ascii="Cambria Math" w:hAnsi="Cambria Math" w:cs="Times New Roman"/>
                </w:rPr>
                <m:t>p</m:t>
              </m:r>
            </m:e>
          </m:acc>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j</m:t>
              </m:r>
              <m:sSup>
                <m:sSupPr>
                  <m:ctrlPr>
                    <w:rPr>
                      <w:rFonts w:ascii="Cambria Math" w:hAnsi="Cambria Math" w:cs="Times New Roman"/>
                    </w:rPr>
                  </m:ctrlPr>
                </m:sSupPr>
                <m:e>
                  <m:r>
                    <m:rPr>
                      <m:sty m:val="bi"/>
                    </m:rPr>
                    <w:rPr>
                      <w:rFonts w:ascii="Cambria Math" w:hAnsi="Cambria Math" w:cs="Times New Roman"/>
                    </w:rPr>
                    <m:t>k</m:t>
                  </m:r>
                </m:e>
                <m:sup>
                  <m:r>
                    <m:rPr>
                      <m:sty m:val="p"/>
                    </m:rPr>
                    <w:rPr>
                      <w:rFonts w:ascii="Cambria Math" w:hAnsi="Cambria Math" w:cs="Times New Roman"/>
                    </w:rPr>
                    <m:t>inc</m:t>
                  </m:r>
                </m:sup>
              </m:sSup>
              <m:r>
                <m:rPr>
                  <m:sty m:val="p"/>
                </m:rPr>
                <w:rPr>
                  <w:rFonts w:ascii="Cambria Math" w:hAnsi="Cambria Math" w:cs="Times New Roman"/>
                </w:rPr>
                <m:t>⋅</m:t>
              </m:r>
              <m:r>
                <m:rPr>
                  <m:sty m:val="bi"/>
                </m:rPr>
                <w:rPr>
                  <w:rFonts w:ascii="Cambria Math" w:hAnsi="Cambria Math" w:cs="Times New Roman"/>
                </w:rPr>
                <m:t>r</m:t>
              </m:r>
            </m:sup>
          </m:sSup>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 xml:space="preserve">where </w:t>
      </w:r>
      <m:oMath>
        <m:acc>
          <m:accPr>
            <m:ctrlPr>
              <w:rPr>
                <w:rFonts w:ascii="Cambria Math" w:hAnsi="Cambria Math" w:cs="Times New Roman"/>
              </w:rPr>
            </m:ctrlPr>
          </m:accPr>
          <m:e>
            <m:r>
              <m:rPr>
                <m:sty m:val="bi"/>
              </m:rPr>
              <w:rPr>
                <w:rFonts w:ascii="Cambria Math" w:hAnsi="Cambria Math" w:cs="Times New Roman"/>
              </w:rPr>
              <m:t>p</m:t>
            </m:r>
          </m:e>
        </m:acc>
      </m:oMath>
      <w:r w:rsidRPr="00E63E74">
        <w:rPr>
          <w:rFonts w:ascii="Times New Roman" w:hAnsi="Times New Roman" w:cs="Times New Roman"/>
        </w:rPr>
        <w:t xml:space="preserve"> denotes the polarization vector. Periodicity reduces the infinite-array problem to one uni</w:t>
      </w:r>
      <w:r w:rsidRPr="00E63E74">
        <w:rPr>
          <w:rFonts w:ascii="Times New Roman" w:hAnsi="Times New Roman" w:cs="Times New Roman"/>
        </w:rPr>
        <w:t xml:space="preserve">t cell because any electromagnetic quantity </w:t>
      </w:r>
      <m:oMath>
        <m:r>
          <w:rPr>
            <w:rFonts w:ascii="Cambria Math" w:hAnsi="Cambria Math" w:cs="Times New Roman"/>
          </w:rPr>
          <m:t>F</m:t>
        </m:r>
      </m:oMath>
      <w:r w:rsidRPr="00E63E74">
        <w:rPr>
          <w:rFonts w:ascii="Times New Roman" w:hAnsi="Times New Roman" w:cs="Times New Roman"/>
        </w:rPr>
        <w:t xml:space="preserve"> satisfying the Floquet condition obeys</w:t>
      </w:r>
    </w:p>
    <w:p w:rsidR="0090136C" w:rsidRPr="00E63E74" w:rsidRDefault="00E63E74" w:rsidP="00E63E74">
      <w:pPr>
        <w:pStyle w:val="BodyText"/>
        <w:jc w:val="both"/>
        <w:rPr>
          <w:rFonts w:ascii="Times New Roman" w:hAnsi="Times New Roman" w:cs="Times New Roman"/>
        </w:rPr>
      </w:pPr>
      <m:oMathPara>
        <m:oMathParaPr>
          <m:jc m:val="center"/>
        </m:oMathParaPr>
        <m:oMath>
          <m:r>
            <w:rPr>
              <w:rFonts w:ascii="Cambria Math" w:hAnsi="Cambria Math" w:cs="Times New Roman"/>
            </w:rPr>
            <m:t>F</m:t>
          </m:r>
          <m:r>
            <m:rPr>
              <m:sty m:val="p"/>
            </m:rPr>
            <w:rPr>
              <w:rFonts w:ascii="Cambria Math" w:hAnsi="Cambria Math" w:cs="Times New Roman"/>
            </w:rPr>
            <m:t>(</m:t>
          </m:r>
          <m:r>
            <m:rPr>
              <m:sty m:val="bi"/>
            </m:rPr>
            <w:rPr>
              <w:rFonts w:ascii="Cambria Math" w:hAnsi="Cambria Math" w:cs="Times New Roman"/>
            </w:rPr>
            <m:t>ρ</m:t>
          </m:r>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R</m:t>
              </m:r>
            </m:e>
            <m:sub>
              <m:r>
                <w:rPr>
                  <w:rFonts w:ascii="Cambria Math" w:hAnsi="Cambria Math" w:cs="Times New Roman"/>
                </w:rPr>
                <m:t>mn</m:t>
              </m:r>
            </m:sub>
          </m:sSub>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m:rPr>
              <m:sty m:val="bi"/>
            </m:rPr>
            <w:rPr>
              <w:rFonts w:ascii="Cambria Math" w:hAnsi="Cambria Math" w:cs="Times New Roman"/>
            </w:rPr>
            <m:t>ρ</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j</m:t>
              </m:r>
              <m:sSubSup>
                <m:sSubSupPr>
                  <m:ctrlPr>
                    <w:rPr>
                      <w:rFonts w:ascii="Cambria Math" w:hAnsi="Cambria Math" w:cs="Times New Roman"/>
                    </w:rPr>
                  </m:ctrlPr>
                </m:sSubSupPr>
                <m:e>
                  <m:r>
                    <m:rPr>
                      <m:sty m:val="bi"/>
                    </m:rPr>
                    <w:rPr>
                      <w:rFonts w:ascii="Cambria Math" w:hAnsi="Cambria Math" w:cs="Times New Roman"/>
                    </w:rPr>
                    <m:t>k</m:t>
                  </m:r>
                </m:e>
                <m:sub>
                  <m:r>
                    <w:rPr>
                      <w:rFonts w:ascii="Cambria Math" w:hAnsi="Cambria Math" w:cs="Times New Roman"/>
                    </w:rPr>
                    <m:t>t</m:t>
                  </m:r>
                </m:sub>
                <m:sup>
                  <m:r>
                    <m:rPr>
                      <m:sty m:val="p"/>
                    </m:rPr>
                    <w:rPr>
                      <w:rFonts w:ascii="Cambria Math" w:hAnsi="Cambria Math" w:cs="Times New Roman"/>
                    </w:rPr>
                    <m:t>inc</m:t>
                  </m:r>
                </m:sup>
              </m:sSubSup>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R</m:t>
                  </m:r>
                </m:e>
                <m:sub>
                  <m:r>
                    <w:rPr>
                      <w:rFonts w:ascii="Cambria Math" w:hAnsi="Cambria Math" w:cs="Times New Roman"/>
                    </w:rPr>
                    <m:t>mn</m:t>
                  </m:r>
                </m:sub>
              </m:sSub>
            </m:sup>
          </m:sSup>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 xml:space="preserve">Periodic integral-equation formulations of this type have long been used for arrays of conducting or resistive patches and for more general periodic structures [2], [5]. </w:t>
      </w:r>
      <w:hyperlink r:id="rId17">
        <w:r w:rsidRPr="00E63E74">
          <w:rPr>
            <w:rStyle w:val="Hyperlink"/>
            <w:rFonts w:ascii="Times New Roman" w:hAnsi="Times New Roman" w:cs="Times New Roman"/>
          </w:rPr>
          <w:t>[7]</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For an electrical</w:t>
      </w:r>
      <w:r w:rsidRPr="00E63E74">
        <w:rPr>
          <w:rFonts w:ascii="Times New Roman" w:hAnsi="Times New Roman" w:cs="Times New Roman"/>
        </w:rPr>
        <w:t xml:space="preserve">ly thin perfectly conducting element occupying the surface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c</m:t>
            </m:r>
          </m:sub>
        </m:sSub>
      </m:oMath>
      <w:r w:rsidRPr="00E63E74">
        <w:rPr>
          <w:rFonts w:ascii="Times New Roman" w:hAnsi="Times New Roman" w:cs="Times New Roman"/>
        </w:rPr>
        <w:t xml:space="preserve"> inside the reference cell, the tangential electric-field boundary condition is</w:t>
      </w:r>
    </w:p>
    <w:p w:rsidR="0090136C" w:rsidRPr="00E63E74" w:rsidRDefault="00E63E74" w:rsidP="00E63E74">
      <w:pPr>
        <w:pStyle w:val="BodyText"/>
        <w:jc w:val="both"/>
        <w:rPr>
          <w:rFonts w:ascii="Times New Roman" w:hAnsi="Times New Roman" w:cs="Times New Roman"/>
        </w:rPr>
      </w:pPr>
      <m:oMathPara>
        <m:oMathParaPr>
          <m:jc m:val="center"/>
        </m:oMathParaPr>
        <m:oMath>
          <m:acc>
            <m:accPr>
              <m:ctrlPr>
                <w:rPr>
                  <w:rFonts w:ascii="Cambria Math" w:hAnsi="Cambria Math" w:cs="Times New Roman"/>
                </w:rPr>
              </m:ctrlPr>
            </m:accPr>
            <m:e>
              <m:r>
                <m:rPr>
                  <m:sty m:val="bi"/>
                </m:rPr>
                <w:rPr>
                  <w:rFonts w:ascii="Cambria Math" w:hAnsi="Cambria Math" w:cs="Times New Roman"/>
                </w:rPr>
                <m:t>n</m:t>
              </m:r>
            </m:e>
          </m:acc>
          <m:r>
            <m:rPr>
              <m:sty m:val="p"/>
            </m:rPr>
            <w:rPr>
              <w:rFonts w:ascii="Cambria Math" w:hAnsi="Cambria Math" w:cs="Times New Roman"/>
            </w:rPr>
            <m:t>×</m:t>
          </m:r>
          <m:d>
            <m:dPr>
              <m:begChr m:val="["/>
              <m:endChr m:val="]"/>
              <m:ctrlPr>
                <w:rPr>
                  <w:rFonts w:ascii="Cambria Math" w:hAnsi="Cambria Math" w:cs="Times New Roman"/>
                </w:rPr>
              </m:ctrlPr>
            </m:dPr>
            <m:e>
              <m:sSup>
                <m:sSupPr>
                  <m:ctrlPr>
                    <w:rPr>
                      <w:rFonts w:ascii="Cambria Math" w:hAnsi="Cambria Math" w:cs="Times New Roman"/>
                    </w:rPr>
                  </m:ctrlPr>
                </m:sSupPr>
                <m:e>
                  <m:r>
                    <m:rPr>
                      <m:sty m:val="bi"/>
                    </m:rPr>
                    <w:rPr>
                      <w:rFonts w:ascii="Cambria Math" w:hAnsi="Cambria Math" w:cs="Times New Roman"/>
                    </w:rPr>
                    <m:t>E</m:t>
                  </m:r>
                </m:e>
                <m:sup>
                  <m:r>
                    <m:rPr>
                      <m:sty m:val="p"/>
                    </m:rPr>
                    <w:rPr>
                      <w:rFonts w:ascii="Cambria Math" w:hAnsi="Cambria Math" w:cs="Times New Roman"/>
                    </w:rPr>
                    <m:t>inc</m:t>
                  </m:r>
                </m:sup>
              </m:sSup>
              <m:r>
                <m:rPr>
                  <m:sty m:val="p"/>
                </m:rPr>
                <w:rPr>
                  <w:rFonts w:ascii="Cambria Math" w:hAnsi="Cambria Math" w:cs="Times New Roman"/>
                </w:rPr>
                <m:t>(</m:t>
              </m:r>
              <m:r>
                <m:rPr>
                  <m:sty m:val="bi"/>
                </m:rPr>
                <w:rPr>
                  <w:rFonts w:ascii="Cambria Math" w:hAnsi="Cambria Math" w:cs="Times New Roman"/>
                </w:rPr>
                <m:t>r</m:t>
              </m:r>
              <m:r>
                <m:rPr>
                  <m:sty m:val="p"/>
                </m:rPr>
                <w:rPr>
                  <w:rFonts w:ascii="Cambria Math" w:hAnsi="Cambria Math" w:cs="Times New Roman"/>
                </w:rPr>
                <m:t>)+</m:t>
              </m:r>
              <m:sSup>
                <m:sSupPr>
                  <m:ctrlPr>
                    <w:rPr>
                      <w:rFonts w:ascii="Cambria Math" w:hAnsi="Cambria Math" w:cs="Times New Roman"/>
                    </w:rPr>
                  </m:ctrlPr>
                </m:sSupPr>
                <m:e>
                  <m:r>
                    <m:rPr>
                      <m:sty m:val="bi"/>
                    </m:rPr>
                    <w:rPr>
                      <w:rFonts w:ascii="Cambria Math" w:hAnsi="Cambria Math" w:cs="Times New Roman"/>
                    </w:rPr>
                    <m:t>E</m:t>
                  </m:r>
                </m:e>
                <m:sup>
                  <m:r>
                    <m:rPr>
                      <m:sty m:val="p"/>
                    </m:rPr>
                    <w:rPr>
                      <w:rFonts w:ascii="Cambria Math" w:hAnsi="Cambria Math" w:cs="Times New Roman"/>
                    </w:rPr>
                    <m:t>scat</m:t>
                  </m:r>
                </m:sup>
              </m:sSup>
              <m:r>
                <m:rPr>
                  <m:sty m:val="p"/>
                </m:rPr>
                <w:rPr>
                  <w:rFonts w:ascii="Cambria Math" w:hAnsi="Cambria Math" w:cs="Times New Roman"/>
                </w:rPr>
                <m:t>(</m:t>
              </m:r>
              <m:r>
                <m:rPr>
                  <m:sty m:val="bi"/>
                </m:rPr>
                <w:rPr>
                  <w:rFonts w:ascii="Cambria Math" w:hAnsi="Cambria Math" w:cs="Times New Roman"/>
                </w:rPr>
                <m:t>r</m:t>
              </m:r>
              <m:r>
                <m:rPr>
                  <m:sty m:val="p"/>
                </m:rPr>
                <w:rPr>
                  <w:rFonts w:ascii="Cambria Math" w:hAnsi="Cambria Math" w:cs="Times New Roman"/>
                </w:rPr>
                <m:t>)</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r>
            <m:rPr>
              <m:sty m:val="bi"/>
            </m:rPr>
            <w:rPr>
              <w:rFonts w:ascii="Cambria Math" w:hAnsi="Cambria Math" w:cs="Times New Roman"/>
            </w:rPr>
            <m:t>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c</m:t>
              </m:r>
            </m:sub>
          </m:sSub>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 xml:space="preserve">The scattered field is related to the induced surface current </w:t>
      </w:r>
      <m:oMath>
        <m:sSub>
          <m:sSubPr>
            <m:ctrlPr>
              <w:rPr>
                <w:rFonts w:ascii="Cambria Math" w:hAnsi="Cambria Math" w:cs="Times New Roman"/>
              </w:rPr>
            </m:ctrlPr>
          </m:sSubPr>
          <m:e>
            <m:r>
              <m:rPr>
                <m:sty m:val="bi"/>
              </m:rPr>
              <w:rPr>
                <w:rFonts w:ascii="Cambria Math" w:hAnsi="Cambria Math" w:cs="Times New Roman"/>
              </w:rPr>
              <m:t>J</m:t>
            </m:r>
          </m:e>
          <m:sub>
            <m:r>
              <w:rPr>
                <w:rFonts w:ascii="Cambria Math" w:hAnsi="Cambria Math" w:cs="Times New Roman"/>
              </w:rPr>
              <m:t>s</m:t>
            </m:r>
          </m:sub>
        </m:sSub>
      </m:oMath>
      <w:r w:rsidRPr="00E63E74">
        <w:rPr>
          <w:rFonts w:ascii="Times New Roman" w:hAnsi="Times New Roman" w:cs="Times New Roman"/>
        </w:rPr>
        <w:t xml:space="preserve"> through t</w:t>
      </w:r>
      <w:r w:rsidRPr="00E63E74">
        <w:rPr>
          <w:rFonts w:ascii="Times New Roman" w:hAnsi="Times New Roman" w:cs="Times New Roman"/>
        </w:rPr>
        <w:t>he periodic electric-field integral operator,</w:t>
      </w:r>
    </w:p>
    <w:p w:rsidR="0090136C" w:rsidRPr="00E63E74" w:rsidRDefault="00E63E74" w:rsidP="00E63E74">
      <w:pPr>
        <w:pStyle w:val="BodyText"/>
        <w:jc w:val="both"/>
        <w:rPr>
          <w:rFonts w:ascii="Times New Roman" w:hAnsi="Times New Roman" w:cs="Times New Roman"/>
        </w:rPr>
      </w:pPr>
      <m:oMathPara>
        <m:oMathParaPr>
          <m:jc m:val="center"/>
        </m:oMathParaPr>
        <m:oMath>
          <m:sSup>
            <m:sSupPr>
              <m:ctrlPr>
                <w:rPr>
                  <w:rFonts w:ascii="Cambria Math" w:hAnsi="Cambria Math" w:cs="Times New Roman"/>
                </w:rPr>
              </m:ctrlPr>
            </m:sSupPr>
            <m:e>
              <m:r>
                <m:rPr>
                  <m:sty m:val="bi"/>
                </m:rPr>
                <w:rPr>
                  <w:rFonts w:ascii="Cambria Math" w:hAnsi="Cambria Math" w:cs="Times New Roman"/>
                </w:rPr>
                <m:t>E</m:t>
              </m:r>
            </m:e>
            <m:sup>
              <m:r>
                <m:rPr>
                  <m:sty m:val="p"/>
                </m:rPr>
                <w:rPr>
                  <w:rFonts w:ascii="Cambria Math" w:hAnsi="Cambria Math" w:cs="Times New Roman"/>
                </w:rPr>
                <m:t>scat</m:t>
              </m:r>
            </m:sup>
          </m:sSup>
          <m:r>
            <m:rPr>
              <m:sty m:val="p"/>
            </m:rPr>
            <w:rPr>
              <w:rFonts w:ascii="Cambria Math" w:hAnsi="Cambria Math" w:cs="Times New Roman"/>
            </w:rPr>
            <m:t>=</m:t>
          </m:r>
          <m:sSup>
            <m:sSupPr>
              <m:ctrlPr>
                <w:rPr>
                  <w:rFonts w:ascii="Cambria Math" w:hAnsi="Cambria Math" w:cs="Times New Roman"/>
                </w:rPr>
              </m:ctrlPr>
            </m:sSupPr>
            <m:e>
              <m:r>
                <m:rPr>
                  <m:scr m:val="script"/>
                  <m:sty m:val="p"/>
                </m:rPr>
                <w:rPr>
                  <w:rFonts w:ascii="Cambria Math" w:hAnsi="Cambria Math" w:cs="Times New Roman"/>
                </w:rPr>
                <m:t>L</m:t>
              </m:r>
            </m:e>
            <m:sup>
              <m:r>
                <m:rPr>
                  <m:sty m:val="p"/>
                </m:rPr>
                <w:rPr>
                  <w:rFonts w:ascii="Cambria Math" w:hAnsi="Cambria Math" w:cs="Times New Roman"/>
                </w:rPr>
                <m:t>per</m:t>
              </m:r>
            </m:sup>
          </m:sSup>
          <m:d>
            <m:dPr>
              <m:begChr m:val="{"/>
              <m:endChr m:val="}"/>
              <m:ctrlPr>
                <w:rPr>
                  <w:rFonts w:ascii="Cambria Math" w:hAnsi="Cambria Math" w:cs="Times New Roman"/>
                </w:rPr>
              </m:ctrlPr>
            </m:dPr>
            <m:e>
              <m:sSub>
                <m:sSubPr>
                  <m:ctrlPr>
                    <w:rPr>
                      <w:rFonts w:ascii="Cambria Math" w:hAnsi="Cambria Math" w:cs="Times New Roman"/>
                    </w:rPr>
                  </m:ctrlPr>
                </m:sSubPr>
                <m:e>
                  <m:r>
                    <m:rPr>
                      <m:sty m:val="bi"/>
                    </m:rPr>
                    <w:rPr>
                      <w:rFonts w:ascii="Cambria Math" w:hAnsi="Cambria Math" w:cs="Times New Roman"/>
                    </w:rPr>
                    <m:t>J</m:t>
                  </m:r>
                </m:e>
                <m:sub>
                  <m:r>
                    <w:rPr>
                      <w:rFonts w:ascii="Cambria Math" w:hAnsi="Cambria Math" w:cs="Times New Roman"/>
                    </w:rPr>
                    <m:t>s</m:t>
                  </m:r>
                </m:sub>
              </m:sSub>
            </m:e>
          </m:d>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 xml:space="preserve">For the adopted </w:t>
      </w:r>
      <m:oMath>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jωt</m:t>
            </m:r>
          </m:sup>
        </m:sSup>
      </m:oMath>
      <w:r w:rsidRPr="00E63E74">
        <w:rPr>
          <w:rFonts w:ascii="Times New Roman" w:hAnsi="Times New Roman" w:cs="Times New Roman"/>
        </w:rPr>
        <w:t xml:space="preserve"> convention, a representative mixed-potential form is</w:t>
      </w:r>
    </w:p>
    <w:p w:rsidR="0090136C" w:rsidRPr="00E63E74" w:rsidRDefault="00E63E74" w:rsidP="00E63E74">
      <w:pPr>
        <w:pStyle w:val="BodyText"/>
        <w:jc w:val="both"/>
        <w:rPr>
          <w:rFonts w:ascii="Times New Roman" w:hAnsi="Times New Roman" w:cs="Times New Roman"/>
        </w:rPr>
      </w:pPr>
      <m:oMathPara>
        <m:oMathParaPr>
          <m:jc m:val="center"/>
        </m:oMathParaPr>
        <m:oMath>
          <m:sSup>
            <m:sSupPr>
              <m:ctrlPr>
                <w:rPr>
                  <w:rFonts w:ascii="Cambria Math" w:hAnsi="Cambria Math" w:cs="Times New Roman"/>
                </w:rPr>
              </m:ctrlPr>
            </m:sSupPr>
            <m:e>
              <m:r>
                <m:rPr>
                  <m:scr m:val="script"/>
                  <m:sty m:val="p"/>
                </m:rPr>
                <w:rPr>
                  <w:rFonts w:ascii="Cambria Math" w:hAnsi="Cambria Math" w:cs="Times New Roman"/>
                </w:rPr>
                <m:t>L</m:t>
              </m:r>
            </m:e>
            <m:sup>
              <m:r>
                <m:rPr>
                  <m:sty m:val="p"/>
                </m:rPr>
                <w:rPr>
                  <w:rFonts w:ascii="Cambria Math" w:hAnsi="Cambria Math" w:cs="Times New Roman"/>
                </w:rPr>
                <m:t>per</m:t>
              </m:r>
            </m:sup>
          </m:sSup>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J</m:t>
              </m:r>
            </m:e>
            <m:sub>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jωμ</m:t>
          </m:r>
          <m:nary>
            <m:naryPr>
              <m:limLoc m:val="subSup"/>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c</m:t>
                  </m:r>
                </m:sub>
              </m:sSub>
            </m:sub>
            <m:sup>
              <m:r>
                <w:rPr>
                  <w:rFonts w:ascii="Cambria Math" w:hAnsi="Cambria Math" w:cs="Times New Roman"/>
                </w:rPr>
                <m:t>​</m:t>
              </m:r>
            </m:sup>
            <m:e>
              <m:sSubSup>
                <m:sSubSupPr>
                  <m:ctrlPr>
                    <w:rPr>
                      <w:rFonts w:ascii="Cambria Math" w:hAnsi="Cambria Math" w:cs="Times New Roman"/>
                    </w:rPr>
                  </m:ctrlPr>
                </m:sSubSupPr>
                <m:e>
                  <m:r>
                    <w:rPr>
                      <w:rFonts w:ascii="Cambria Math" w:hAnsi="Cambria Math" w:cs="Times New Roman"/>
                    </w:rPr>
                    <m:t>G</m:t>
                  </m:r>
                </m:e>
                <m:sub>
                  <m:r>
                    <w:rPr>
                      <w:rFonts w:ascii="Cambria Math" w:hAnsi="Cambria Math" w:cs="Times New Roman"/>
                    </w:rPr>
                    <m:t>A</m:t>
                  </m:r>
                </m:sub>
                <m:sup>
                  <m:r>
                    <m:rPr>
                      <m:sty m:val="p"/>
                    </m:rPr>
                    <w:rPr>
                      <w:rFonts w:ascii="Cambria Math" w:hAnsi="Cambria Math" w:cs="Times New Roman"/>
                    </w:rPr>
                    <m:t>per</m:t>
                  </m:r>
                </m:sup>
              </m:sSubSup>
            </m:e>
          </m:nary>
          <m:r>
            <m:rPr>
              <m:sty m:val="p"/>
            </m:rPr>
            <w:rPr>
              <w:rFonts w:ascii="Cambria Math" w:hAnsi="Cambria Math" w:cs="Times New Roman"/>
            </w:rPr>
            <m:t>(</m:t>
          </m:r>
          <m:r>
            <m:rPr>
              <m:sty m:val="bi"/>
            </m:rPr>
            <w:rPr>
              <w:rFonts w:ascii="Cambria Math" w:hAnsi="Cambria Math" w:cs="Times New Roman"/>
            </w:rPr>
            <m:t>r</m:t>
          </m:r>
          <m:r>
            <m:rPr>
              <m:sty m:val="p"/>
            </m:rPr>
            <w:rPr>
              <w:rFonts w:ascii="Cambria Math" w:hAnsi="Cambria Math" w:cs="Times New Roman"/>
            </w:rPr>
            <m:t>,</m:t>
          </m:r>
          <m:sSup>
            <m:sSupPr>
              <m:ctrlPr>
                <w:rPr>
                  <w:rFonts w:ascii="Cambria Math" w:hAnsi="Cambria Math" w:cs="Times New Roman"/>
                </w:rPr>
              </m:ctrlPr>
            </m:sSupPr>
            <m:e>
              <m:r>
                <m:rPr>
                  <m:sty m:val="bi"/>
                </m:rPr>
                <w:rPr>
                  <w:rFonts w:ascii="Cambria Math" w:hAnsi="Cambria Math" w:cs="Times New Roman"/>
                </w:rPr>
                <m:t>r</m:t>
              </m:r>
            </m:e>
            <m:sup>
              <m:r>
                <m:rPr>
                  <m:sty m:val="p"/>
                </m:rPr>
                <w:rPr>
                  <w:rFonts w:ascii="Cambria Math" w:hAnsi="Cambria Math" w:cs="Times New Roman"/>
                </w:rPr>
                <m:t>'</m:t>
              </m:r>
            </m:sup>
          </m:sSup>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J</m:t>
              </m:r>
            </m:e>
            <m:sub>
              <m:r>
                <w:rPr>
                  <w:rFonts w:ascii="Cambria Math" w:hAnsi="Cambria Math" w:cs="Times New Roman"/>
                </w:rPr>
                <m:t>s</m:t>
              </m:r>
            </m:sub>
          </m:sSub>
          <m:r>
            <m:rPr>
              <m:sty m:val="p"/>
            </m:rPr>
            <w:rPr>
              <w:rFonts w:ascii="Cambria Math" w:hAnsi="Cambria Math" w:cs="Times New Roman"/>
            </w:rPr>
            <m:t>(</m:t>
          </m:r>
          <m:sSup>
            <m:sSupPr>
              <m:ctrlPr>
                <w:rPr>
                  <w:rFonts w:ascii="Cambria Math" w:hAnsi="Cambria Math" w:cs="Times New Roman"/>
                </w:rPr>
              </m:ctrlPr>
            </m:sSupPr>
            <m:e>
              <m:r>
                <m:rPr>
                  <m:sty m:val="bi"/>
                </m:rPr>
                <w:rPr>
                  <w:rFonts w:ascii="Cambria Math" w:hAnsi="Cambria Math" w:cs="Times New Roman"/>
                </w:rPr>
                <m:t>r</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 </m:t>
          </m:r>
          <m:r>
            <w:rPr>
              <w:rFonts w:ascii="Cambria Math" w:hAnsi="Cambria Math" w:cs="Times New Roman"/>
            </w:rPr>
            <m:t>d</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jωϵ</m:t>
              </m:r>
            </m:den>
          </m:f>
          <m:r>
            <m:rPr>
              <m:sty m:val="p"/>
            </m:rPr>
            <w:rPr>
              <w:rFonts w:ascii="Cambria Math" w:hAnsi="Cambria Math" w:cs="Times New Roman"/>
            </w:rPr>
            <m:t>∇</m:t>
          </m:r>
          <m:nary>
            <m:naryPr>
              <m:limLoc m:val="subSup"/>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c</m:t>
                  </m:r>
                </m:sub>
              </m:sSub>
            </m:sub>
            <m:sup>
              <m:r>
                <w:rPr>
                  <w:rFonts w:ascii="Cambria Math" w:hAnsi="Cambria Math" w:cs="Times New Roman"/>
                </w:rPr>
                <m:t>​</m:t>
              </m:r>
            </m:sup>
            <m:e>
              <m:sSubSup>
                <m:sSubSupPr>
                  <m:ctrlPr>
                    <w:rPr>
                      <w:rFonts w:ascii="Cambria Math" w:hAnsi="Cambria Math" w:cs="Times New Roman"/>
                    </w:rPr>
                  </m:ctrlPr>
                </m:sSubSupPr>
                <m:e>
                  <m:r>
                    <w:rPr>
                      <w:rFonts w:ascii="Cambria Math" w:hAnsi="Cambria Math" w:cs="Times New Roman"/>
                    </w:rPr>
                    <m:t>G</m:t>
                  </m:r>
                </m:e>
                <m:sub>
                  <m:r>
                    <w:rPr>
                      <w:rFonts w:ascii="Cambria Math" w:hAnsi="Cambria Math" w:cs="Times New Roman"/>
                    </w:rPr>
                    <m:t>ϕ</m:t>
                  </m:r>
                </m:sub>
                <m:sup>
                  <m:r>
                    <m:rPr>
                      <m:sty m:val="p"/>
                    </m:rPr>
                    <w:rPr>
                      <w:rFonts w:ascii="Cambria Math" w:hAnsi="Cambria Math" w:cs="Times New Roman"/>
                    </w:rPr>
                    <m:t>per</m:t>
                  </m:r>
                </m:sup>
              </m:sSubSup>
            </m:e>
          </m:nary>
          <m:r>
            <m:rPr>
              <m:sty m:val="p"/>
            </m:rPr>
            <w:rPr>
              <w:rFonts w:ascii="Cambria Math" w:hAnsi="Cambria Math" w:cs="Times New Roman"/>
            </w:rPr>
            <m:t>(</m:t>
          </m:r>
          <m:r>
            <m:rPr>
              <m:sty m:val="bi"/>
            </m:rPr>
            <w:rPr>
              <w:rFonts w:ascii="Cambria Math" w:hAnsi="Cambria Math" w:cs="Times New Roman"/>
            </w:rPr>
            <m:t>r</m:t>
          </m:r>
          <m:r>
            <m:rPr>
              <m:sty m:val="p"/>
            </m:rPr>
            <w:rPr>
              <w:rFonts w:ascii="Cambria Math" w:hAnsi="Cambria Math" w:cs="Times New Roman"/>
            </w:rPr>
            <m:t>,</m:t>
          </m:r>
          <m:sSup>
            <m:sSupPr>
              <m:ctrlPr>
                <w:rPr>
                  <w:rFonts w:ascii="Cambria Math" w:hAnsi="Cambria Math" w:cs="Times New Roman"/>
                </w:rPr>
              </m:ctrlPr>
            </m:sSupPr>
            <m:e>
              <m:r>
                <m:rPr>
                  <m:sty m:val="bi"/>
                </m:rPr>
                <w:rPr>
                  <w:rFonts w:ascii="Cambria Math" w:hAnsi="Cambria Math" w:cs="Times New Roman"/>
                </w:rPr>
                <m:t>r</m:t>
              </m:r>
            </m:e>
            <m:sup>
              <m:r>
                <m:rPr>
                  <m:sty m:val="p"/>
                </m:rPr>
                <w:rPr>
                  <w:rFonts w:ascii="Cambria Math" w:hAnsi="Cambria Math" w:cs="Times New Roman"/>
                </w:rPr>
                <m:t>'</m:t>
              </m:r>
            </m:sup>
          </m:sSup>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s</m:t>
              </m:r>
            </m:sub>
            <m:sup>
              <m:r>
                <m:rPr>
                  <m:sty m:val="p"/>
                </m:rPr>
                <w:rPr>
                  <w:rFonts w:ascii="Cambria Math" w:hAnsi="Cambria Math" w:cs="Times New Roman"/>
                </w:rPr>
                <m:t>'</m:t>
              </m:r>
            </m:sup>
          </m:sSubSup>
          <m: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J</m:t>
              </m:r>
            </m:e>
            <m:sub>
              <m:r>
                <w:rPr>
                  <w:rFonts w:ascii="Cambria Math" w:hAnsi="Cambria Math" w:cs="Times New Roman"/>
                </w:rPr>
                <m:t>s</m:t>
              </m:r>
            </m:sub>
          </m:sSub>
          <m:r>
            <m:rPr>
              <m:sty m:val="p"/>
            </m:rPr>
            <w:rPr>
              <w:rFonts w:ascii="Cambria Math" w:hAnsi="Cambria Math" w:cs="Times New Roman"/>
            </w:rPr>
            <m:t>(</m:t>
          </m:r>
          <m:sSup>
            <m:sSupPr>
              <m:ctrlPr>
                <w:rPr>
                  <w:rFonts w:ascii="Cambria Math" w:hAnsi="Cambria Math" w:cs="Times New Roman"/>
                </w:rPr>
              </m:ctrlPr>
            </m:sSupPr>
            <m:e>
              <m:r>
                <m:rPr>
                  <m:sty m:val="bi"/>
                </m:rPr>
                <w:rPr>
                  <w:rFonts w:ascii="Cambria Math" w:hAnsi="Cambria Math" w:cs="Times New Roman"/>
                </w:rPr>
                <m:t>r</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 </m:t>
          </m:r>
          <m:r>
            <w:rPr>
              <w:rFonts w:ascii="Cambria Math" w:hAnsi="Cambria Math" w:cs="Times New Roman"/>
            </w:rPr>
            <m:t>d</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lastRenderedPageBreak/>
        <w:t>with the s</w:t>
      </w:r>
      <w:r w:rsidRPr="00E63E74">
        <w:rPr>
          <w:rFonts w:ascii="Times New Roman" w:hAnsi="Times New Roman" w:cs="Times New Roman"/>
        </w:rPr>
        <w:t>calar expression generalized to dyadic and layered-medium Green functions as required by the substrate. For printed structures on multilayer substrates, the appropriate layered Green function is essential; replacing it by a free-space kernel would omit sub</w:t>
      </w:r>
      <w:r w:rsidRPr="00E63E74">
        <w:rPr>
          <w:rFonts w:ascii="Times New Roman" w:hAnsi="Times New Roman" w:cs="Times New Roman"/>
        </w:rPr>
        <w:t xml:space="preserve">strate-mediated interactions. Michalski and Mosig provide a foundational treatment of multilayer Green functions in integral-equation formulations [4]. </w:t>
      </w:r>
      <w:hyperlink r:id="rId18">
        <w:r w:rsidRPr="00E63E74">
          <w:rPr>
            <w:rStyle w:val="Hyperlink"/>
            <w:rFonts w:ascii="Times New Roman" w:hAnsi="Times New Roman" w:cs="Times New Roman"/>
          </w:rPr>
          <w:t>[12]</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The periodic Green function may be </w:t>
      </w:r>
      <w:r w:rsidRPr="00E63E74">
        <w:rPr>
          <w:rFonts w:ascii="Times New Roman" w:hAnsi="Times New Roman" w:cs="Times New Roman"/>
        </w:rPr>
        <w:t>written conceptually as a phase-weighted lattice sum,</w:t>
      </w:r>
    </w:p>
    <w:p w:rsidR="0090136C" w:rsidRPr="00E63E74" w:rsidRDefault="00E63E74" w:rsidP="00E63E74">
      <w:pPr>
        <w:pStyle w:val="BodyText"/>
        <w:jc w:val="both"/>
        <w:rPr>
          <w:rFonts w:ascii="Times New Roman" w:hAnsi="Times New Roman" w:cs="Times New Roman"/>
        </w:rPr>
      </w:pPr>
      <m:oMathPara>
        <m:oMathParaPr>
          <m:jc m:val="center"/>
        </m:oMathParaPr>
        <m:oMath>
          <m:sSup>
            <m:sSupPr>
              <m:ctrlPr>
                <w:rPr>
                  <w:rFonts w:ascii="Cambria Math" w:hAnsi="Cambria Math" w:cs="Times New Roman"/>
                </w:rPr>
              </m:ctrlPr>
            </m:sSupPr>
            <m:e>
              <m:r>
                <w:rPr>
                  <w:rFonts w:ascii="Cambria Math" w:hAnsi="Cambria Math" w:cs="Times New Roman"/>
                </w:rPr>
                <m:t>G</m:t>
              </m:r>
            </m:e>
            <m:sup>
              <m:r>
                <m:rPr>
                  <m:sty m:val="p"/>
                </m:rPr>
                <w:rPr>
                  <w:rFonts w:ascii="Cambria Math" w:hAnsi="Cambria Math" w:cs="Times New Roman"/>
                </w:rPr>
                <m:t>per</m:t>
              </m:r>
            </m:sup>
          </m:sSup>
          <m:r>
            <m:rPr>
              <m:sty m:val="p"/>
            </m:rPr>
            <w:rPr>
              <w:rFonts w:ascii="Cambria Math" w:hAnsi="Cambria Math" w:cs="Times New Roman"/>
            </w:rPr>
            <m:t>(</m:t>
          </m:r>
          <m:r>
            <m:rPr>
              <m:sty m:val="bi"/>
            </m:rPr>
            <w:rPr>
              <w:rFonts w:ascii="Cambria Math" w:hAnsi="Cambria Math" w:cs="Times New Roman"/>
            </w:rPr>
            <m:t>r</m:t>
          </m:r>
          <m:r>
            <m:rPr>
              <m:sty m:val="p"/>
            </m:rPr>
            <w:rPr>
              <w:rFonts w:ascii="Cambria Math" w:hAnsi="Cambria Math" w:cs="Times New Roman"/>
            </w:rPr>
            <m:t>,</m:t>
          </m:r>
          <m:sSup>
            <m:sSupPr>
              <m:ctrlPr>
                <w:rPr>
                  <w:rFonts w:ascii="Cambria Math" w:hAnsi="Cambria Math" w:cs="Times New Roman"/>
                </w:rPr>
              </m:ctrlPr>
            </m:sSupPr>
            <m:e>
              <m:r>
                <m:rPr>
                  <m:sty m:val="bi"/>
                </m:rPr>
                <w:rPr>
                  <w:rFonts w:ascii="Cambria Math" w:hAnsi="Cambria Math" w:cs="Times New Roman"/>
                </w:rPr>
                <m:t>r</m:t>
              </m:r>
            </m:e>
            <m:sup>
              <m:r>
                <m:rPr>
                  <m:sty m:val="p"/>
                </m:rPr>
                <w:rPr>
                  <w:rFonts w:ascii="Cambria Math" w:hAnsi="Cambria Math" w:cs="Times New Roman"/>
                </w:rPr>
                <m:t>'</m:t>
              </m:r>
            </m:sup>
          </m:sSup>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m:t>
              </m:r>
            </m:sub>
            <m:sup>
              <m:r>
                <m:rPr>
                  <m:sty m:val="p"/>
                </m:rPr>
                <w:rPr>
                  <w:rFonts w:ascii="Cambria Math" w:hAnsi="Cambria Math" w:cs="Times New Roman"/>
                </w:rPr>
                <m:t>∞</m:t>
              </m:r>
            </m:sup>
            <m:e>
              <m:nary>
                <m:naryPr>
                  <m:chr m:val="∑"/>
                  <m:limLoc m:val="undOvr"/>
                  <m:ctrlPr>
                    <w:rPr>
                      <w:rFonts w:ascii="Cambria Math" w:hAnsi="Cambria Math" w:cs="Times New Roman"/>
                    </w:rPr>
                  </m:ctrlPr>
                </m:naryPr>
                <m:sub>
                  <m:r>
                    <w:rPr>
                      <w:rFonts w:ascii="Cambria Math" w:hAnsi="Cambria Math" w:cs="Times New Roman"/>
                    </w:rPr>
                    <m:t>n</m:t>
                  </m:r>
                  <m:r>
                    <m:rPr>
                      <m:sty m:val="p"/>
                    </m:rPr>
                    <w:rPr>
                      <w:rFonts w:ascii="Cambria Math" w:hAnsi="Cambria Math" w:cs="Times New Roman"/>
                    </w:rPr>
                    <m:t>=-∞</m:t>
                  </m:r>
                </m:sub>
                <m:sup>
                  <m:r>
                    <m:rPr>
                      <m:sty m:val="p"/>
                    </m:rPr>
                    <w:rPr>
                      <w:rFonts w:ascii="Cambria Math" w:hAnsi="Cambria Math" w:cs="Times New Roman"/>
                    </w:rPr>
                    <m:t>∞</m:t>
                  </m:r>
                </m:sup>
                <m:e>
                  <m:r>
                    <w:rPr>
                      <w:rFonts w:ascii="Cambria Math" w:hAnsi="Cambria Math" w:cs="Times New Roman"/>
                    </w:rPr>
                    <m:t>G</m:t>
                  </m:r>
                </m:e>
              </m:nary>
            </m:e>
          </m:nary>
          <m:r>
            <w:rPr>
              <w:rFonts w:ascii="Cambria Math" w:hAnsi="Cambria Math" w:cs="Times New Roman"/>
            </w:rPr>
            <m:t>​</m:t>
          </m:r>
          <m:d>
            <m:dPr>
              <m:ctrlPr>
                <w:rPr>
                  <w:rFonts w:ascii="Cambria Math" w:hAnsi="Cambria Math" w:cs="Times New Roman"/>
                </w:rPr>
              </m:ctrlPr>
            </m:dPr>
            <m:e>
              <m:r>
                <m:rPr>
                  <m:sty m:val="bi"/>
                </m:rPr>
                <w:rPr>
                  <w:rFonts w:ascii="Cambria Math" w:hAnsi="Cambria Math" w:cs="Times New Roman"/>
                </w:rPr>
                <m:t>r</m:t>
              </m:r>
              <m:r>
                <m:rPr>
                  <m:sty m:val="p"/>
                </m:rPr>
                <w:rPr>
                  <w:rFonts w:ascii="Cambria Math" w:hAnsi="Cambria Math" w:cs="Times New Roman"/>
                </w:rPr>
                <m:t>,</m:t>
              </m:r>
              <m:sSup>
                <m:sSupPr>
                  <m:ctrlPr>
                    <w:rPr>
                      <w:rFonts w:ascii="Cambria Math" w:hAnsi="Cambria Math" w:cs="Times New Roman"/>
                    </w:rPr>
                  </m:ctrlPr>
                </m:sSupPr>
                <m:e>
                  <m:r>
                    <m:rPr>
                      <m:sty m:val="bi"/>
                    </m:rPr>
                    <w:rPr>
                      <w:rFonts w:ascii="Cambria Math" w:hAnsi="Cambria Math" w:cs="Times New Roman"/>
                    </w:rPr>
                    <m:t>r</m:t>
                  </m:r>
                </m:e>
                <m:sup>
                  <m:r>
                    <m:rPr>
                      <m:sty m:val="p"/>
                    </m:rPr>
                    <w:rPr>
                      <w:rFonts w:ascii="Cambria Math" w:hAnsi="Cambria Math" w:cs="Times New Roman"/>
                    </w:rPr>
                    <m:t>'</m:t>
                  </m:r>
                </m:sup>
              </m:sSup>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R</m:t>
                  </m:r>
                </m:e>
                <m:sub>
                  <m:r>
                    <w:rPr>
                      <w:rFonts w:ascii="Cambria Math" w:hAnsi="Cambria Math" w:cs="Times New Roman"/>
                    </w:rPr>
                    <m:t>mn</m:t>
                  </m:r>
                </m:sub>
              </m:sSub>
            </m:e>
          </m:d>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j</m:t>
              </m:r>
              <m:sSubSup>
                <m:sSubSupPr>
                  <m:ctrlPr>
                    <w:rPr>
                      <w:rFonts w:ascii="Cambria Math" w:hAnsi="Cambria Math" w:cs="Times New Roman"/>
                    </w:rPr>
                  </m:ctrlPr>
                </m:sSubSupPr>
                <m:e>
                  <m:r>
                    <m:rPr>
                      <m:sty m:val="bi"/>
                    </m:rPr>
                    <w:rPr>
                      <w:rFonts w:ascii="Cambria Math" w:hAnsi="Cambria Math" w:cs="Times New Roman"/>
                    </w:rPr>
                    <m:t>k</m:t>
                  </m:r>
                </m:e>
                <m:sub>
                  <m:r>
                    <w:rPr>
                      <w:rFonts w:ascii="Cambria Math" w:hAnsi="Cambria Math" w:cs="Times New Roman"/>
                    </w:rPr>
                    <m:t>t</m:t>
                  </m:r>
                </m:sub>
                <m:sup>
                  <m:r>
                    <m:rPr>
                      <m:sty m:val="p"/>
                    </m:rPr>
                    <w:rPr>
                      <w:rFonts w:ascii="Cambria Math" w:hAnsi="Cambria Math" w:cs="Times New Roman"/>
                    </w:rPr>
                    <m:t>inc</m:t>
                  </m:r>
                </m:sup>
              </m:sSubSup>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R</m:t>
                  </m:r>
                </m:e>
                <m:sub>
                  <m:r>
                    <w:rPr>
                      <w:rFonts w:ascii="Cambria Math" w:hAnsi="Cambria Math" w:cs="Times New Roman"/>
                    </w:rPr>
                    <m:t>mn</m:t>
                  </m:r>
                </m:sub>
              </m:sSub>
            </m:sup>
          </m:sSup>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 xml:space="preserve">A direct evaluation of such lattice sums can converge slowly, which has motivated convergence-acceleration, Ewald, spectral-domain, and mixed spatial/spectral approaches. Singh </w:t>
      </w:r>
      <w:r w:rsidRPr="00E63E74">
        <w:rPr>
          <w:rFonts w:ascii="Times New Roman" w:hAnsi="Times New Roman" w:cs="Times New Roman"/>
          <w:i/>
          <w:iCs/>
        </w:rPr>
        <w:t>et al.</w:t>
      </w:r>
      <w:r w:rsidRPr="00E63E74">
        <w:rPr>
          <w:rFonts w:ascii="Times New Roman" w:hAnsi="Times New Roman" w:cs="Times New Roman"/>
        </w:rPr>
        <w:t xml:space="preserve"> specifically treated acceleration of series representing the free-space </w:t>
      </w:r>
      <w:r w:rsidRPr="00E63E74">
        <w:rPr>
          <w:rFonts w:ascii="Times New Roman" w:hAnsi="Times New Roman" w:cs="Times New Roman"/>
        </w:rPr>
        <w:t xml:space="preserve">periodic Green function [3], while recent periodic-MoM work by Dessy </w:t>
      </w:r>
      <w:r w:rsidRPr="00E63E74">
        <w:rPr>
          <w:rFonts w:ascii="Times New Roman" w:hAnsi="Times New Roman" w:cs="Times New Roman"/>
          <w:i/>
          <w:iCs/>
        </w:rPr>
        <w:t>et al.</w:t>
      </w:r>
      <w:r w:rsidRPr="00E63E74">
        <w:rPr>
          <w:rFonts w:ascii="Times New Roman" w:hAnsi="Times New Roman" w:cs="Times New Roman"/>
        </w:rPr>
        <w:t xml:space="preserve"> combines spectral- and spatial-domain ideas for efficient metasurface analysis [6]. </w:t>
      </w:r>
      <w:hyperlink r:id="rId19">
        <w:r w:rsidRPr="00E63E74">
          <w:rPr>
            <w:rStyle w:val="Hyperlink"/>
            <w:rFonts w:ascii="Times New Roman" w:hAnsi="Times New Roman" w:cs="Times New Roman"/>
          </w:rPr>
          <w:t>[13]</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The surface current is expan</w:t>
      </w:r>
      <w:r w:rsidRPr="00E63E74">
        <w:rPr>
          <w:rFonts w:ascii="Times New Roman" w:hAnsi="Times New Roman" w:cs="Times New Roman"/>
        </w:rPr>
        <w:t>ded in a finite set of basis functions,</w:t>
      </w:r>
    </w:p>
    <w:p w:rsidR="0090136C" w:rsidRPr="00E63E74" w:rsidRDefault="00E63E74" w:rsidP="00E63E74">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i"/>
                </m:rPr>
                <w:rPr>
                  <w:rFonts w:ascii="Cambria Math" w:hAnsi="Cambria Math" w:cs="Times New Roman"/>
                </w:rPr>
                <m:t>J</m:t>
              </m:r>
            </m:e>
            <m:sub>
              <m:r>
                <w:rPr>
                  <w:rFonts w:ascii="Cambria Math" w:hAnsi="Cambria Math" w:cs="Times New Roman"/>
                </w:rPr>
                <m:t>s</m:t>
              </m:r>
            </m:sub>
          </m:sSub>
          <m:r>
            <m:rPr>
              <m:sty m:val="p"/>
            </m:rPr>
            <w:rPr>
              <w:rFonts w:ascii="Cambria Math" w:hAnsi="Cambria Math" w:cs="Times New Roman"/>
            </w:rPr>
            <m:t>(</m:t>
          </m:r>
          <m:r>
            <m:rPr>
              <m:sty m:val="bi"/>
            </m:rPr>
            <w:rPr>
              <w:rFonts w:ascii="Cambria Math" w:hAnsi="Cambria Math" w:cs="Times New Roman"/>
            </w:rPr>
            <m:t>r</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n</m:t>
                  </m:r>
                </m:sub>
              </m:sSub>
            </m:e>
          </m:nary>
          <m:sSub>
            <m:sSubPr>
              <m:ctrlPr>
                <w:rPr>
                  <w:rFonts w:ascii="Cambria Math" w:hAnsi="Cambria Math" w:cs="Times New Roman"/>
                </w:rPr>
              </m:ctrlPr>
            </m:sSubPr>
            <m:e>
              <m:r>
                <m:rPr>
                  <m:sty m:val="bi"/>
                </m:rPr>
                <w:rPr>
                  <w:rFonts w:ascii="Cambria Math" w:hAnsi="Cambria Math" w:cs="Times New Roman"/>
                </w:rPr>
                <m:t>f</m:t>
              </m:r>
            </m:e>
            <m:sub>
              <m:r>
                <w:rPr>
                  <w:rFonts w:ascii="Cambria Math" w:hAnsi="Cambria Math" w:cs="Times New Roman"/>
                </w:rPr>
                <m:t>n</m:t>
              </m:r>
            </m:sub>
          </m:sSub>
          <m:r>
            <m:rPr>
              <m:sty m:val="p"/>
            </m:rPr>
            <w:rPr>
              <w:rFonts w:ascii="Cambria Math" w:hAnsi="Cambria Math" w:cs="Times New Roman"/>
            </w:rPr>
            <m:t>(</m:t>
          </m:r>
          <m:r>
            <m:rPr>
              <m:sty m:val="bi"/>
            </m:rPr>
            <w:rPr>
              <w:rFonts w:ascii="Cambria Math" w:hAnsi="Cambria Math" w:cs="Times New Roman"/>
            </w:rPr>
            <m:t>r</m:t>
          </m:r>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n</m:t>
            </m:r>
          </m:sub>
        </m:sSub>
      </m:oMath>
      <w:r w:rsidRPr="00E63E74">
        <w:rPr>
          <w:rFonts w:ascii="Times New Roman" w:hAnsi="Times New Roman" w:cs="Times New Roman"/>
        </w:rPr>
        <w:t xml:space="preserve"> are the unknown expansion coefficients. For an unstructured triangular mesh, the RWG basis is a natural choice because it enforces normal-current continuity across adjacent tri</w:t>
      </w:r>
      <w:r w:rsidRPr="00E63E74">
        <w:rPr>
          <w:rFonts w:ascii="Times New Roman" w:hAnsi="Times New Roman" w:cs="Times New Roman"/>
        </w:rPr>
        <w:t xml:space="preserve">angular facets and supports arbitrary conducting geometries [1]. If your actual implementation instead uses rooftops, pulse bases, or a pixel-grid formulation, (6) and the associated discussion should be changed rather than claiming RWG. </w:t>
      </w:r>
      <w:hyperlink r:id="rId20">
        <w:r w:rsidRPr="00E63E74">
          <w:rPr>
            <w:rStyle w:val="Hyperlink"/>
            <w:rFonts w:ascii="Times New Roman" w:hAnsi="Times New Roman" w:cs="Times New Roman"/>
          </w:rPr>
          <w:t>[14]</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An important implementation detail for periodic RWG discretization is that edges intersecting opposite boundaries of the unit cell cannot simply be treated as open edges. Their basis-function contribution</w:t>
      </w:r>
      <w:r w:rsidRPr="00E63E74">
        <w:rPr>
          <w:rFonts w:ascii="Times New Roman" w:hAnsi="Times New Roman" w:cs="Times New Roman"/>
        </w:rPr>
        <w:t>s must be associated across periodic boundaries with the appropriate phase factor from (1). This is where the Floquet condition enters not only the Green function but also the discretized current continuity for basis functions crossing the cell boundary, c</w:t>
      </w:r>
      <w:r w:rsidRPr="00E63E74">
        <w:rPr>
          <w:rFonts w:ascii="Times New Roman" w:hAnsi="Times New Roman" w:cs="Times New Roman"/>
        </w:rPr>
        <w:t xml:space="preserve">onsistent with the periodic integral-equation framework [2], [5]. </w:t>
      </w:r>
      <w:hyperlink r:id="rId21">
        <w:r w:rsidRPr="00E63E74">
          <w:rPr>
            <w:rStyle w:val="Hyperlink"/>
            <w:rFonts w:ascii="Times New Roman" w:hAnsi="Times New Roman" w:cs="Times New Roman"/>
          </w:rPr>
          <w:t>[7]</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Using Galerkin testing, substitution of (6) into (2) yields</w:t>
      </w:r>
    </w:p>
    <w:p w:rsidR="0090136C" w:rsidRPr="00E63E74" w:rsidRDefault="00E63E74" w:rsidP="00E63E74">
      <w:pPr>
        <w:pStyle w:val="BodyText"/>
        <w:jc w:val="both"/>
        <w:rPr>
          <w:rFonts w:ascii="Times New Roman" w:hAnsi="Times New Roman" w:cs="Times New Roman"/>
        </w:rPr>
      </w:pPr>
      <m:oMathPara>
        <m:oMathParaPr>
          <m:jc m:val="center"/>
        </m:oMathParaPr>
        <m:oMath>
          <m:nary>
            <m:naryPr>
              <m:chr m:val="∑"/>
              <m:limLoc m:val="undOvr"/>
              <m:ctrlPr>
                <w:rPr>
                  <w:rFonts w:ascii="Cambria Math" w:hAnsi="Cambria Math" w:cs="Times New Roman"/>
                </w:rPr>
              </m:ctrlPr>
            </m:naryPr>
            <m:sub>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mn</m:t>
                  </m:r>
                </m:sub>
              </m:sSub>
            </m:e>
          </m:nary>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m</m:t>
              </m:r>
            </m:sub>
          </m:sSub>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where</w:t>
      </w:r>
    </w:p>
    <w:p w:rsidR="0090136C" w:rsidRPr="00E63E74" w:rsidRDefault="00E63E74" w:rsidP="00E63E74">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mn</m:t>
              </m:r>
            </m:sub>
          </m:sSub>
          <m:r>
            <m:rPr>
              <m:sty m:val="p"/>
            </m:rP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m:rPr>
                      <m:sty m:val="bi"/>
                    </m:rPr>
                    <w:rPr>
                      <w:rFonts w:ascii="Cambria Math" w:hAnsi="Cambria Math" w:cs="Times New Roman"/>
                    </w:rPr>
                    <m:t>f</m:t>
                  </m:r>
                </m:e>
                <m:sub>
                  <m:r>
                    <w:rPr>
                      <w:rFonts w:ascii="Cambria Math" w:hAnsi="Cambria Math" w:cs="Times New Roman"/>
                    </w:rPr>
                    <m:t>m</m:t>
                  </m:r>
                </m:sub>
              </m:sSub>
              <m:r>
                <m:rPr>
                  <m:sty m:val="p"/>
                </m:rPr>
                <w:rPr>
                  <w:rFonts w:ascii="Cambria Math" w:hAnsi="Cambria Math" w:cs="Times New Roman"/>
                </w:rPr>
                <m:t>,</m:t>
              </m:r>
              <m:sSup>
                <m:sSupPr>
                  <m:ctrlPr>
                    <w:rPr>
                      <w:rFonts w:ascii="Cambria Math" w:hAnsi="Cambria Math" w:cs="Times New Roman"/>
                    </w:rPr>
                  </m:ctrlPr>
                </m:sSupPr>
                <m:e>
                  <m:r>
                    <m:rPr>
                      <m:scr m:val="script"/>
                      <m:sty m:val="p"/>
                    </m:rPr>
                    <w:rPr>
                      <w:rFonts w:ascii="Cambria Math" w:hAnsi="Cambria Math" w:cs="Times New Roman"/>
                    </w:rPr>
                    <m:t>L</m:t>
                  </m:r>
                </m:e>
                <m:sup>
                  <m:r>
                    <m:rPr>
                      <m:sty m:val="p"/>
                    </m:rPr>
                    <w:rPr>
                      <w:rFonts w:ascii="Cambria Math" w:hAnsi="Cambria Math" w:cs="Times New Roman"/>
                    </w:rPr>
                    <m:t>per</m:t>
                  </m:r>
                </m:sup>
              </m:sSup>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f</m:t>
                  </m:r>
                </m:e>
                <m:sub>
                  <m:r>
                    <w:rPr>
                      <w:rFonts w:ascii="Cambria Math" w:hAnsi="Cambria Math" w:cs="Times New Roman"/>
                    </w:rPr>
                    <m:t>n</m:t>
                  </m:r>
                </m:sub>
              </m:sSub>
              <m:r>
                <m:rPr>
                  <m:sty m:val="p"/>
                </m:rPr>
                <w:rPr>
                  <w:rFonts w:ascii="Cambria Math" w:hAnsi="Cambria Math" w:cs="Times New Roman"/>
                </w:rPr>
                <m:t>}</m:t>
              </m:r>
            </m:e>
          </m:d>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and</w:t>
      </w:r>
    </w:p>
    <w:p w:rsidR="0090136C" w:rsidRPr="00E63E74" w:rsidRDefault="00E63E74" w:rsidP="00E63E74">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m</m:t>
              </m:r>
            </m:sub>
          </m:sSub>
          <m:r>
            <m:rPr>
              <m:sty m:val="p"/>
            </m:rP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m:rPr>
                      <m:sty m:val="bi"/>
                    </m:rPr>
                    <w:rPr>
                      <w:rFonts w:ascii="Cambria Math" w:hAnsi="Cambria Math" w:cs="Times New Roman"/>
                    </w:rPr>
                    <m:t>f</m:t>
                  </m:r>
                </m:e>
                <m:sub>
                  <m:r>
                    <w:rPr>
                      <w:rFonts w:ascii="Cambria Math" w:hAnsi="Cambria Math" w:cs="Times New Roman"/>
                    </w:rPr>
                    <m:t>m</m:t>
                  </m:r>
                </m:sub>
              </m:sSub>
              <m:r>
                <m:rPr>
                  <m:sty m:val="p"/>
                </m:rPr>
                <w:rPr>
                  <w:rFonts w:ascii="Cambria Math" w:hAnsi="Cambria Math" w:cs="Times New Roman"/>
                </w:rPr>
                <m:t>,</m:t>
              </m:r>
              <m:sSup>
                <m:sSupPr>
                  <m:ctrlPr>
                    <w:rPr>
                      <w:rFonts w:ascii="Cambria Math" w:hAnsi="Cambria Math" w:cs="Times New Roman"/>
                    </w:rPr>
                  </m:ctrlPr>
                </m:sSupPr>
                <m:e>
                  <m:r>
                    <m:rPr>
                      <m:sty m:val="bi"/>
                    </m:rPr>
                    <w:rPr>
                      <w:rFonts w:ascii="Cambria Math" w:hAnsi="Cambria Math" w:cs="Times New Roman"/>
                    </w:rPr>
                    <m:t>E</m:t>
                  </m:r>
                </m:e>
                <m:sup>
                  <m:r>
                    <m:rPr>
                      <m:sty m:val="p"/>
                    </m:rPr>
                    <w:rPr>
                      <w:rFonts w:ascii="Cambria Math" w:hAnsi="Cambria Math" w:cs="Times New Roman"/>
                    </w:rPr>
                    <m:t>inc</m:t>
                  </m:r>
                </m:sup>
              </m:sSup>
            </m:e>
          </m:d>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lastRenderedPageBreak/>
        <w:t>The complete discretized problem is therefore</w:t>
      </w:r>
    </w:p>
    <w:p w:rsidR="0090136C" w:rsidRPr="00E63E74" w:rsidRDefault="00E63E74" w:rsidP="00E63E74">
      <w:pPr>
        <w:pStyle w:val="BodyText"/>
        <w:jc w:val="both"/>
        <w:rPr>
          <w:rFonts w:ascii="Times New Roman" w:hAnsi="Times New Roman" w:cs="Times New Roman"/>
        </w:rPr>
      </w:pPr>
      <m:oMathPara>
        <m:oMathParaPr>
          <m:jc m:val="center"/>
        </m:oMathParaPr>
        <m:oMath>
          <m:borderBox>
            <m:borderBoxPr>
              <m:ctrlPr>
                <w:rPr>
                  <w:rFonts w:ascii="Cambria Math" w:hAnsi="Cambria Math" w:cs="Times New Roman"/>
                </w:rPr>
              </m:ctrlPr>
            </m:borderBoxPr>
            <m:e>
              <m:r>
                <m:rPr>
                  <m:sty m:val="bi"/>
                </m:rPr>
                <w:rPr>
                  <w:rFonts w:ascii="Cambria Math" w:hAnsi="Cambria Math" w:cs="Times New Roman"/>
                </w:rPr>
                <m:t>ZI</m:t>
              </m:r>
              <m:r>
                <m:rPr>
                  <m:sty m:val="p"/>
                </m:rPr>
                <w:rPr>
                  <w:rFonts w:ascii="Cambria Math" w:hAnsi="Cambria Math" w:cs="Times New Roman"/>
                </w:rPr>
                <m:t>=</m:t>
              </m:r>
              <m:r>
                <m:rPr>
                  <m:sty m:val="bi"/>
                </m:rPr>
                <w:rPr>
                  <w:rFonts w:ascii="Cambria Math" w:hAnsi="Cambria Math" w:cs="Times New Roman"/>
                </w:rPr>
                <m:t>V</m:t>
              </m:r>
            </m:e>
          </m:borderBox>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 xml:space="preserve">The accuracy of </w:t>
      </w:r>
      <m:oMath>
        <m:r>
          <m:rPr>
            <m:sty m:val="bi"/>
          </m:rPr>
          <w:rPr>
            <w:rFonts w:ascii="Cambria Math" w:hAnsi="Cambria Math" w:cs="Times New Roman"/>
          </w:rPr>
          <m:t>Z</m:t>
        </m:r>
      </m:oMath>
      <w:r w:rsidRPr="00E63E74">
        <w:rPr>
          <w:rFonts w:ascii="Times New Roman" w:hAnsi="Times New Roman" w:cs="Times New Roman"/>
        </w:rPr>
        <w:t xml:space="preserve"> depends strongly on the evaluation of self, near-neighbor, and regular interactions. The GPU implementation must therefore reproduce whatever singularity extraction or </w:t>
      </w:r>
      <w:r w:rsidRPr="00E63E74">
        <w:rPr>
          <w:rFonts w:ascii="Times New Roman" w:hAnsi="Times New Roman" w:cs="Times New Roman"/>
        </w:rPr>
        <w:t>high-order quadrature is used by the CPU reference; simply evaluating all interactions using the same ordinary quadrature rule would not constitute a robust MoM implementation.</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For a resistive or impedance-sheet metasurface, the PEC condition can be genera</w:t>
      </w:r>
      <w:r w:rsidRPr="00E63E74">
        <w:rPr>
          <w:rFonts w:ascii="Times New Roman" w:hAnsi="Times New Roman" w:cs="Times New Roman"/>
        </w:rPr>
        <w:t>lized to</w:t>
      </w:r>
    </w:p>
    <w:p w:rsidR="0090136C" w:rsidRPr="00E63E74" w:rsidRDefault="00E63E74" w:rsidP="00E63E74">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i"/>
                </m:rPr>
                <w:rPr>
                  <w:rFonts w:ascii="Cambria Math" w:hAnsi="Cambria Math" w:cs="Times New Roman"/>
                </w:rPr>
                <m:t>E</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s</m:t>
              </m:r>
            </m:sub>
          </m:sSub>
          <m:sSub>
            <m:sSubPr>
              <m:ctrlPr>
                <w:rPr>
                  <w:rFonts w:ascii="Cambria Math" w:hAnsi="Cambria Math" w:cs="Times New Roman"/>
                </w:rPr>
              </m:ctrlPr>
            </m:sSubPr>
            <m:e>
              <m:r>
                <m:rPr>
                  <m:sty m:val="bi"/>
                </m:rPr>
                <w:rPr>
                  <w:rFonts w:ascii="Cambria Math" w:hAnsi="Cambria Math" w:cs="Times New Roman"/>
                </w:rPr>
                <m:t>J</m:t>
              </m:r>
            </m:e>
            <m:sub>
              <m:r>
                <w:rPr>
                  <w:rFonts w:ascii="Cambria Math" w:hAnsi="Cambria Math" w:cs="Times New Roman"/>
                </w:rPr>
                <m:t>s</m:t>
              </m:r>
            </m:sub>
          </m:sSub>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which introduces the corresponding surface-impedance contribution into the MoM matrix. For volumetric dielectric inclusions, however, (2)–(10) are not sufficient. Equivalent electric and magnetic surface currents or a volume-integra</w:t>
      </w:r>
      <w:r w:rsidRPr="00E63E74">
        <w:rPr>
          <w:rFonts w:ascii="Times New Roman" w:hAnsi="Times New Roman" w:cs="Times New Roman"/>
        </w:rPr>
        <w:t xml:space="preserve">l formulation must be introduced. Periodic metallic/dielectric structures have been treated with more general MoM formulations [5]; such capability should only be claimed if it has actually been implemented. </w:t>
      </w:r>
      <w:hyperlink r:id="rId22">
        <w:r w:rsidRPr="00E63E74">
          <w:rPr>
            <w:rStyle w:val="Hyperlink"/>
            <w:rFonts w:ascii="Times New Roman" w:hAnsi="Times New Roman" w:cs="Times New Roman"/>
          </w:rPr>
          <w:t>[6]</w:t>
        </w:r>
      </w:hyperlink>
    </w:p>
    <w:p w:rsidR="0090136C" w:rsidRPr="00E63E74" w:rsidRDefault="00E63E74" w:rsidP="00E63E74">
      <w:pPr>
        <w:pStyle w:val="Heading3"/>
        <w:jc w:val="both"/>
        <w:rPr>
          <w:rFonts w:ascii="Times New Roman" w:hAnsi="Times New Roman" w:cs="Times New Roman"/>
        </w:rPr>
      </w:pPr>
      <w:bookmarkStart w:id="5" w:name="Xc202391a00de26dc2bc1b68022552c811aeb430"/>
      <w:r w:rsidRPr="00E63E74">
        <w:rPr>
          <w:rFonts w:ascii="Times New Roman" w:hAnsi="Times New Roman" w:cs="Times New Roman"/>
        </w:rPr>
        <w:t>Floquet modes and extraction of scattering parameters</w:t>
      </w:r>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 xml:space="preserve">Let </w:t>
      </w:r>
      <m:oMath>
        <m:sSub>
          <m:sSubPr>
            <m:ctrlPr>
              <w:rPr>
                <w:rFonts w:ascii="Cambria Math" w:hAnsi="Cambria Math" w:cs="Times New Roman"/>
              </w:rPr>
            </m:ctrlPr>
          </m:sSubPr>
          <m:e>
            <m:r>
              <m:rPr>
                <m:sty m:val="bi"/>
              </m:rPr>
              <w:rPr>
                <w:rFonts w:ascii="Cambria Math" w:hAnsi="Cambria Math" w:cs="Times New Roman"/>
              </w:rPr>
              <m:t>b</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b</m:t>
            </m:r>
          </m:e>
          <m:sub>
            <m:r>
              <w:rPr>
                <w:rFonts w:ascii="Cambria Math" w:hAnsi="Cambria Math" w:cs="Times New Roman"/>
              </w:rPr>
              <m:t>2</m:t>
            </m:r>
          </m:sub>
        </m:sSub>
      </m:oMath>
      <w:r w:rsidRPr="00E63E74">
        <w:rPr>
          <w:rFonts w:ascii="Times New Roman" w:hAnsi="Times New Roman" w:cs="Times New Roman"/>
        </w:rPr>
        <w:t xml:space="preserve"> denote reciprocal-lattice vectors satisfying</w:t>
      </w:r>
    </w:p>
    <w:p w:rsidR="0090136C" w:rsidRPr="00E63E74" w:rsidRDefault="00E63E74" w:rsidP="00E63E74">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i"/>
                </m:rP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b</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2</m:t>
          </m:r>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ij</m:t>
              </m:r>
            </m:sub>
          </m:sSub>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 xml:space="preserve">The tangential wave vector of Floquet harmonic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E63E74">
        <w:rPr>
          <w:rFonts w:ascii="Times New Roman" w:hAnsi="Times New Roman" w:cs="Times New Roman"/>
        </w:rPr>
        <w:t xml:space="preserve"> is</w:t>
      </w:r>
    </w:p>
    <w:p w:rsidR="0090136C" w:rsidRPr="00E63E74" w:rsidRDefault="00E63E74" w:rsidP="00E63E74">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i"/>
                </m:rPr>
                <w:rPr>
                  <w:rFonts w:ascii="Cambria Math" w:hAnsi="Cambria Math" w:cs="Times New Roman"/>
                </w:rPr>
                <m:t>k</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pq</m:t>
              </m:r>
            </m:sub>
          </m:sSub>
          <m:r>
            <m:rPr>
              <m:sty m:val="p"/>
            </m:rPr>
            <w:rPr>
              <w:rFonts w:ascii="Cambria Math" w:hAnsi="Cambria Math" w:cs="Times New Roman"/>
            </w:rPr>
            <m:t>=</m:t>
          </m:r>
          <m:sSubSup>
            <m:sSubSupPr>
              <m:ctrlPr>
                <w:rPr>
                  <w:rFonts w:ascii="Cambria Math" w:hAnsi="Cambria Math" w:cs="Times New Roman"/>
                </w:rPr>
              </m:ctrlPr>
            </m:sSubSupPr>
            <m:e>
              <m:r>
                <m:rPr>
                  <m:sty m:val="bi"/>
                </m:rPr>
                <w:rPr>
                  <w:rFonts w:ascii="Cambria Math" w:hAnsi="Cambria Math" w:cs="Times New Roman"/>
                </w:rPr>
                <m:t>k</m:t>
              </m:r>
            </m:e>
            <m:sub>
              <m:r>
                <w:rPr>
                  <w:rFonts w:ascii="Cambria Math" w:hAnsi="Cambria Math" w:cs="Times New Roman"/>
                </w:rPr>
                <m:t>t</m:t>
              </m:r>
            </m:sub>
            <m:sup>
              <m:r>
                <m:rPr>
                  <m:sty m:val="p"/>
                </m:rPr>
                <w:rPr>
                  <w:rFonts w:ascii="Cambria Math" w:hAnsi="Cambria Math" w:cs="Times New Roman"/>
                </w:rPr>
                <m:t>inc</m:t>
              </m:r>
            </m:sup>
          </m:sSubSup>
          <m:r>
            <m:rPr>
              <m:sty m:val="p"/>
            </m:rPr>
            <w:rPr>
              <w:rFonts w:ascii="Cambria Math" w:hAnsi="Cambria Math" w:cs="Times New Roman"/>
            </w:rPr>
            <m:t>+</m:t>
          </m:r>
          <m:r>
            <w:rPr>
              <w:rFonts w:ascii="Cambria Math" w:hAnsi="Cambria Math" w:cs="Times New Roman"/>
            </w:rPr>
            <m:t>p</m:t>
          </m:r>
          <m:sSub>
            <m:sSubPr>
              <m:ctrlPr>
                <w:rPr>
                  <w:rFonts w:ascii="Cambria Math" w:hAnsi="Cambria Math" w:cs="Times New Roman"/>
                </w:rPr>
              </m:ctrlPr>
            </m:sSubPr>
            <m:e>
              <m:r>
                <m:rPr>
                  <m:sty m:val="bi"/>
                </m:rPr>
                <w:rPr>
                  <w:rFonts w:ascii="Cambria Math" w:hAnsi="Cambria Math" w:cs="Times New Roman"/>
                </w:rPr>
                <m:t>b</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q</m:t>
          </m:r>
          <m:sSub>
            <m:sSubPr>
              <m:ctrlPr>
                <w:rPr>
                  <w:rFonts w:ascii="Cambria Math" w:hAnsi="Cambria Math" w:cs="Times New Roman"/>
                </w:rPr>
              </m:ctrlPr>
            </m:sSubPr>
            <m:e>
              <m:r>
                <m:rPr>
                  <m:sty m:val="bi"/>
                </m:rPr>
                <w:rPr>
                  <w:rFonts w:ascii="Cambria Math" w:hAnsi="Cambria Math" w:cs="Times New Roman"/>
                </w:rPr>
                <m:t>b</m:t>
              </m:r>
            </m:e>
            <m:sub>
              <m:r>
                <w:rPr>
                  <w:rFonts w:ascii="Cambria Math" w:hAnsi="Cambria Math" w:cs="Times New Roman"/>
                </w:rPr>
                <m:t>2</m:t>
              </m:r>
            </m:sub>
          </m:sSub>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and, in medium</w:t>
      </w:r>
      <w:r w:rsidRPr="00E63E74">
        <w:rPr>
          <w:rFonts w:ascii="Times New Roman" w:hAnsi="Times New Roman" w:cs="Times New Roman"/>
        </w:rPr>
        <w:t xml:space="preserve"> </w:t>
      </w:r>
      <m:oMath>
        <m:r>
          <m:rPr>
            <m:scr m:val="script"/>
          </m:rPr>
          <w:rPr>
            <w:rFonts w:ascii="Cambria Math" w:hAnsi="Cambria Math" w:cs="Times New Roman"/>
          </w:rPr>
          <m:t>l</m:t>
        </m:r>
      </m:oMath>
      <w:r w:rsidRPr="00E63E74">
        <w:rPr>
          <w:rFonts w:ascii="Times New Roman" w:hAnsi="Times New Roman" w:cs="Times New Roman"/>
        </w:rPr>
        <w:t>,</w:t>
      </w:r>
    </w:p>
    <w:p w:rsidR="0090136C" w:rsidRPr="00E63E74" w:rsidRDefault="00E63E74" w:rsidP="00E63E74">
      <w:pPr>
        <w:pStyle w:val="BodyText"/>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z</m:t>
              </m:r>
              <m:r>
                <m:rPr>
                  <m:sty m:val="p"/>
                </m:rPr>
                <w:rPr>
                  <w:rFonts w:ascii="Cambria Math" w:hAnsi="Cambria Math" w:cs="Times New Roman"/>
                </w:rPr>
                <m:t>,</m:t>
              </m:r>
              <m:r>
                <w:rPr>
                  <w:rFonts w:ascii="Cambria Math" w:hAnsi="Cambria Math" w:cs="Times New Roman"/>
                </w:rPr>
                <m:t>pq</m:t>
              </m:r>
            </m:sub>
            <m:sup>
              <m:r>
                <m:rPr>
                  <m:sty m:val="p"/>
                </m:rPr>
                <w:rPr>
                  <w:rFonts w:ascii="Cambria Math" w:hAnsi="Cambria Math" w:cs="Times New Roman"/>
                </w:rPr>
                <m:t>(</m:t>
              </m:r>
              <m:r>
                <m:rPr>
                  <m:scr m:val="script"/>
                </m:rPr>
                <w:rPr>
                  <w:rFonts w:ascii="Cambria Math" w:hAnsi="Cambria Math" w:cs="Times New Roman"/>
                </w:rPr>
                <m:t>l</m:t>
              </m:r>
              <m:r>
                <m:rPr>
                  <m:sty m:val="p"/>
                </m:rPr>
                <w:rPr>
                  <w:rFonts w:ascii="Cambria Math" w:hAnsi="Cambria Math" w:cs="Times New Roman"/>
                </w:rPr>
                <m:t>)</m:t>
              </m:r>
            </m:sup>
          </m:sSubSup>
          <m:r>
            <m:rPr>
              <m:sty m:val="p"/>
            </m:rPr>
            <w:rPr>
              <w:rFonts w:ascii="Cambria Math" w:hAnsi="Cambria Math" w:cs="Times New Roman"/>
            </w:rPr>
            <m:t>=</m:t>
          </m:r>
          <m:rad>
            <m:radPr>
              <m:degHide m:val="1"/>
              <m:ctrlPr>
                <w:rPr>
                  <w:rFonts w:ascii="Cambria Math" w:hAnsi="Cambria Math" w:cs="Times New Roman"/>
                </w:rPr>
              </m:ctrlPr>
            </m:radPr>
            <m:deg/>
            <m:e>
              <m:sSubSup>
                <m:sSubSupPr>
                  <m:ctrlPr>
                    <w:rPr>
                      <w:rFonts w:ascii="Cambria Math" w:hAnsi="Cambria Math" w:cs="Times New Roman"/>
                    </w:rPr>
                  </m:ctrlPr>
                </m:sSubSupPr>
                <m:e>
                  <m:r>
                    <w:rPr>
                      <w:rFonts w:ascii="Cambria Math" w:hAnsi="Cambria Math" w:cs="Times New Roman"/>
                    </w:rPr>
                    <m:t>k</m:t>
                  </m:r>
                </m:e>
                <m:sub>
                  <m:r>
                    <m:rPr>
                      <m:scr m:val="script"/>
                    </m:rPr>
                    <w:rPr>
                      <w:rFonts w:ascii="Cambria Math" w:hAnsi="Cambria Math" w:cs="Times New Roman"/>
                    </w:rPr>
                    <m:t>l</m:t>
                  </m:r>
                </m:sub>
                <m:sup>
                  <m: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d>
                    <m:dPr>
                      <m:begChr m:val="|"/>
                      <m:endChr m:val="|"/>
                      <m:ctrlPr>
                        <w:rPr>
                          <w:rFonts w:ascii="Cambria Math" w:hAnsi="Cambria Math" w:cs="Times New Roman"/>
                        </w:rPr>
                      </m:ctrlPr>
                    </m:dPr>
                    <m:e>
                      <m:sSub>
                        <m:sSubPr>
                          <m:ctrlPr>
                            <w:rPr>
                              <w:rFonts w:ascii="Cambria Math" w:hAnsi="Cambria Math" w:cs="Times New Roman"/>
                            </w:rPr>
                          </m:ctrlPr>
                        </m:sSubPr>
                        <m:e>
                          <m:r>
                            <m:rPr>
                              <m:sty m:val="bi"/>
                            </m:rPr>
                            <w:rPr>
                              <w:rFonts w:ascii="Cambria Math" w:hAnsi="Cambria Math" w:cs="Times New Roman"/>
                            </w:rPr>
                            <m:t>k</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pq</m:t>
                          </m:r>
                        </m:sub>
                      </m:sSub>
                    </m:e>
                  </m:d>
                </m:e>
                <m:sup>
                  <m:r>
                    <w:rPr>
                      <w:rFonts w:ascii="Cambria Math" w:hAnsi="Cambria Math" w:cs="Times New Roman"/>
                    </w:rPr>
                    <m:t>2</m:t>
                  </m:r>
                </m:sup>
              </m:sSup>
            </m:e>
          </m:rad>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where the radiation branch is selected such that propagating waves radiate away from the structure and evanescent harmonics decay away from it.</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Once the current coefficients are known, the spectral content of the induced current can be evaluated through</w:t>
      </w:r>
    </w:p>
    <w:p w:rsidR="0090136C" w:rsidRPr="00E63E74" w:rsidRDefault="00E63E74" w:rsidP="00E63E74">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m:rPr>
                      <m:sty m:val="bi"/>
                    </m:rPr>
                    <w:rPr>
                      <w:rFonts w:ascii="Cambria Math" w:hAnsi="Cambria Math" w:cs="Times New Roman"/>
                    </w:rPr>
                    <m:t>J</m:t>
                  </m:r>
                </m:e>
              </m:acc>
            </m:e>
            <m:sub>
              <m:r>
                <w:rPr>
                  <w:rFonts w:ascii="Cambria Math" w:hAnsi="Cambria Math" w:cs="Times New Roman"/>
                </w:rPr>
                <m:t>pq</m:t>
              </m:r>
            </m:sub>
          </m:sSub>
          <m:r>
            <m:rPr>
              <m:sty m:val="p"/>
            </m:rPr>
            <w:rPr>
              <w:rFonts w:ascii="Cambria Math" w:hAnsi="Cambria Math" w:cs="Times New Roman"/>
            </w:rPr>
            <m:t>=</m:t>
          </m:r>
          <m:nary>
            <m:naryPr>
              <m:limLoc m:val="subSup"/>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c</m:t>
                  </m:r>
                </m:sub>
              </m:sSub>
            </m:sub>
            <m:sup>
              <m:r>
                <w:rPr>
                  <w:rFonts w:ascii="Cambria Math" w:hAnsi="Cambria Math" w:cs="Times New Roman"/>
                </w:rPr>
                <m:t>​</m:t>
              </m:r>
            </m:sup>
            <m:e>
              <m:sSub>
                <m:sSubPr>
                  <m:ctrlPr>
                    <w:rPr>
                      <w:rFonts w:ascii="Cambria Math" w:hAnsi="Cambria Math" w:cs="Times New Roman"/>
                    </w:rPr>
                  </m:ctrlPr>
                </m:sSubPr>
                <m:e>
                  <m:r>
                    <m:rPr>
                      <m:sty m:val="bi"/>
                    </m:rPr>
                    <w:rPr>
                      <w:rFonts w:ascii="Cambria Math" w:hAnsi="Cambria Math" w:cs="Times New Roman"/>
                    </w:rPr>
                    <m:t>J</m:t>
                  </m:r>
                </m:e>
                <m:sub>
                  <m:r>
                    <w:rPr>
                      <w:rFonts w:ascii="Cambria Math" w:hAnsi="Cambria Math" w:cs="Times New Roman"/>
                    </w:rPr>
                    <m:t>s</m:t>
                  </m:r>
                </m:sub>
              </m:sSub>
            </m:e>
          </m:nary>
          <m:r>
            <m:rPr>
              <m:sty m:val="p"/>
            </m:rPr>
            <w:rPr>
              <w:rFonts w:ascii="Cambria Math" w:hAnsi="Cambria Math" w:cs="Times New Roman"/>
            </w:rPr>
            <m:t>(</m:t>
          </m:r>
          <m:sSup>
            <m:sSupPr>
              <m:ctrlPr>
                <w:rPr>
                  <w:rFonts w:ascii="Cambria Math" w:hAnsi="Cambria Math" w:cs="Times New Roman"/>
                </w:rPr>
              </m:ctrlPr>
            </m:sSupPr>
            <m:e>
              <m:r>
                <m:rPr>
                  <m:sty m:val="bi"/>
                </m:rPr>
                <w:rPr>
                  <w:rFonts w:ascii="Cambria Math" w:hAnsi="Cambria Math" w:cs="Times New Roman"/>
                </w:rPr>
                <m:t>ρ</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j</m:t>
              </m:r>
              <m:sSub>
                <m:sSubPr>
                  <m:ctrlPr>
                    <w:rPr>
                      <w:rFonts w:ascii="Cambria Math" w:hAnsi="Cambria Math" w:cs="Times New Roman"/>
                    </w:rPr>
                  </m:ctrlPr>
                </m:sSubPr>
                <m:e>
                  <m:r>
                    <m:rPr>
                      <m:sty m:val="bi"/>
                    </m:rPr>
                    <w:rPr>
                      <w:rFonts w:ascii="Cambria Math" w:hAnsi="Cambria Math" w:cs="Times New Roman"/>
                    </w:rPr>
                    <m:t>k</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pq</m:t>
                  </m:r>
                </m:sub>
              </m:sSub>
              <m:r>
                <m:rPr>
                  <m:sty m:val="p"/>
                </m:rPr>
                <w:rPr>
                  <w:rFonts w:ascii="Cambria Math" w:hAnsi="Cambria Math" w:cs="Times New Roman"/>
                </w:rPr>
                <m:t>⋅</m:t>
              </m:r>
              <m:sSup>
                <m:sSupPr>
                  <m:ctrlPr>
                    <w:rPr>
                      <w:rFonts w:ascii="Cambria Math" w:hAnsi="Cambria Math" w:cs="Times New Roman"/>
                    </w:rPr>
                  </m:ctrlPr>
                </m:sSupPr>
                <m:e>
                  <m:r>
                    <m:rPr>
                      <m:sty m:val="bi"/>
                    </m:rPr>
                    <w:rPr>
                      <w:rFonts w:ascii="Cambria Math" w:hAnsi="Cambria Math" w:cs="Times New Roman"/>
                    </w:rPr>
                    <m:t>ρ</m:t>
                  </m:r>
                </m:e>
                <m:sup>
                  <m:r>
                    <m:rPr>
                      <m:sty m:val="p"/>
                    </m:rPr>
                    <w:rPr>
                      <w:rFonts w:ascii="Cambria Math" w:hAnsi="Cambria Math" w:cs="Times New Roman"/>
                    </w:rPr>
                    <m:t>'</m:t>
                  </m:r>
                </m:sup>
              </m:sSup>
            </m:sup>
          </m:sSup>
          <m:r>
            <w:rPr>
              <w:rFonts w:ascii="Cambria Math" w:hAnsi="Cambria Math" w:cs="Times New Roman"/>
            </w:rPr>
            <m:t> </m:t>
          </m:r>
          <m:r>
            <w:rPr>
              <w:rFonts w:ascii="Cambria Math" w:hAnsi="Cambria Math" w:cs="Times New Roman"/>
            </w:rPr>
            <m:t>d</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Rather than hard-coding a free-space far-field expression, a robust layered-medium implementation sh</w:t>
      </w:r>
      <w:r w:rsidRPr="00E63E74">
        <w:rPr>
          <w:rFonts w:ascii="Times New Roman" w:hAnsi="Times New Roman" w:cs="Times New Roman"/>
        </w:rPr>
        <w:t>ould obtain each upward- and downward-propagating modal amplitude from the spectral dyadic Green function,</w:t>
      </w:r>
    </w:p>
    <w:p w:rsidR="0090136C" w:rsidRPr="00E63E74" w:rsidRDefault="00E63E74" w:rsidP="00E63E74">
      <w:pPr>
        <w:pStyle w:val="BodyText"/>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m:rPr>
                  <m:sty m:val="bi"/>
                </m:rPr>
                <w:rPr>
                  <w:rFonts w:ascii="Cambria Math" w:hAnsi="Cambria Math" w:cs="Times New Roman"/>
                </w:rPr>
                <m:t>E</m:t>
              </m:r>
            </m:e>
            <m:sub>
              <m:r>
                <w:rPr>
                  <w:rFonts w:ascii="Cambria Math" w:hAnsi="Cambria Math" w:cs="Times New Roman"/>
                </w:rPr>
                <m:t>pq</m:t>
              </m:r>
            </m:sub>
            <m:sup>
              <m:r>
                <m:rPr>
                  <m:sty m:val="p"/>
                </m:rPr>
                <w:rPr>
                  <w:rFonts w:ascii="Cambria Math" w:hAnsi="Cambria Math" w:cs="Times New Roman"/>
                </w:rPr>
                <m:t>scat,±</m:t>
              </m:r>
            </m:sup>
          </m:sSubSup>
          <m:r>
            <m:rPr>
              <m:sty m:val="p"/>
            </m:rPr>
            <w:rPr>
              <w:rFonts w:ascii="Cambria Math" w:hAnsi="Cambria Math" w:cs="Times New Roman"/>
            </w:rPr>
            <m:t>=</m:t>
          </m:r>
          <m:sSubSup>
            <m:sSubSupPr>
              <m:ctrlPr>
                <w:rPr>
                  <w:rFonts w:ascii="Cambria Math" w:hAnsi="Cambria Math" w:cs="Times New Roman"/>
                </w:rPr>
              </m:ctrlPr>
            </m:sSubSupPr>
            <m:e>
              <m:bar>
                <m:barPr>
                  <m:pos m:val="top"/>
                  <m:ctrlPr>
                    <w:rPr>
                      <w:rFonts w:ascii="Cambria Math" w:hAnsi="Cambria Math" w:cs="Times New Roman"/>
                    </w:rPr>
                  </m:ctrlPr>
                </m:barPr>
                <m:e>
                  <m:bar>
                    <m:barPr>
                      <m:pos m:val="top"/>
                      <m:ctrlPr>
                        <w:rPr>
                          <w:rFonts w:ascii="Cambria Math" w:hAnsi="Cambria Math" w:cs="Times New Roman"/>
                        </w:rPr>
                      </m:ctrlPr>
                    </m:barPr>
                    <m:e>
                      <m:r>
                        <m:rPr>
                          <m:sty m:val="bi"/>
                        </m:rPr>
                        <w:rPr>
                          <w:rFonts w:ascii="Cambria Math" w:hAnsi="Cambria Math" w:cs="Times New Roman"/>
                        </w:rPr>
                        <m:t>K</m:t>
                      </m:r>
                    </m:e>
                  </m:bar>
                </m:e>
              </m:bar>
            </m:e>
            <m:sub>
              <m:r>
                <w:rPr>
                  <w:rFonts w:ascii="Cambria Math" w:hAnsi="Cambria Math" w:cs="Times New Roman"/>
                </w:rPr>
                <m:t>pq</m:t>
              </m:r>
            </m:sub>
            <m:sup>
              <m:r>
                <w:rPr>
                  <w:rFonts w:ascii="Cambria Math" w:hAnsi="Cambria Math" w:cs="Times New Roman"/>
                </w:rPr>
                <m:t> </m:t>
              </m:r>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bi"/>
                    </m:rPr>
                    <w:rPr>
                      <w:rFonts w:ascii="Cambria Math" w:hAnsi="Cambria Math" w:cs="Times New Roman"/>
                    </w:rPr>
                    <m:t>J</m:t>
                  </m:r>
                </m:e>
              </m:acc>
            </m:e>
            <m:sub>
              <m:r>
                <w:rPr>
                  <w:rFonts w:ascii="Cambria Math" w:hAnsi="Cambria Math" w:cs="Times New Roman"/>
                </w:rPr>
                <m:t>pq</m:t>
              </m:r>
            </m:sub>
          </m:sSub>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lastRenderedPageBreak/>
        <w:t xml:space="preserve">where the operator </w:t>
      </w:r>
      <m:oMath>
        <m:sSubSup>
          <m:sSubSupPr>
            <m:ctrlPr>
              <w:rPr>
                <w:rFonts w:ascii="Cambria Math" w:hAnsi="Cambria Math" w:cs="Times New Roman"/>
              </w:rPr>
            </m:ctrlPr>
          </m:sSubSupPr>
          <m:e>
            <m:bar>
              <m:barPr>
                <m:pos m:val="top"/>
                <m:ctrlPr>
                  <w:rPr>
                    <w:rFonts w:ascii="Cambria Math" w:hAnsi="Cambria Math" w:cs="Times New Roman"/>
                  </w:rPr>
                </m:ctrlPr>
              </m:barPr>
              <m:e>
                <m:bar>
                  <m:barPr>
                    <m:pos m:val="top"/>
                    <m:ctrlPr>
                      <w:rPr>
                        <w:rFonts w:ascii="Cambria Math" w:hAnsi="Cambria Math" w:cs="Times New Roman"/>
                      </w:rPr>
                    </m:ctrlPr>
                  </m:barPr>
                  <m:e>
                    <m:r>
                      <m:rPr>
                        <m:sty m:val="bi"/>
                      </m:rPr>
                      <w:rPr>
                        <w:rFonts w:ascii="Cambria Math" w:hAnsi="Cambria Math" w:cs="Times New Roman"/>
                      </w:rPr>
                      <m:t>K</m:t>
                    </m:r>
                  </m:e>
                </m:bar>
              </m:e>
            </m:bar>
          </m:e>
          <m:sub>
            <m:r>
              <w:rPr>
                <w:rFonts w:ascii="Cambria Math" w:hAnsi="Cambria Math" w:cs="Times New Roman"/>
              </w:rPr>
              <m:t>pq</m:t>
            </m:r>
          </m:sub>
          <m:sup>
            <m:r>
              <w:rPr>
                <w:rFonts w:ascii="Cambria Math" w:hAnsi="Cambria Math" w:cs="Times New Roman"/>
              </w:rPr>
              <m:t> </m:t>
            </m:r>
            <m:r>
              <m:rPr>
                <m:sty m:val="p"/>
              </m:rPr>
              <w:rPr>
                <w:rFonts w:ascii="Cambria Math" w:hAnsi="Cambria Math" w:cs="Times New Roman"/>
              </w:rPr>
              <m:t>±</m:t>
            </m:r>
          </m:sup>
        </m:sSubSup>
      </m:oMath>
      <w:r w:rsidRPr="00E63E74">
        <w:rPr>
          <w:rFonts w:ascii="Times New Roman" w:hAnsi="Times New Roman" w:cs="Times New Roman"/>
        </w:rPr>
        <w:t xml:space="preserve"> contains the TE/TM modal response of the multilayer environment. This construction naturall</w:t>
      </w:r>
      <w:r w:rsidRPr="00E63E74">
        <w:rPr>
          <w:rFonts w:ascii="Times New Roman" w:hAnsi="Times New Roman" w:cs="Times New Roman"/>
        </w:rPr>
        <w:t xml:space="preserve">y allows the substrate and different upper/lower media to be handled consistently with the layered Green-function formulation [4]. </w:t>
      </w:r>
      <w:hyperlink r:id="rId23">
        <w:r w:rsidRPr="00E63E74">
          <w:rPr>
            <w:rStyle w:val="Hyperlink"/>
            <w:rFonts w:ascii="Times New Roman" w:hAnsi="Times New Roman" w:cs="Times New Roman"/>
          </w:rPr>
          <w:t>[12]</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For a layered background, the total outgoing mode genera</w:t>
      </w:r>
      <w:r w:rsidRPr="00E63E74">
        <w:rPr>
          <w:rFonts w:ascii="Times New Roman" w:hAnsi="Times New Roman" w:cs="Times New Roman"/>
        </w:rPr>
        <w:t>lly contains both the response of the unpatterned background and the field radiated by the induced current. Thus,</w:t>
      </w:r>
    </w:p>
    <w:p w:rsidR="0090136C" w:rsidRPr="00E63E74" w:rsidRDefault="00E63E74" w:rsidP="00E63E74">
      <w:pPr>
        <w:pStyle w:val="BodyText"/>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pq</m:t>
              </m:r>
            </m:sub>
            <m:sup>
              <m:r>
                <m:rPr>
                  <m:sty m:val="p"/>
                </m:rPr>
                <w:rPr>
                  <w:rFonts w:ascii="Cambria Math" w:hAnsi="Cambria Math" w:cs="Times New Roman"/>
                </w:rPr>
                <m:t>ref</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pq</m:t>
              </m:r>
            </m:sub>
            <m:sup>
              <m:r>
                <m:rPr>
                  <m:sty m:val="p"/>
                </m:rPr>
                <w:rPr>
                  <w:rFonts w:ascii="Cambria Math" w:hAnsi="Cambria Math" w:cs="Times New Roman"/>
                </w:rPr>
                <m:t>bg,ref</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pq</m:t>
              </m:r>
            </m:sub>
            <m:sup>
              <m:r>
                <m:rPr>
                  <m:sty m:val="p"/>
                </m:rPr>
                <w:rPr>
                  <w:rFonts w:ascii="Cambria Math" w:hAnsi="Cambria Math" w:cs="Times New Roman"/>
                </w:rPr>
                <m:t>scat,-</m:t>
              </m:r>
            </m:sup>
          </m:sSubSup>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pq</m:t>
              </m:r>
            </m:sub>
            <m:sup>
              <m:r>
                <m:rPr>
                  <m:sty m:val="p"/>
                </m:rPr>
                <w:rPr>
                  <w:rFonts w:ascii="Cambria Math" w:hAnsi="Cambria Math" w:cs="Times New Roman"/>
                </w:rPr>
                <m:t>tr</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pq</m:t>
              </m:r>
            </m:sub>
            <m:sup>
              <m:r>
                <m:rPr>
                  <m:sty m:val="p"/>
                </m:rPr>
                <w:rPr>
                  <w:rFonts w:ascii="Cambria Math" w:hAnsi="Cambria Math" w:cs="Times New Roman"/>
                </w:rPr>
                <m:t>bg,tr</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pq</m:t>
              </m:r>
            </m:sub>
            <m:sup>
              <m:r>
                <m:rPr>
                  <m:sty m:val="p"/>
                </m:rPr>
                <w:rPr>
                  <w:rFonts w:ascii="Cambria Math" w:hAnsi="Cambria Math" w:cs="Times New Roman"/>
                </w:rPr>
                <m:t>scat,+</m:t>
              </m:r>
            </m:sup>
          </m:sSubSup>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Neglecting the background term is a common source of incorrect transmi</w:t>
      </w:r>
      <w:r w:rsidRPr="00E63E74">
        <w:rPr>
          <w:rFonts w:ascii="Times New Roman" w:hAnsi="Times New Roman" w:cs="Times New Roman"/>
        </w:rPr>
        <w:t>ssion coefficients when a conducting pattern is placed on a dielectric slab.</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Using power-normalized Floquet waves, the fundamental-mode scattering parameters are</w:t>
      </w:r>
    </w:p>
    <w:p w:rsidR="0090136C" w:rsidRPr="00E63E74" w:rsidRDefault="00E63E74" w:rsidP="00E63E74">
      <w:pPr>
        <w:pStyle w:val="BodyText"/>
        <w:jc w:val="both"/>
        <w:rPr>
          <w:rFonts w:ascii="Times New Roman" w:hAnsi="Times New Roman" w:cs="Times New Roman"/>
        </w:rPr>
      </w:pPr>
      <m:oMathPara>
        <m:oMathParaPr>
          <m:jc m:val="center"/>
        </m:oMathParaPr>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11</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00</m:t>
                      </m:r>
                    </m:sub>
                  </m:sSub>
                </m:num>
                <m:den>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00</m:t>
                      </m:r>
                    </m:sub>
                  </m:sSub>
                </m:den>
              </m:f>
            </m:e>
          </m:borderBox>
          <m:r>
            <m:rPr>
              <m:sty m:val="p"/>
            </m:rPr>
            <w:rPr>
              <w:rFonts w:ascii="Cambria Math" w:hAnsi="Cambria Math" w:cs="Times New Roman"/>
            </w:rPr>
            <m:t>,</m:t>
          </m:r>
          <m:r>
            <w:rPr>
              <w:rFonts w:ascii="Cambria Math" w:hAnsi="Cambria Math" w:cs="Times New Roman"/>
            </w:rPr>
            <m:t>  </m:t>
          </m:r>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21</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r>
                        <m:rPr>
                          <m:sty m:val="p"/>
                        </m:rPr>
                        <w:rPr>
                          <w:rFonts w:ascii="Cambria Math" w:hAnsi="Cambria Math" w:cs="Times New Roman"/>
                        </w:rPr>
                        <m:t>,</m:t>
                      </m:r>
                      <m:r>
                        <w:rPr>
                          <w:rFonts w:ascii="Cambria Math" w:hAnsi="Cambria Math" w:cs="Times New Roman"/>
                        </w:rPr>
                        <m:t>00</m:t>
                      </m:r>
                    </m:sub>
                  </m:sSub>
                </m:num>
                <m:den>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00</m:t>
                      </m:r>
                    </m:sub>
                  </m:sSub>
                </m:den>
              </m:f>
            </m:e>
          </m:borderBox>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If raw transverse electric-field amplitudes rather than power waves are used, impedance/admittance normalization is required. For example,</w:t>
      </w:r>
    </w:p>
    <w:p w:rsidR="0090136C" w:rsidRPr="00E63E74" w:rsidRDefault="00E63E74" w:rsidP="00E63E74">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21</m:t>
              </m:r>
            </m:sub>
          </m:sSub>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m:rPr>
                      <m:sty m:val="p"/>
                    </m:rPr>
                    <w:rPr>
                      <w:rFonts w:ascii="Cambria Math" w:hAnsi="Cambria Math" w:cs="Times New Roman"/>
                    </w:rPr>
                    <m:t>Re</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r>
                        <m:rPr>
                          <m:sty m:val="p"/>
                        </m:rPr>
                        <w:rPr>
                          <w:rFonts w:ascii="Cambria Math" w:hAnsi="Cambria Math" w:cs="Times New Roman"/>
                        </w:rPr>
                        <m:t>,</m:t>
                      </m:r>
                      <m:r>
                        <w:rPr>
                          <w:rFonts w:ascii="Cambria Math" w:hAnsi="Cambria Math" w:cs="Times New Roman"/>
                        </w:rPr>
                        <m:t>00</m:t>
                      </m:r>
                    </m:sub>
                  </m:sSub>
                </m:num>
                <m:den>
                  <m:r>
                    <m:rPr>
                      <m:sty m:val="p"/>
                    </m:rPr>
                    <w:rPr>
                      <w:rFonts w:ascii="Cambria Math" w:hAnsi="Cambria Math" w:cs="Times New Roman"/>
                    </w:rPr>
                    <m:t>Re</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00</m:t>
                      </m:r>
                    </m:sub>
                  </m:sSub>
                </m:den>
              </m:f>
            </m:e>
          </m:rad>
          <m:r>
            <w:rPr>
              <w:rFonts w:ascii="Cambria Math" w:hAnsi="Cambria Math" w:cs="Times New Roman"/>
            </w:rPr>
            <m:t> </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00</m:t>
                  </m:r>
                </m:sub>
                <m:sup>
                  <m:r>
                    <m:rPr>
                      <m:sty m:val="p"/>
                    </m:rPr>
                    <w:rPr>
                      <w:rFonts w:ascii="Cambria Math" w:hAnsi="Cambria Math" w:cs="Times New Roman"/>
                    </w:rPr>
                    <m:t>tr</m:t>
                  </m:r>
                </m:sup>
              </m:sSubSup>
            </m:num>
            <m:den>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00</m:t>
                  </m:r>
                </m:sub>
                <m:sup>
                  <m:r>
                    <m:rPr>
                      <m:sty m:val="p"/>
                    </m:rPr>
                    <w:rPr>
                      <w:rFonts w:ascii="Cambria Math" w:hAnsi="Cambria Math" w:cs="Times New Roman"/>
                    </w:rPr>
                    <m:t>inc</m:t>
                  </m:r>
                </m:sup>
              </m:sSubSup>
            </m:den>
          </m:f>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where the Floquet modal admittances for an isotropic medium are</w:t>
      </w:r>
    </w:p>
    <w:p w:rsidR="0090136C" w:rsidRPr="00E63E74" w:rsidRDefault="00E63E74" w:rsidP="00E63E74">
      <w:pPr>
        <w:pStyle w:val="BodyText"/>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pq</m:t>
              </m:r>
            </m:sub>
            <m:sup>
              <m:r>
                <m:rPr>
                  <m:sty m:val="p"/>
                </m:rPr>
                <w:rPr>
                  <w:rFonts w:ascii="Cambria Math" w:hAnsi="Cambria Math" w:cs="Times New Roman"/>
                </w:rPr>
                <m:t>TE</m:t>
              </m:r>
            </m:sup>
          </m:sSubSup>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z</m:t>
                  </m:r>
                  <m:r>
                    <m:rPr>
                      <m:sty m:val="p"/>
                    </m:rPr>
                    <w:rPr>
                      <w:rFonts w:ascii="Cambria Math" w:hAnsi="Cambria Math" w:cs="Times New Roman"/>
                    </w:rPr>
                    <m:t>,</m:t>
                  </m:r>
                  <m:r>
                    <w:rPr>
                      <w:rFonts w:ascii="Cambria Math" w:hAnsi="Cambria Math" w:cs="Times New Roman"/>
                    </w:rPr>
                    <m:t>p</m:t>
                  </m:r>
                  <m:r>
                    <w:rPr>
                      <w:rFonts w:ascii="Cambria Math" w:hAnsi="Cambria Math" w:cs="Times New Roman"/>
                    </w:rPr>
                    <m:t>q</m:t>
                  </m:r>
                </m:sub>
              </m:sSub>
            </m:num>
            <m:den>
              <m:r>
                <w:rPr>
                  <w:rFonts w:ascii="Cambria Math" w:hAnsi="Cambria Math" w:cs="Times New Roman"/>
                </w:rPr>
                <m:t>ωμ</m:t>
              </m:r>
            </m:den>
          </m:f>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pq</m:t>
              </m:r>
            </m:sub>
            <m:sup>
              <m:r>
                <m:rPr>
                  <m:sty m:val="p"/>
                </m:rPr>
                <w:rPr>
                  <w:rFonts w:ascii="Cambria Math" w:hAnsi="Cambria Math" w:cs="Times New Roman"/>
                </w:rPr>
                <m:t>TM</m:t>
              </m:r>
            </m:sup>
          </m:sSub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ωϵ</m:t>
              </m:r>
            </m:num>
            <m:den>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z</m:t>
                  </m:r>
                  <m:r>
                    <m:rPr>
                      <m:sty m:val="p"/>
                    </m:rPr>
                    <w:rPr>
                      <w:rFonts w:ascii="Cambria Math" w:hAnsi="Cambria Math" w:cs="Times New Roman"/>
                    </w:rPr>
                    <m:t>,</m:t>
                  </m:r>
                  <m:r>
                    <w:rPr>
                      <w:rFonts w:ascii="Cambria Math" w:hAnsi="Cambria Math" w:cs="Times New Roman"/>
                    </w:rPr>
                    <m:t>pq</m:t>
                  </m:r>
                </m:sub>
              </m:sSub>
            </m:den>
          </m:f>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 xml:space="preserve">Equation (20) is especially important when the media on the two sides of the metasurface differ: the ratio of electric-field amplitudes is then not, by itself, a power-normalized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21</m:t>
            </m:r>
          </m:sub>
        </m:sSub>
      </m:oMath>
      <w:r w:rsidRPr="00E63E74">
        <w:rPr>
          <w:rFonts w:ascii="Times New Roman" w:hAnsi="Times New Roman" w:cs="Times New Roman"/>
        </w:rPr>
        <w:t>.</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When the cell period is sufficiently s</w:t>
      </w:r>
      <w:r w:rsidRPr="00E63E74">
        <w:rPr>
          <w:rFonts w:ascii="Times New Roman" w:hAnsi="Times New Roman" w:cs="Times New Roman"/>
        </w:rPr>
        <w:t xml:space="preserve">ubwavelength that only the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E63E74">
        <w:rPr>
          <w:rFonts w:ascii="Times New Roman" w:hAnsi="Times New Roman" w:cs="Times New Roman"/>
        </w:rPr>
        <w:t xml:space="preserve"> order propagates,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11</m:t>
            </m:r>
          </m:sub>
        </m:sSub>
      </m:oMath>
      <w:r w:rsidRPr="00E63E7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21</m:t>
            </m:r>
          </m:sub>
        </m:sSub>
      </m:oMath>
      <w:r w:rsidRPr="00E63E74">
        <w:rPr>
          <w:rFonts w:ascii="Times New Roman" w:hAnsi="Times New Roman" w:cs="Times New Roman"/>
        </w:rPr>
        <w:t xml:space="preserve"> provide the conventional specular reflection and transmission channels. Once a higher Floquet order becomes propagating, however, a two-number description is incomplete. The implementation sh</w:t>
      </w:r>
      <w:r w:rsidRPr="00E63E74">
        <w:rPr>
          <w:rFonts w:ascii="Times New Roman" w:hAnsi="Times New Roman" w:cs="Times New Roman"/>
        </w:rPr>
        <w:t xml:space="preserve">ould then calculate a multimode set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pq</m:t>
            </m:r>
          </m:sub>
        </m:sSub>
      </m:oMath>
      <w:r w:rsidRPr="00E63E74">
        <w:rPr>
          <w:rFonts w:ascii="Times New Roman" w:hAnsi="Times New Roman" w:cs="Times New Roman"/>
        </w:rPr>
        <w:t xml:space="preserve"> and use</w:t>
      </w:r>
    </w:p>
    <w:p w:rsidR="0090136C" w:rsidRPr="00E63E74" w:rsidRDefault="00E63E74" w:rsidP="00E63E74">
      <w:pPr>
        <w:pStyle w:val="BodyText"/>
        <w:jc w:val="both"/>
        <w:rPr>
          <w:rFonts w:ascii="Times New Roman" w:hAnsi="Times New Roman" w:cs="Times New Roman"/>
        </w:rPr>
      </w:pPr>
      <m:oMathPara>
        <m:oMathParaPr>
          <m:jc m:val="center"/>
        </m:oMathParaPr>
        <m:oMath>
          <m:r>
            <w:rPr>
              <w:rFonts w:ascii="Cambria Math" w:hAnsi="Cambria Math" w:cs="Times New Roman"/>
            </w:rPr>
            <m:t>R</m:t>
          </m:r>
          <m:r>
            <m:rPr>
              <m:sty m:val="p"/>
            </m:rPr>
            <w:rPr>
              <w:rFonts w:ascii="Cambria Math" w:hAnsi="Cambria Math" w:cs="Times New Roman"/>
            </w:rPr>
            <m:t>=</m:t>
          </m:r>
          <m:nary>
            <m:naryPr>
              <m:chr m:val="∑"/>
              <m:limLoc m:val="undOvr"/>
              <m:supHide m:val="1"/>
              <m:ctrlPr>
                <w:rPr>
                  <w:rFonts w:ascii="Cambria Math" w:hAnsi="Cambria Math" w:cs="Times New Roman"/>
                </w:rPr>
              </m:ctrlPr>
            </m:naryPr>
            <m:sub>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P</m:t>
                  </m:r>
                </m:e>
                <m:sub>
                  <m:r>
                    <w:rPr>
                      <w:rFonts w:ascii="Cambria Math" w:hAnsi="Cambria Math" w:cs="Times New Roman"/>
                    </w:rPr>
                    <m:t>1</m:t>
                  </m:r>
                </m:sub>
              </m:sSub>
            </m:sub>
            <m:sup>
              <m:r>
                <w:rPr>
                  <w:rFonts w:ascii="Cambria Math" w:hAnsi="Cambria Math" w:cs="Times New Roman"/>
                </w:rPr>
                <m:t>​</m:t>
              </m:r>
            </m:sup>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pq</m:t>
                      </m:r>
                    </m:sub>
                    <m:sup>
                      <m:r>
                        <m:rPr>
                          <m:sty m:val="p"/>
                        </m:rPr>
                        <w:rPr>
                          <w:rFonts w:ascii="Cambria Math" w:hAnsi="Cambria Math" w:cs="Times New Roman"/>
                        </w:rPr>
                        <m:t>ref</m:t>
                      </m:r>
                    </m:sup>
                  </m:sSubSup>
                </m:num>
                <m:den>
                  <m:sSup>
                    <m:sSupPr>
                      <m:ctrlPr>
                        <w:rPr>
                          <w:rFonts w:ascii="Cambria Math" w:hAnsi="Cambria Math" w:cs="Times New Roman"/>
                        </w:rPr>
                      </m:ctrlPr>
                    </m:sSupPr>
                    <m:e>
                      <m:r>
                        <w:rPr>
                          <w:rFonts w:ascii="Cambria Math" w:hAnsi="Cambria Math" w:cs="Times New Roman"/>
                        </w:rPr>
                        <m:t>P</m:t>
                      </m:r>
                    </m:e>
                    <m:sup>
                      <m:r>
                        <m:rPr>
                          <m:sty m:val="p"/>
                        </m:rPr>
                        <w:rPr>
                          <w:rFonts w:ascii="Cambria Math" w:hAnsi="Cambria Math" w:cs="Times New Roman"/>
                        </w:rPr>
                        <m:t>inc</m:t>
                      </m:r>
                    </m:sup>
                  </m:sSup>
                </m:den>
              </m:f>
            </m:e>
          </m:nary>
          <m:r>
            <m:rPr>
              <m:sty m:val="p"/>
            </m:rPr>
            <w:rPr>
              <w:rFonts w:ascii="Cambria Math" w:hAnsi="Cambria Math" w:cs="Times New Roman"/>
            </w:rPr>
            <m:t>,</m:t>
          </m:r>
          <m:r>
            <w:rPr>
              <w:rFonts w:ascii="Cambria Math" w:hAnsi="Cambria Math" w:cs="Times New Roman"/>
            </w:rPr>
            <m:t>  </m:t>
          </m:r>
          <m:r>
            <w:rPr>
              <w:rFonts w:ascii="Cambria Math" w:hAnsi="Cambria Math" w:cs="Times New Roman"/>
            </w:rPr>
            <m:t>T</m:t>
          </m:r>
          <m:r>
            <m:rPr>
              <m:sty m:val="p"/>
            </m:rPr>
            <w:rPr>
              <w:rFonts w:ascii="Cambria Math" w:hAnsi="Cambria Math" w:cs="Times New Roman"/>
            </w:rPr>
            <m:t>=</m:t>
          </m:r>
          <m:nary>
            <m:naryPr>
              <m:chr m:val="∑"/>
              <m:limLoc m:val="undOvr"/>
              <m:supHide m:val="1"/>
              <m:ctrlPr>
                <w:rPr>
                  <w:rFonts w:ascii="Cambria Math" w:hAnsi="Cambria Math" w:cs="Times New Roman"/>
                </w:rPr>
              </m:ctrlPr>
            </m:naryPr>
            <m:sub>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P</m:t>
                  </m:r>
                </m:e>
                <m:sub>
                  <m:r>
                    <w:rPr>
                      <w:rFonts w:ascii="Cambria Math" w:hAnsi="Cambria Math" w:cs="Times New Roman"/>
                    </w:rPr>
                    <m:t>2</m:t>
                  </m:r>
                </m:sub>
              </m:sSub>
            </m:sub>
            <m:sup>
              <m:r>
                <w:rPr>
                  <w:rFonts w:ascii="Cambria Math" w:hAnsi="Cambria Math" w:cs="Times New Roman"/>
                </w:rPr>
                <m:t>​</m:t>
              </m:r>
            </m:sup>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pq</m:t>
                      </m:r>
                    </m:sub>
                    <m:sup>
                      <m:r>
                        <m:rPr>
                          <m:sty m:val="p"/>
                        </m:rPr>
                        <w:rPr>
                          <w:rFonts w:ascii="Cambria Math" w:hAnsi="Cambria Math" w:cs="Times New Roman"/>
                        </w:rPr>
                        <m:t>tr</m:t>
                      </m:r>
                    </m:sup>
                  </m:sSubSup>
                </m:num>
                <m:den>
                  <m:sSup>
                    <m:sSupPr>
                      <m:ctrlPr>
                        <w:rPr>
                          <w:rFonts w:ascii="Cambria Math" w:hAnsi="Cambria Math" w:cs="Times New Roman"/>
                        </w:rPr>
                      </m:ctrlPr>
                    </m:sSupPr>
                    <m:e>
                      <m:r>
                        <w:rPr>
                          <w:rFonts w:ascii="Cambria Math" w:hAnsi="Cambria Math" w:cs="Times New Roman"/>
                        </w:rPr>
                        <m:t>P</m:t>
                      </m:r>
                    </m:e>
                    <m:sup>
                      <m:r>
                        <m:rPr>
                          <m:sty m:val="p"/>
                        </m:rPr>
                        <w:rPr>
                          <w:rFonts w:ascii="Cambria Math" w:hAnsi="Cambria Math" w:cs="Times New Roman"/>
                        </w:rPr>
                        <m:t>inc</m:t>
                      </m:r>
                    </m:sup>
                  </m:sSup>
                </m:den>
              </m:f>
            </m:e>
          </m:nary>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 xml:space="preserve">where </w:t>
      </w:r>
      <m:oMath>
        <m:sSub>
          <m:sSubPr>
            <m:ctrlPr>
              <w:rPr>
                <w:rFonts w:ascii="Cambria Math" w:hAnsi="Cambria Math" w:cs="Times New Roman"/>
              </w:rPr>
            </m:ctrlPr>
          </m:sSubPr>
          <m:e>
            <m:r>
              <m:rPr>
                <m:scr m:val="script"/>
                <m:sty m:val="p"/>
              </m:rPr>
              <w:rPr>
                <w:rFonts w:ascii="Cambria Math" w:hAnsi="Cambria Math" w:cs="Times New Roman"/>
              </w:rPr>
              <m:t>P</m:t>
            </m:r>
          </m:e>
          <m:sub>
            <m:r>
              <w:rPr>
                <w:rFonts w:ascii="Cambria Math" w:hAnsi="Cambria Math" w:cs="Times New Roman"/>
              </w:rPr>
              <m:t>1</m:t>
            </m:r>
          </m:sub>
        </m:sSub>
      </m:oMath>
      <w:r w:rsidRPr="00E63E74">
        <w:rPr>
          <w:rFonts w:ascii="Times New Roman" w:hAnsi="Times New Roman" w:cs="Times New Roman"/>
        </w:rPr>
        <w:t xml:space="preserve"> and </w:t>
      </w:r>
      <m:oMath>
        <m:sSub>
          <m:sSubPr>
            <m:ctrlPr>
              <w:rPr>
                <w:rFonts w:ascii="Cambria Math" w:hAnsi="Cambria Math" w:cs="Times New Roman"/>
              </w:rPr>
            </m:ctrlPr>
          </m:sSubPr>
          <m:e>
            <m:r>
              <m:rPr>
                <m:scr m:val="script"/>
                <m:sty m:val="p"/>
              </m:rPr>
              <w:rPr>
                <w:rFonts w:ascii="Cambria Math" w:hAnsi="Cambria Math" w:cs="Times New Roman"/>
              </w:rPr>
              <m:t>P</m:t>
            </m:r>
          </m:e>
          <m:sub>
            <m:r>
              <w:rPr>
                <w:rFonts w:ascii="Cambria Math" w:hAnsi="Cambria Math" w:cs="Times New Roman"/>
              </w:rPr>
              <m:t>2</m:t>
            </m:r>
          </m:sub>
        </m:sSub>
      </m:oMath>
      <w:r w:rsidRPr="00E63E74">
        <w:rPr>
          <w:rFonts w:ascii="Times New Roman" w:hAnsi="Times New Roman" w:cs="Times New Roman"/>
        </w:rPr>
        <w:t xml:space="preserve"> contain the propagating reflected and transmitted modes. This distinction should be tested near the first diffraction/Rayleig</w:t>
      </w:r>
      <w:r w:rsidRPr="00E63E74">
        <w:rPr>
          <w:rFonts w:ascii="Times New Roman" w:hAnsi="Times New Roman" w:cs="Times New Roman"/>
        </w:rPr>
        <w:t>h threshold rather than assuming that the fundamental mode is always the only propagating one.</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For a passive lossless test structure, a useful implementation check is</w:t>
      </w:r>
    </w:p>
    <w:p w:rsidR="0090136C" w:rsidRPr="00E63E74" w:rsidRDefault="00E63E74" w:rsidP="00E63E74">
      <w:pPr>
        <w:pStyle w:val="BodyText"/>
        <w:jc w:val="both"/>
        <w:rPr>
          <w:rFonts w:ascii="Times New Roman" w:hAnsi="Times New Roman" w:cs="Times New Roman"/>
        </w:rPr>
      </w:pPr>
      <m:oMathPara>
        <m:oMathParaPr>
          <m:jc m:val="center"/>
        </m:oMathParaP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lastRenderedPageBreak/>
        <w:t>whereas for lossy materials</w:t>
      </w:r>
    </w:p>
    <w:p w:rsidR="0090136C" w:rsidRPr="00E63E74" w:rsidRDefault="00E63E74" w:rsidP="00E63E74">
      <w:pPr>
        <w:pStyle w:val="BodyText"/>
        <w:jc w:val="both"/>
        <w:rPr>
          <w:rFonts w:ascii="Times New Roman" w:hAnsi="Times New Roman" w:cs="Times New Roman"/>
        </w:rPr>
      </w:pPr>
      <m:oMathPara>
        <m:oMathParaPr>
          <m:jc m:val="center"/>
        </m:oMathParaP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 xml:space="preserve">These conservation tests are extremely valuable because an apparently plausible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11</m:t>
            </m:r>
          </m:sub>
        </m:sSub>
      </m:oMath>
      <w:r w:rsidRPr="00E63E74">
        <w:rPr>
          <w:rFonts w:ascii="Times New Roman" w:hAnsi="Times New Roman" w:cs="Times New Roman"/>
        </w:rPr>
        <w:t xml:space="preserve"> curve can still conceal incorrect modal normalization, Green-function truncation, or transmission-reference conventions.</w:t>
      </w:r>
    </w:p>
    <w:p w:rsidR="0090136C" w:rsidRPr="00E63E74" w:rsidRDefault="00E63E74" w:rsidP="00E63E74">
      <w:pPr>
        <w:pStyle w:val="Heading2"/>
        <w:jc w:val="both"/>
        <w:rPr>
          <w:rFonts w:ascii="Times New Roman" w:hAnsi="Times New Roman" w:cs="Times New Roman"/>
        </w:rPr>
      </w:pPr>
      <w:bookmarkStart w:id="6" w:name="gpu-accelerated-solver-architecture"/>
      <w:bookmarkEnd w:id="4"/>
      <w:bookmarkEnd w:id="5"/>
      <w:r w:rsidRPr="00E63E74">
        <w:rPr>
          <w:rFonts w:ascii="Times New Roman" w:hAnsi="Times New Roman" w:cs="Times New Roman"/>
        </w:rPr>
        <w:t>GPU-accelerated solver architecture</w:t>
      </w:r>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b/>
          <w:bCs/>
        </w:rPr>
        <w:t>Draft manuscri</w:t>
      </w:r>
      <w:r w:rsidRPr="00E63E74">
        <w:rPr>
          <w:rFonts w:ascii="Times New Roman" w:hAnsi="Times New Roman" w:cs="Times New Roman"/>
          <w:b/>
          <w:bCs/>
        </w:rPr>
        <w:t>pt text—GPU Implementation.</w:t>
      </w:r>
      <w:r w:rsidRPr="00E63E74">
        <w:rPr>
          <w:rFonts w:ascii="Times New Roman" w:hAnsi="Times New Roman" w:cs="Times New Roman"/>
        </w:rPr>
        <w:br/>
        <w:t xml:space="preserve">The numerical workflow is separated into geometry preprocessing, periodic interaction evaluation, impedance-matrix assembly, linear solution, and modal post-processing. The principal GPU opportunity arises from the large number </w:t>
      </w:r>
      <w:r w:rsidRPr="00E63E74">
        <w:rPr>
          <w:rFonts w:ascii="Times New Roman" w:hAnsi="Times New Roman" w:cs="Times New Roman"/>
        </w:rPr>
        <w:t xml:space="preserve">of independent source-testing interactions required to form </w:t>
      </w:r>
      <m:oMath>
        <m:r>
          <m:rPr>
            <m:sty m:val="bi"/>
          </m:rPr>
          <w:rPr>
            <w:rFonts w:ascii="Cambria Math" w:hAnsi="Cambria Math" w:cs="Times New Roman"/>
          </w:rPr>
          <m:t>Z</m:t>
        </m:r>
      </m:oMath>
      <w:r w:rsidRPr="00E63E74">
        <w:rPr>
          <w:rFonts w:ascii="Times New Roman" w:hAnsi="Times New Roman" w:cs="Times New Roman"/>
        </w:rPr>
        <w:t xml:space="preserve">. Earlier GPU-MoM research established that matrix construction and linear algebra are viable GPU targets, including RWG formulations and CUDA implementations [7]–[11]. </w:t>
      </w:r>
      <w:hyperlink r:id="rId24">
        <w:r w:rsidRPr="00E63E74">
          <w:rPr>
            <w:rStyle w:val="Hyperlink"/>
            <w:rFonts w:ascii="Times New Roman" w:hAnsi="Times New Roman" w:cs="Times New Roman"/>
          </w:rPr>
          <w:t>[15]</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For </w:t>
      </w:r>
      <m:oMath>
        <m:r>
          <w:rPr>
            <w:rFonts w:ascii="Cambria Math" w:hAnsi="Cambria Math" w:cs="Times New Roman"/>
          </w:rPr>
          <m:t>N</m:t>
        </m:r>
      </m:oMath>
      <w:r w:rsidRPr="00E63E74">
        <w:rPr>
          <w:rFonts w:ascii="Times New Roman" w:hAnsi="Times New Roman" w:cs="Times New Roman"/>
        </w:rPr>
        <w:t xml:space="preserve"> unknowns, the dense matrix contains </w:t>
      </w:r>
      <m:oMath>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oMath>
      <w:r w:rsidRPr="00E63E74">
        <w:rPr>
          <w:rFonts w:ascii="Times New Roman" w:hAnsi="Times New Roman" w:cs="Times New Roman"/>
        </w:rPr>
        <w:t xml:space="preserve"> complex entries. A GPU kernel can therefore map testing/source pairs </w:t>
      </w:r>
      <m:oMath>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w:r w:rsidRPr="00E63E74">
        <w:rPr>
          <w:rFonts w:ascii="Times New Roman" w:hAnsi="Times New Roman" w:cs="Times New Roman"/>
        </w:rPr>
        <w:t xml:space="preserve"> to independent threads or thread blocks, with quadrature data, basis-function geometry,</w:t>
      </w:r>
      <w:r w:rsidRPr="00E63E74">
        <w:rPr>
          <w:rFonts w:ascii="Times New Roman" w:hAnsi="Times New Roman" w:cs="Times New Roman"/>
        </w:rPr>
        <w:t xml:space="preserve"> periodic phase terms, and Green-function parameters stored in device-accessible arrays. The self and near-singular interactions should be separated from ordinary far interactions when different quadrature or singularity-extraction procedures are required.</w:t>
      </w:r>
      <w:r w:rsidRPr="00E63E74">
        <w:rPr>
          <w:rFonts w:ascii="Times New Roman" w:hAnsi="Times New Roman" w:cs="Times New Roman"/>
        </w:rPr>
        <w:t xml:space="preserve"> This separation is numerically more defensible than forcing all matrix entries through a single vectorized kernel merely to maximize GPU occupancy.</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A practical architecture is</w:t>
      </w:r>
    </w:p>
    <w:p w:rsidR="0090136C" w:rsidRPr="00E63E74" w:rsidRDefault="00E63E74" w:rsidP="00E63E74">
      <w:pPr>
        <w:pStyle w:val="BodyText"/>
        <w:jc w:val="both"/>
        <w:rPr>
          <w:rFonts w:ascii="Times New Roman" w:hAnsi="Times New Roman" w:cs="Times New Roman"/>
        </w:rPr>
      </w:pPr>
      <m:oMathPara>
        <m:oMathParaPr>
          <m:jc m:val="center"/>
        </m:oMathParaPr>
        <m:oMath>
          <m:r>
            <m:rPr>
              <m:nor/>
            </m:rPr>
            <w:rPr>
              <w:rFonts w:ascii="Times New Roman" w:hAnsi="Times New Roman" w:cs="Times New Roman"/>
            </w:rPr>
            <m:t>geometry</m:t>
          </m:r>
          <m:r>
            <m:rPr>
              <m:sty m:val="p"/>
            </m:rPr>
            <w:rPr>
              <w:rFonts w:ascii="Cambria Math" w:hAnsi="Cambria Math" w:cs="Times New Roman"/>
            </w:rPr>
            <m:t>→</m:t>
          </m:r>
          <m:r>
            <m:rPr>
              <m:nor/>
            </m:rPr>
            <w:rPr>
              <w:rFonts w:ascii="Times New Roman" w:hAnsi="Times New Roman" w:cs="Times New Roman"/>
            </w:rPr>
            <m:t>mesh/basis</m:t>
          </m:r>
          <m:r>
            <m:rPr>
              <m:sty m:val="p"/>
            </m:rPr>
            <w:rPr>
              <w:rFonts w:ascii="Cambria Math" w:hAnsi="Cambria Math" w:cs="Times New Roman"/>
            </w:rPr>
            <m:t>→</m:t>
          </m:r>
          <m:r>
            <m:rPr>
              <m:nor/>
            </m:rPr>
            <w:rPr>
              <w:rFonts w:ascii="Times New Roman" w:hAnsi="Times New Roman" w:cs="Times New Roman"/>
            </w:rPr>
            <m:t>periodic-GF data</m:t>
          </m:r>
          <m:r>
            <m:rPr>
              <m:sty m:val="p"/>
            </m:rPr>
            <w:rPr>
              <w:rFonts w:ascii="Cambria Math" w:hAnsi="Cambria Math" w:cs="Times New Roman"/>
            </w:rPr>
            <m:t>→</m:t>
          </m:r>
          <m:r>
            <m:rPr>
              <m:sty m:val="bi"/>
            </m:rPr>
            <w:rPr>
              <w:rFonts w:ascii="Cambria Math" w:hAnsi="Cambria Math" w:cs="Times New Roman"/>
            </w:rPr>
            <m:t>Z</m:t>
          </m:r>
          <m:r>
            <m:rPr>
              <m:sty m:val="p"/>
            </m:rPr>
            <w:rPr>
              <w:rFonts w:ascii="Cambria Math" w:hAnsi="Cambria Math" w:cs="Times New Roman"/>
            </w:rPr>
            <m:t>→</m:t>
          </m:r>
          <m:r>
            <m:rPr>
              <m:sty m:val="bi"/>
            </m:rPr>
            <w:rPr>
              <w:rFonts w:ascii="Cambria Math" w:hAnsi="Cambria Math" w:cs="Times New Roman"/>
            </w:rPr>
            <m:t>V</m:t>
          </m:r>
          <m:r>
            <m:rPr>
              <m:sty m:val="p"/>
            </m:rPr>
            <w:rPr>
              <w:rFonts w:ascii="Cambria Math" w:hAnsi="Cambria Math" w:cs="Times New Roman"/>
            </w:rPr>
            <m:t>→</m:t>
          </m:r>
          <m:r>
            <m:rPr>
              <m:sty m:val="bi"/>
            </m:rPr>
            <w:rPr>
              <w:rFonts w:ascii="Cambria Math" w:hAnsi="Cambria Math" w:cs="Times New Roman"/>
            </w:rPr>
            <m:t>I</m:t>
          </m:r>
          <m:r>
            <m:rPr>
              <m:sty m:val="p"/>
            </m:rPr>
            <w:rPr>
              <w:rFonts w:ascii="Cambria Math" w:hAnsi="Cambria Math" w:cs="Times New Roman"/>
            </w:rPr>
            <m:t>→</m:t>
          </m:r>
          <m:r>
            <m:rPr>
              <m:nor/>
            </m:rPr>
            <w:rPr>
              <w:rFonts w:ascii="Times New Roman" w:hAnsi="Times New Roman" w:cs="Times New Roman"/>
            </w:rPr>
            <m:t>Floquet projection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pq</m:t>
              </m:r>
            </m:sub>
          </m:sSub>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 xml:space="preserve">The </w:t>
      </w:r>
      <w:r w:rsidRPr="00E63E74">
        <w:rPr>
          <w:rFonts w:ascii="Times New Roman" w:hAnsi="Times New Roman" w:cs="Times New Roman"/>
        </w:rPr>
        <w:t xml:space="preserve">CPU is well suited to lightweight geometry bookkeeping and job orchestration, while the expensive interaction loops and dense linear algebra remain resident on the accelerator. Host-device transfers should be minimized; in particular, transferring </w:t>
      </w:r>
      <m:oMath>
        <m:r>
          <m:rPr>
            <m:sty m:val="bi"/>
          </m:rPr>
          <w:rPr>
            <w:rFonts w:ascii="Cambria Math" w:hAnsi="Cambria Math" w:cs="Times New Roman"/>
          </w:rPr>
          <m:t>Z</m:t>
        </m:r>
      </m:oMath>
      <w:r w:rsidRPr="00E63E74">
        <w:rPr>
          <w:rFonts w:ascii="Times New Roman" w:hAnsi="Times New Roman" w:cs="Times New Roman"/>
        </w:rPr>
        <w:t xml:space="preserve"> repea</w:t>
      </w:r>
      <w:r w:rsidRPr="00E63E74">
        <w:rPr>
          <w:rFonts w:ascii="Times New Roman" w:hAnsi="Times New Roman" w:cs="Times New Roman"/>
        </w:rPr>
        <w:t>tedly between the host and device would negate part of the benefit of GPU matrix assembly.</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For a dense direct solver,</w:t>
      </w:r>
    </w:p>
    <w:p w:rsidR="0090136C" w:rsidRPr="00E63E74" w:rsidRDefault="00E63E74" w:rsidP="00E63E74">
      <w:pPr>
        <w:pStyle w:val="BodyText"/>
        <w:jc w:val="both"/>
        <w:rPr>
          <w:rFonts w:ascii="Times New Roman" w:hAnsi="Times New Roman" w:cs="Times New Roman"/>
        </w:rPr>
      </w:pPr>
      <m:oMathPara>
        <m:oMathParaPr>
          <m:jc m:val="center"/>
        </m:oMathParaPr>
        <m:oMath>
          <m:r>
            <m:rPr>
              <m:sty m:val="bi"/>
            </m:rPr>
            <w:rPr>
              <w:rFonts w:ascii="Cambria Math" w:hAnsi="Cambria Math" w:cs="Times New Roman"/>
            </w:rPr>
            <m:t>ZI</m:t>
          </m:r>
          <m:r>
            <m:rPr>
              <m:sty m:val="p"/>
            </m:rPr>
            <w:rPr>
              <w:rFonts w:ascii="Cambria Math" w:hAnsi="Cambria Math" w:cs="Times New Roman"/>
            </w:rPr>
            <m:t>=</m:t>
          </m:r>
          <m:r>
            <m:rPr>
              <m:sty m:val="bi"/>
            </m:rPr>
            <w:rPr>
              <w:rFonts w:ascii="Cambria Math" w:hAnsi="Cambria Math" w:cs="Times New Roman"/>
            </w:rPr>
            <m:t>V</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may be solved through LU factorization with pivoting. GPU LU decomposition has previously been investigated explicitly for large M</w:t>
      </w:r>
      <w:r w:rsidRPr="00E63E74">
        <w:rPr>
          <w:rFonts w:ascii="Times New Roman" w:hAnsi="Times New Roman" w:cs="Times New Roman"/>
        </w:rPr>
        <w:t>oM systems [9], while modern GPU linear-algebra libraries provide dense factorizations and linear-system solves directly on the accelerator. NVIDIA's cuSOLVER documentation describes GPU-accelerated dense and sparse matrix decompositions and solution routi</w:t>
      </w:r>
      <w:r w:rsidRPr="00E63E74">
        <w:rPr>
          <w:rFonts w:ascii="Times New Roman" w:hAnsi="Times New Roman" w:cs="Times New Roman"/>
        </w:rPr>
        <w:t xml:space="preserve">nes, including LU-related functionality. </w:t>
      </w:r>
      <w:hyperlink r:id="rId25">
        <w:r w:rsidRPr="00E63E74">
          <w:rPr>
            <w:rStyle w:val="Hyperlink"/>
            <w:rFonts w:ascii="Times New Roman" w:hAnsi="Times New Roman" w:cs="Times New Roman"/>
          </w:rPr>
          <w:t>[16]</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Two implementation paths are particularly appropriate for a Python codebase. </w:t>
      </w:r>
      <w:r w:rsidRPr="00E63E74">
        <w:rPr>
          <w:rFonts w:ascii="Times New Roman" w:hAnsi="Times New Roman" w:cs="Times New Roman"/>
          <w:b/>
          <w:bCs/>
        </w:rPr>
        <w:t>CuPy</w:t>
      </w:r>
      <w:r w:rsidRPr="00E63E74">
        <w:rPr>
          <w:rFonts w:ascii="Times New Roman" w:hAnsi="Times New Roman" w:cs="Times New Roman"/>
        </w:rPr>
        <w:t xml:space="preserve"> provides a NumPy/SciPy-like GPU arra</w:t>
      </w:r>
      <w:r w:rsidRPr="00E63E74">
        <w:rPr>
          <w:rFonts w:ascii="Times New Roman" w:hAnsi="Times New Roman" w:cs="Times New Roman"/>
        </w:rPr>
        <w:t xml:space="preserve">y model and is a natural choice when the existing CPU implementation already uses NumPy semantics. </w:t>
      </w:r>
      <w:r w:rsidRPr="00E63E74">
        <w:rPr>
          <w:rFonts w:ascii="Times New Roman" w:hAnsi="Times New Roman" w:cs="Times New Roman"/>
          <w:b/>
          <w:bCs/>
        </w:rPr>
        <w:t>PyTorch</w:t>
      </w:r>
      <w:r w:rsidRPr="00E63E74">
        <w:rPr>
          <w:rFonts w:ascii="Times New Roman" w:hAnsi="Times New Roman" w:cs="Times New Roman"/>
        </w:rPr>
        <w:t xml:space="preserve"> is attractive when longer-term integration with machine-learning code or differentiability is desired; current PyTorch supports </w:t>
      </w:r>
      <w:r w:rsidRPr="00E63E74">
        <w:rPr>
          <w:rFonts w:ascii="Times New Roman" w:hAnsi="Times New Roman" w:cs="Times New Roman"/>
        </w:rPr>
        <w:lastRenderedPageBreak/>
        <w:t>complex tensors and a</w:t>
      </w:r>
      <w:r w:rsidRPr="00E63E74">
        <w:rPr>
          <w:rFonts w:ascii="Times New Roman" w:hAnsi="Times New Roman" w:cs="Times New Roman"/>
        </w:rPr>
        <w:t xml:space="preserve">utomatic differentiation for complex-valued operations. These are implementation options rather than research contributions in themselves. </w:t>
      </w:r>
      <w:hyperlink r:id="rId26">
        <w:r w:rsidRPr="00E63E74">
          <w:rPr>
            <w:rStyle w:val="Hyperlink"/>
            <w:rFonts w:ascii="Times New Roman" w:hAnsi="Times New Roman" w:cs="Times New Roman"/>
          </w:rPr>
          <w:t>[17]</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A useful software design is therefore to separate the electromagnetic formulation from the numerical backend:</w:t>
      </w:r>
    </w:p>
    <w:p w:rsidR="0090136C" w:rsidRPr="00E63E74" w:rsidRDefault="00E63E74" w:rsidP="00E63E74">
      <w:pPr>
        <w:pStyle w:val="BodyText"/>
        <w:jc w:val="both"/>
        <w:rPr>
          <w:rFonts w:ascii="Times New Roman" w:hAnsi="Times New Roman" w:cs="Times New Roman"/>
        </w:rPr>
      </w:pPr>
      <m:oMathPara>
        <m:oMathParaPr>
          <m:jc m:val="center"/>
        </m:oMathParaPr>
        <m:oMath>
          <m:r>
            <m:rPr>
              <m:nor/>
            </m:rPr>
            <w:rPr>
              <w:rFonts w:ascii="Times New Roman" w:hAnsi="Times New Roman" w:cs="Times New Roman"/>
            </w:rPr>
            <m:t>backend</m:t>
          </m:r>
          <m:r>
            <m:rPr>
              <m:sty m:val="p"/>
            </m:rPr>
            <w:rPr>
              <w:rFonts w:ascii="Cambria Math" w:hAnsi="Cambria Math" w:cs="Times New Roman"/>
            </w:rPr>
            <m:t>∈{</m:t>
          </m:r>
          <m:r>
            <m:rPr>
              <m:nor/>
            </m:rPr>
            <w:rPr>
              <w:rFonts w:ascii="Times New Roman" w:hAnsi="Times New Roman" w:cs="Times New Roman"/>
            </w:rPr>
            <m:t>NumPy</m:t>
          </m:r>
          <m:r>
            <m:rPr>
              <m:sty m:val="p"/>
            </m:rPr>
            <w:rPr>
              <w:rFonts w:ascii="Cambria Math" w:hAnsi="Cambria Math" w:cs="Times New Roman"/>
            </w:rPr>
            <m:t>,</m:t>
          </m:r>
          <m:r>
            <m:rPr>
              <m:nor/>
            </m:rPr>
            <w:rPr>
              <w:rFonts w:ascii="Times New Roman" w:hAnsi="Times New Roman" w:cs="Times New Roman"/>
            </w:rPr>
            <m:t>CuPy</m:t>
          </m:r>
          <m:r>
            <m:rPr>
              <m:sty m:val="p"/>
            </m:rPr>
            <w:rPr>
              <w:rFonts w:ascii="Cambria Math" w:hAnsi="Cambria Math" w:cs="Times New Roman"/>
            </w:rPr>
            <m:t>,</m:t>
          </m:r>
          <m:r>
            <m:rPr>
              <m:nor/>
            </m:rPr>
            <w:rPr>
              <w:rFonts w:ascii="Times New Roman" w:hAnsi="Times New Roman" w:cs="Times New Roman"/>
            </w:rPr>
            <m:t>PyTorch</m:t>
          </m:r>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The CPU and GPU implementations can then share the same basis-function definitions, quadrature nodes, periodic Green</w:t>
      </w:r>
      <w:r w:rsidRPr="00E63E74">
        <w:rPr>
          <w:rFonts w:ascii="Times New Roman" w:hAnsi="Times New Roman" w:cs="Times New Roman"/>
        </w:rPr>
        <w:t xml:space="preserve">-function conventions, and </w:t>
      </w:r>
      <m:oMath>
        <m:r>
          <w:rPr>
            <w:rFonts w:ascii="Cambria Math" w:hAnsi="Cambria Math" w:cs="Times New Roman"/>
          </w:rPr>
          <m:t>S</m:t>
        </m:r>
      </m:oMath>
      <w:r w:rsidRPr="00E63E74">
        <w:rPr>
          <w:rFonts w:ascii="Times New Roman" w:hAnsi="Times New Roman" w:cs="Times New Roman"/>
        </w:rPr>
        <w:t>-parameter post-processing. This is valuable scientifically because differences between CPU and GPU results can be attributed primarily to numerical precision and execution backend rather than to two independent physics impleme</w:t>
      </w:r>
      <w:r w:rsidRPr="00E63E74">
        <w:rPr>
          <w:rFonts w:ascii="Times New Roman" w:hAnsi="Times New Roman" w:cs="Times New Roman"/>
        </w:rPr>
        <w:t>ntations.</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The paper should report both </w:t>
      </w:r>
      <w:r w:rsidRPr="00E63E74">
        <w:rPr>
          <w:rStyle w:val="VerbatimChar"/>
          <w:rFonts w:ascii="Times New Roman" w:hAnsi="Times New Roman" w:cs="Times New Roman"/>
        </w:rPr>
        <w:t>complex64</w:t>
      </w:r>
      <w:r w:rsidRPr="00E63E74">
        <w:rPr>
          <w:rFonts w:ascii="Times New Roman" w:hAnsi="Times New Roman" w:cs="Times New Roman"/>
        </w:rPr>
        <w:t xml:space="preserve"> and </w:t>
      </w:r>
      <w:r w:rsidRPr="00E63E74">
        <w:rPr>
          <w:rStyle w:val="VerbatimChar"/>
          <w:rFonts w:ascii="Times New Roman" w:hAnsi="Times New Roman" w:cs="Times New Roman"/>
        </w:rPr>
        <w:t>complex128</w:t>
      </w:r>
      <w:r w:rsidRPr="00E63E74">
        <w:rPr>
          <w:rFonts w:ascii="Times New Roman" w:hAnsi="Times New Roman" w:cs="Times New Roman"/>
        </w:rPr>
        <w:t xml:space="preserve"> behavior if single precision is contemplated. Resonant metasurface problems may produce poorly conditioned matrices or highly sensitive phase responses, and a large speed advantage obtained on</w:t>
      </w:r>
      <w:r w:rsidRPr="00E63E74">
        <w:rPr>
          <w:rFonts w:ascii="Times New Roman" w:hAnsi="Times New Roman" w:cs="Times New Roman"/>
        </w:rPr>
        <w:t xml:space="preserve">ly by reducing precision is not meaningful unless the resulting </w:t>
      </w:r>
      <m:oMath>
        <m:r>
          <w:rPr>
            <w:rFonts w:ascii="Cambria Math" w:hAnsi="Cambria Math" w:cs="Times New Roman"/>
          </w:rPr>
          <m:t>S</m:t>
        </m:r>
      </m:oMath>
      <w:r w:rsidRPr="00E63E74">
        <w:rPr>
          <w:rFonts w:ascii="Times New Roman" w:hAnsi="Times New Roman" w:cs="Times New Roman"/>
        </w:rPr>
        <w:t>-parameter error is quantified. The production default should therefore be justified empirically rather than chosen from GPU throughput specifications.</w:t>
      </w:r>
    </w:p>
    <w:p w:rsidR="0090136C" w:rsidRPr="00E63E74" w:rsidRDefault="00E63E74" w:rsidP="00E63E74">
      <w:pPr>
        <w:pStyle w:val="Heading3"/>
        <w:jc w:val="both"/>
        <w:rPr>
          <w:rFonts w:ascii="Times New Roman" w:hAnsi="Times New Roman" w:cs="Times New Roman"/>
        </w:rPr>
      </w:pPr>
      <w:bookmarkStart w:id="7" w:name="batch-processing-and-hpc-deployment"/>
      <w:r w:rsidRPr="00E63E74">
        <w:rPr>
          <w:rFonts w:ascii="Times New Roman" w:hAnsi="Times New Roman" w:cs="Times New Roman"/>
        </w:rPr>
        <w:t>Batch processing and HPC deployment</w:t>
      </w:r>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Th</w:t>
      </w:r>
      <w:r w:rsidRPr="00E63E74">
        <w:rPr>
          <w:rFonts w:ascii="Times New Roman" w:hAnsi="Times New Roman" w:cs="Times New Roman"/>
        </w:rPr>
        <w:t xml:space="preserve">e most important high-throughput parallelism may occur </w:t>
      </w:r>
      <w:r w:rsidRPr="00E63E74">
        <w:rPr>
          <w:rFonts w:ascii="Times New Roman" w:hAnsi="Times New Roman" w:cs="Times New Roman"/>
          <w:b/>
          <w:bCs/>
        </w:rPr>
        <w:t>above</w:t>
      </w:r>
      <w:r w:rsidRPr="00E63E74">
        <w:rPr>
          <w:rFonts w:ascii="Times New Roman" w:hAnsi="Times New Roman" w:cs="Times New Roman"/>
        </w:rPr>
        <w:t xml:space="preserve"> the individual MoM matrix. A dataset-generation task containing independent unit cells</w:t>
      </w:r>
    </w:p>
    <w:p w:rsidR="0090136C" w:rsidRPr="00E63E74" w:rsidRDefault="00E63E74" w:rsidP="00E63E74">
      <w:pPr>
        <w:pStyle w:val="BodyText"/>
        <w:jc w:val="both"/>
        <w:rPr>
          <w:rFonts w:ascii="Times New Roman" w:hAnsi="Times New Roman" w:cs="Times New Roman"/>
        </w:rPr>
      </w:pPr>
      <m:oMathPara>
        <m:oMathParaPr>
          <m:jc m:val="center"/>
        </m:oMathParaPr>
        <m:oMath>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G</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G</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G</m:t>
              </m:r>
            </m:e>
            <m:sub>
              <m:r>
                <w:rPr>
                  <w:rFonts w:ascii="Cambria Math" w:hAnsi="Cambria Math" w:cs="Times New Roman"/>
                </w:rPr>
                <m:t>M</m:t>
              </m:r>
            </m:sub>
          </m:sSub>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naturally decomposes into independent forward solves. Consequently, one GPU can process a q</w:t>
      </w:r>
      <w:r w:rsidRPr="00E63E74">
        <w:rPr>
          <w:rFonts w:ascii="Times New Roman" w:hAnsi="Times New Roman" w:cs="Times New Roman"/>
        </w:rPr>
        <w:t>ueue or batch of geometries while multiple GPUs process different queues simultaneously. This form of coarse-grained parallelism avoids inter-GPU communication and is likely to be more efficient for moderate unit-cell systems than distributing every single</w:t>
      </w:r>
      <w:r w:rsidRPr="00E63E74">
        <w:rPr>
          <w:rFonts w:ascii="Times New Roman" w:hAnsi="Times New Roman" w:cs="Times New Roman"/>
        </w:rPr>
        <w:t xml:space="preserve"> dense matrix across multiple devices. This is an architectural inference to be tested by the proposed benchmarks, not a claim that one strategy is universally optimal.</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Several levels of parallelism are therefore available:</w:t>
      </w:r>
    </w:p>
    <w:p w:rsidR="0090136C" w:rsidRPr="00E63E74" w:rsidRDefault="00E63E74" w:rsidP="00E63E74">
      <w:pPr>
        <w:pStyle w:val="BodyText"/>
        <w:jc w:val="both"/>
        <w:rPr>
          <w:rFonts w:ascii="Times New Roman" w:hAnsi="Times New Roman" w:cs="Times New Roman"/>
        </w:rPr>
      </w:pPr>
      <m:oMathPara>
        <m:oMathParaPr>
          <m:jc m:val="center"/>
        </m:oMathParaPr>
        <m:oMath>
          <m:limLow>
            <m:limLowPr>
              <m:ctrlPr>
                <w:rPr>
                  <w:rFonts w:ascii="Cambria Math" w:hAnsi="Cambria Math" w:cs="Times New Roman"/>
                </w:rPr>
              </m:ctrlPr>
            </m:limLowPr>
            <m:e>
              <m:limLow>
                <m:limLowPr>
                  <m:ctrlPr>
                    <w:rPr>
                      <w:rFonts w:ascii="Cambria Math" w:hAnsi="Cambria Math" w:cs="Times New Roman"/>
                    </w:rPr>
                  </m:ctrlPr>
                </m:limLowPr>
                <m:e>
                  <m:r>
                    <m:rPr>
                      <m:nor/>
                    </m:rPr>
                    <w:rPr>
                      <w:rFonts w:ascii="Times New Roman" w:hAnsi="Times New Roman" w:cs="Times New Roman"/>
                    </w:rPr>
                    <m:t>GPU threads</m:t>
                  </m:r>
                </m:e>
                <m:lim>
                  <m:r>
                    <m:rPr>
                      <m:sty m:val="p"/>
                    </m:rPr>
                    <w:rPr>
                      <w:rFonts w:ascii="Cambria Math" w:hAnsi="Cambria Math" w:cs="Times New Roman"/>
                    </w:rPr>
                    <m:t>⏟</m:t>
                  </m:r>
                </m:lim>
              </m:limLow>
            </m:e>
            <m:lim>
              <m:r>
                <m:rPr>
                  <m:nor/>
                </m:rPr>
                <w:rPr>
                  <w:rFonts w:ascii="Times New Roman" w:hAnsi="Times New Roman" w:cs="Times New Roman"/>
                </w:rPr>
                <m:t>matrix interactions</m:t>
              </m:r>
            </m:lim>
          </m:limLow>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limLow>
            <m:limLowPr>
              <m:ctrlPr>
                <w:rPr>
                  <w:rFonts w:ascii="Cambria Math" w:hAnsi="Cambria Math" w:cs="Times New Roman"/>
                </w:rPr>
              </m:ctrlPr>
            </m:limLowPr>
            <m:e>
              <m:limLow>
                <m:limLowPr>
                  <m:ctrlPr>
                    <w:rPr>
                      <w:rFonts w:ascii="Cambria Math" w:hAnsi="Cambria Math" w:cs="Times New Roman"/>
                    </w:rPr>
                  </m:ctrlPr>
                </m:limLowPr>
                <m:e>
                  <m:r>
                    <m:rPr>
                      <m:nor/>
                    </m:rPr>
                    <w:rPr>
                      <w:rFonts w:ascii="Times New Roman" w:hAnsi="Times New Roman" w:cs="Times New Roman"/>
                    </w:rPr>
                    <m:t>GPU process</m:t>
                  </m:r>
                </m:e>
                <m:lim>
                  <m:r>
                    <m:rPr>
                      <m:sty m:val="p"/>
                    </m:rPr>
                    <w:rPr>
                      <w:rFonts w:ascii="Cambria Math" w:hAnsi="Cambria Math" w:cs="Times New Roman"/>
                    </w:rPr>
                    <m:t>⏟</m:t>
                  </m:r>
                </m:lim>
              </m:limLow>
            </m:e>
            <m:lim>
              <m:r>
                <m:rPr>
                  <m:nor/>
                </m:rPr>
                <w:rPr>
                  <w:rFonts w:ascii="Times New Roman" w:hAnsi="Times New Roman" w:cs="Times New Roman"/>
                </w:rPr>
                <m:t>one/batched MoM solves</m:t>
              </m:r>
            </m:lim>
          </m:limLow>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limLow>
            <m:limLowPr>
              <m:ctrlPr>
                <w:rPr>
                  <w:rFonts w:ascii="Cambria Math" w:hAnsi="Cambria Math" w:cs="Times New Roman"/>
                </w:rPr>
              </m:ctrlPr>
            </m:limLowPr>
            <m:e>
              <m:limLow>
                <m:limLowPr>
                  <m:ctrlPr>
                    <w:rPr>
                      <w:rFonts w:ascii="Cambria Math" w:hAnsi="Cambria Math" w:cs="Times New Roman"/>
                    </w:rPr>
                  </m:ctrlPr>
                </m:limLowPr>
                <m:e>
                  <m:r>
                    <m:rPr>
                      <m:nor/>
                    </m:rPr>
                    <w:rPr>
                      <w:rFonts w:ascii="Times New Roman" w:hAnsi="Times New Roman" w:cs="Times New Roman"/>
                    </w:rPr>
                    <m:t>node</m:t>
                  </m:r>
                </m:e>
                <m:lim>
                  <m:r>
                    <m:rPr>
                      <m:sty m:val="p"/>
                    </m:rPr>
                    <w:rPr>
                      <w:rFonts w:ascii="Cambria Math" w:hAnsi="Cambria Math" w:cs="Times New Roman"/>
                    </w:rPr>
                    <m:t>⏟</m:t>
                  </m:r>
                </m:lim>
              </m:limLow>
            </m:e>
            <m:lim>
              <m:r>
                <m:rPr>
                  <m:nor/>
                </m:rPr>
                <w:rPr>
                  <w:rFonts w:ascii="Times New Roman" w:hAnsi="Times New Roman" w:cs="Times New Roman"/>
                </w:rPr>
                <m:t>several GPUs</m:t>
              </m:r>
            </m:lim>
          </m:limLow>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limLow>
            <m:limLowPr>
              <m:ctrlPr>
                <w:rPr>
                  <w:rFonts w:ascii="Cambria Math" w:hAnsi="Cambria Math" w:cs="Times New Roman"/>
                </w:rPr>
              </m:ctrlPr>
            </m:limLowPr>
            <m:e>
              <m:limLow>
                <m:limLowPr>
                  <m:ctrlPr>
                    <w:rPr>
                      <w:rFonts w:ascii="Cambria Math" w:hAnsi="Cambria Math" w:cs="Times New Roman"/>
                    </w:rPr>
                  </m:ctrlPr>
                </m:limLowPr>
                <m:e>
                  <m:r>
                    <m:rPr>
                      <m:nor/>
                    </m:rPr>
                    <w:rPr>
                      <w:rFonts w:ascii="Times New Roman" w:hAnsi="Times New Roman" w:cs="Times New Roman"/>
                    </w:rPr>
                    <m:t>cluster</m:t>
                  </m:r>
                </m:e>
                <m:lim>
                  <m:r>
                    <m:rPr>
                      <m:sty m:val="p"/>
                    </m:rPr>
                    <w:rPr>
                      <w:rFonts w:ascii="Cambria Math" w:hAnsi="Cambria Math" w:cs="Times New Roman"/>
                    </w:rPr>
                    <m:t>⏟</m:t>
                  </m:r>
                </m:lim>
              </m:limLow>
            </m:e>
            <m:lim>
              <m:r>
                <m:rPr>
                  <m:nor/>
                </m:rPr>
                <w:rPr>
                  <w:rFonts w:ascii="Times New Roman" w:hAnsi="Times New Roman" w:cs="Times New Roman"/>
                </w:rPr>
                <m:t>geometry/frequency jobs</m:t>
              </m:r>
            </m:lim>
          </m:limLow>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For HPC deployment, a simple and robust initial model is one worker process per GPU combined with SLURM/PBS job arrays over geometry batches. A distributed dense so</w:t>
      </w:r>
      <w:r w:rsidRPr="00E63E74">
        <w:rPr>
          <w:rFonts w:ascii="Times New Roman" w:hAnsi="Times New Roman" w:cs="Times New Roman"/>
        </w:rPr>
        <w:t xml:space="preserve">lver becomes more relevant only when a </w:t>
      </w:r>
      <w:r w:rsidRPr="00E63E74">
        <w:rPr>
          <w:rFonts w:ascii="Times New Roman" w:hAnsi="Times New Roman" w:cs="Times New Roman"/>
          <w:i/>
          <w:iCs/>
        </w:rPr>
        <w:t>single</w:t>
      </w:r>
      <w:r w:rsidRPr="00E63E74">
        <w:rPr>
          <w:rFonts w:ascii="Times New Roman" w:hAnsi="Times New Roman" w:cs="Times New Roman"/>
        </w:rPr>
        <w:t xml:space="preserve"> MoM system no longer fits into one device's memory. Current NVIDIA tooling includes cuSOLVERMp and Python-accessible distributed direct linear algebra for dense systems across multiple GPUs/nodes, demonstrating</w:t>
      </w:r>
      <w:r w:rsidRPr="00E63E74">
        <w:rPr>
          <w:rFonts w:ascii="Times New Roman" w:hAnsi="Times New Roman" w:cs="Times New Roman"/>
        </w:rPr>
        <w:t xml:space="preserve"> that this extension is technically possible if required. </w:t>
      </w:r>
      <w:hyperlink r:id="rId27">
        <w:r w:rsidRPr="00E63E74">
          <w:rPr>
            <w:rStyle w:val="Hyperlink"/>
            <w:rFonts w:ascii="Times New Roman" w:hAnsi="Times New Roman" w:cs="Times New Roman"/>
          </w:rPr>
          <w:t>[18]</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Frequency sweeps require additional care. The Green function and hence </w:t>
      </w:r>
      <m:oMath>
        <m:r>
          <m:rPr>
            <m:sty m:val="bi"/>
          </m:rPr>
          <w:rPr>
            <w:rFonts w:ascii="Cambria Math" w:hAnsi="Cambria Math" w:cs="Times New Roman"/>
          </w:rPr>
          <m:t>Z</m:t>
        </m:r>
      </m:oMath>
      <w:r w:rsidRPr="00E63E74">
        <w:rPr>
          <w:rFonts w:ascii="Times New Roman" w:hAnsi="Times New Roman" w:cs="Times New Roman"/>
        </w:rPr>
        <w:t xml:space="preserve"> generally change with frequency, so a single factorization </w:t>
      </w:r>
      <w:r w:rsidRPr="00E63E74">
        <w:rPr>
          <w:rFonts w:ascii="Times New Roman" w:hAnsi="Times New Roman" w:cs="Times New Roman"/>
        </w:rPr>
        <w:t>cannot ordinarily be reused over an entire frequency sweep. However, for multiple excitations at identical frequency, geometry, and Floquet phase—</w:t>
      </w:r>
      <w:r w:rsidRPr="00E63E74">
        <w:rPr>
          <w:rFonts w:ascii="Times New Roman" w:hAnsi="Times New Roman" w:cs="Times New Roman"/>
        </w:rPr>
        <w:lastRenderedPageBreak/>
        <w:t>such as multiple right-hand sides compatible with the same operator—a single matrix factorization can be reuse</w:t>
      </w:r>
      <w:r w:rsidRPr="00E63E74">
        <w:rPr>
          <w:rFonts w:ascii="Times New Roman" w:hAnsi="Times New Roman" w:cs="Times New Roman"/>
        </w:rPr>
        <w:t>d. Conversely, changing incidence angle changes the Floquet phase and normally changes the periodic operator, so an angle sweep should not be treated as a simple new right-hand side unless the particular formulation demonstrates otherwise.</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Variable geometr</w:t>
      </w:r>
      <w:r w:rsidRPr="00E63E74">
        <w:rPr>
          <w:rFonts w:ascii="Times New Roman" w:hAnsi="Times New Roman" w:cs="Times New Roman"/>
        </w:rPr>
        <w:t xml:space="preserve">y also complicates conventional “tensor batching.” If every geometry has identical topology and number of unknowns, several matrices can be formed as a batch and passed to batched GPU routines. If geometries have different meshes and different </w:t>
      </w:r>
      <m:oMath>
        <m:r>
          <w:rPr>
            <w:rFonts w:ascii="Cambria Math" w:hAnsi="Cambria Math" w:cs="Times New Roman"/>
          </w:rPr>
          <m:t>N</m:t>
        </m:r>
      </m:oMath>
      <w:r w:rsidRPr="00E63E74">
        <w:rPr>
          <w:rFonts w:ascii="Times New Roman" w:hAnsi="Times New Roman" w:cs="Times New Roman"/>
        </w:rPr>
        <w:t>, job-leve</w:t>
      </w:r>
      <w:r w:rsidRPr="00E63E74">
        <w:rPr>
          <w:rFonts w:ascii="Times New Roman" w:hAnsi="Times New Roman" w:cs="Times New Roman"/>
        </w:rPr>
        <w:t>l batching is usually cleaner than padding all matrices to the largest dimension. The paper should distinguish these two meanings of “batch processing.”</w:t>
      </w:r>
    </w:p>
    <w:p w:rsidR="0090136C" w:rsidRPr="00E63E74" w:rsidRDefault="00E63E74" w:rsidP="00E63E74">
      <w:pPr>
        <w:pStyle w:val="Heading2"/>
        <w:jc w:val="both"/>
        <w:rPr>
          <w:rFonts w:ascii="Times New Roman" w:hAnsi="Times New Roman" w:cs="Times New Roman"/>
        </w:rPr>
      </w:pPr>
      <w:bookmarkStart w:id="8" w:name="Xf9a54ee1b35843c844b1c284122b8e2a67d168d"/>
      <w:bookmarkEnd w:id="6"/>
      <w:bookmarkEnd w:id="7"/>
      <w:r w:rsidRPr="00E63E74">
        <w:rPr>
          <w:rFonts w:ascii="Times New Roman" w:hAnsi="Times New Roman" w:cs="Times New Roman"/>
        </w:rPr>
        <w:t>S-parameter validation and expected results</w:t>
      </w:r>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br/>
        <w:t xml:space="preserve">Accuracy should be demonstrated independently of performance. A fast solver whose </w:t>
      </w:r>
      <m:oMath>
        <m:r>
          <w:rPr>
            <w:rFonts w:ascii="Cambria Math" w:hAnsi="Cambria Math" w:cs="Times New Roman"/>
          </w:rPr>
          <m:t>S</m:t>
        </m:r>
      </m:oMath>
      <w:r w:rsidRPr="00E63E74">
        <w:rPr>
          <w:rFonts w:ascii="Times New Roman" w:hAnsi="Times New Roman" w:cs="Times New Roman"/>
        </w:rPr>
        <w:t>-</w:t>
      </w:r>
      <w:r w:rsidRPr="00E63E74">
        <w:rPr>
          <w:rFonts w:ascii="Times New Roman" w:hAnsi="Times New Roman" w:cs="Times New Roman"/>
        </w:rPr>
        <w:t>parameters have only been visually compared with one commercial-software plot is not sufficient evidence for an electromagnetic solver paper. Validation should proceed from numerical self-consistency to canonical periodic cases and finally to a parametrica</w:t>
      </w:r>
      <w:r w:rsidRPr="00E63E74">
        <w:rPr>
          <w:rFonts w:ascii="Times New Roman" w:hAnsi="Times New Roman" w:cs="Times New Roman"/>
        </w:rPr>
        <w:t>lly diverse comparison against an established full-wave solver.</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The first benchmark should be a simple free-standing periodic conducting patch or aperture array of the class historically treated with periodic MoM [2]. The second should include a dielectric</w:t>
      </w:r>
      <w:r w:rsidRPr="00E63E74">
        <w:rPr>
          <w:rFonts w:ascii="Times New Roman" w:hAnsi="Times New Roman" w:cs="Times New Roman"/>
        </w:rPr>
        <w:t xml:space="preserve"> substrate, thereby exercising the layered Green function [4]. Further cases should vary unit-cell period, feature dimensions, dielectric permittivity and thickness, polarization, and incidence angle. If the implementation supports resistive/impedance surf</w:t>
      </w:r>
      <w:r w:rsidRPr="00E63E74">
        <w:rPr>
          <w:rFonts w:ascii="Times New Roman" w:hAnsi="Times New Roman" w:cs="Times New Roman"/>
        </w:rPr>
        <w:t xml:space="preserve">aces, at least one lossy example should be included. </w:t>
      </w:r>
      <w:hyperlink r:id="rId28">
        <w:r w:rsidRPr="00E63E74">
          <w:rPr>
            <w:rStyle w:val="Hyperlink"/>
            <w:rFonts w:ascii="Times New Roman" w:hAnsi="Times New Roman" w:cs="Times New Roman"/>
          </w:rPr>
          <w:t>[20]</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Commercial-software comparisons must use identical physical assumptions: the same lattice dimensions, substrate thickness, relative p</w:t>
      </w:r>
      <w:r w:rsidRPr="00E63E74">
        <w:rPr>
          <w:rFonts w:ascii="Times New Roman" w:hAnsi="Times New Roman" w:cs="Times New Roman"/>
        </w:rPr>
        <w:t>ermittivity and loss tangent, conductor approximation, incidence angle, polarization, periodic boundary conditions, Floquet-port definitions, port reference planes, and de-embedding conventions. An apparent phase discrepancy can otherwise be caused by diff</w:t>
      </w:r>
      <w:r w:rsidRPr="00E63E74">
        <w:rPr>
          <w:rFonts w:ascii="Times New Roman" w:hAnsi="Times New Roman" w:cs="Times New Roman"/>
        </w:rPr>
        <w:t>erent reference planes rather than by an error in the MoM formulation.</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For frequency samples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oMath>
      <w:r w:rsidRPr="00E63E74">
        <w:rPr>
          <w:rFonts w:ascii="Times New Roman" w:hAnsi="Times New Roman" w:cs="Times New Roman"/>
        </w:rPr>
        <w:t>, a complex error metric can be defined as</w:t>
      </w:r>
    </w:p>
    <w:p w:rsidR="0090136C" w:rsidRPr="00E63E74" w:rsidRDefault="00E63E74" w:rsidP="00E63E74">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RMSE</m:t>
              </m:r>
            </m:e>
            <m:sub>
              <m:r>
                <w:rPr>
                  <w:rFonts w:ascii="Cambria Math" w:hAnsi="Cambria Math" w:cs="Times New Roman"/>
                </w:rPr>
                <m:t>S</m:t>
              </m:r>
            </m:sub>
          </m:sSub>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f</m:t>
                      </m:r>
                    </m:sub>
                  </m:sSub>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f</m:t>
                      </m:r>
                    </m:sub>
                  </m:sSub>
                </m:sup>
                <m:e>
                  <m:d>
                    <m:dPr>
                      <m:begChr m:val="["/>
                      <m:endChr m:val="]"/>
                      <m:ctrlPr>
                        <w:rPr>
                          <w:rFonts w:ascii="Cambria Math" w:hAnsi="Cambria Math" w:cs="Times New Roman"/>
                        </w:rPr>
                      </m:ctrlPr>
                    </m:dPr>
                    <m:e>
                      <m:sSup>
                        <m:sSupPr>
                          <m:ctrlPr>
                            <w:rPr>
                              <w:rFonts w:ascii="Cambria Math" w:hAnsi="Cambria Math" w:cs="Times New Roman"/>
                            </w:rPr>
                          </m:ctrlPr>
                        </m:sSupPr>
                        <m:e>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11</m:t>
                                  </m:r>
                                </m:sub>
                                <m:sup>
                                  <m:r>
                                    <m:rPr>
                                      <m:sty m:val="p"/>
                                    </m:rPr>
                                    <w:rPr>
                                      <w:rFonts w:ascii="Cambria Math" w:hAnsi="Cambria Math" w:cs="Times New Roman"/>
                                    </w:rPr>
                                    <m:t>MoM</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11</m:t>
                                  </m:r>
                                </m:sub>
                                <m:sup>
                                  <m:r>
                                    <m:rPr>
                                      <m:sty m:val="p"/>
                                    </m:rPr>
                                    <w:rPr>
                                      <w:rFonts w:ascii="Cambria Math" w:hAnsi="Cambria Math" w:cs="Times New Roman"/>
                                    </w:rPr>
                                    <m:t>ref</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e>
                          </m:d>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21</m:t>
                                  </m:r>
                                </m:sub>
                                <m:sup>
                                  <m:r>
                                    <m:rPr>
                                      <m:sty m:val="p"/>
                                    </m:rPr>
                                    <w:rPr>
                                      <w:rFonts w:ascii="Cambria Math" w:hAnsi="Cambria Math" w:cs="Times New Roman"/>
                                    </w:rPr>
                                    <m:t>MoM</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21</m:t>
                                  </m:r>
                                </m:sub>
                                <m:sup>
                                  <m:r>
                                    <m:rPr>
                                      <m:sty m:val="p"/>
                                    </m:rPr>
                                    <w:rPr>
                                      <w:rFonts w:ascii="Cambria Math" w:hAnsi="Cambria Math" w:cs="Times New Roman"/>
                                    </w:rPr>
                                    <m:t>ref</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e>
                          </m:d>
                        </m:e>
                        <m:sup>
                          <m:r>
                            <w:rPr>
                              <w:rFonts w:ascii="Cambria Math" w:hAnsi="Cambria Math" w:cs="Times New Roman"/>
                            </w:rPr>
                            <m:t>2</m:t>
                          </m:r>
                        </m:sup>
                      </m:sSup>
                    </m:e>
                  </m:d>
                </m:e>
              </m:nary>
            </m:e>
          </m:rad>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A normalized error can additionally be reported as</w:t>
      </w:r>
    </w:p>
    <w:p w:rsidR="0090136C" w:rsidRPr="00E63E74" w:rsidRDefault="00E63E74" w:rsidP="00E63E74">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S</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p>
                <m:sSupPr>
                  <m:ctrlPr>
                    <w:rPr>
                      <w:rFonts w:ascii="Cambria Math" w:hAnsi="Cambria Math" w:cs="Times New Roman"/>
                    </w:rPr>
                  </m:ctrlPr>
                </m:sSupPr>
                <m:e>
                  <m:r>
                    <m:rPr>
                      <m:sty m:val="bi"/>
                    </m:rPr>
                    <w:rPr>
                      <w:rFonts w:ascii="Cambria Math" w:hAnsi="Cambria Math" w:cs="Times New Roman"/>
                    </w:rPr>
                    <m:t>S</m:t>
                  </m:r>
                </m:e>
                <m:sup>
                  <m:r>
                    <m:rPr>
                      <m:sty m:val="p"/>
                    </m:rPr>
                    <w:rPr>
                      <w:rFonts w:ascii="Cambria Math" w:hAnsi="Cambria Math" w:cs="Times New Roman"/>
                    </w:rPr>
                    <m:t>MoM</m:t>
                  </m:r>
                </m:sup>
              </m:sSup>
              <m:r>
                <m:rPr>
                  <m:sty m:val="p"/>
                </m:rPr>
                <w:rPr>
                  <w:rFonts w:ascii="Cambria Math" w:hAnsi="Cambria Math" w:cs="Times New Roman"/>
                </w:rPr>
                <m:t>-</m:t>
              </m:r>
              <m:sSup>
                <m:sSupPr>
                  <m:ctrlPr>
                    <w:rPr>
                      <w:rFonts w:ascii="Cambria Math" w:hAnsi="Cambria Math" w:cs="Times New Roman"/>
                    </w:rPr>
                  </m:ctrlPr>
                </m:sSupPr>
                <m:e>
                  <m:r>
                    <m:rPr>
                      <m:sty m:val="bi"/>
                    </m:rPr>
                    <w:rPr>
                      <w:rFonts w:ascii="Cambria Math" w:hAnsi="Cambria Math" w:cs="Times New Roman"/>
                    </w:rPr>
                    <m:t>S</m:t>
                  </m:r>
                </m:e>
                <m:sup>
                  <m:r>
                    <m:rPr>
                      <m:sty m:val="p"/>
                    </m:rPr>
                    <w:rPr>
                      <w:rFonts w:ascii="Cambria Math" w:hAnsi="Cambria Math" w:cs="Times New Roman"/>
                    </w:rPr>
                    <m:t>ref</m:t>
                  </m:r>
                </m:sup>
              </m:sSup>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2</m:t>
                  </m:r>
                </m:sub>
              </m:sSub>
            </m:num>
            <m:den>
              <m:r>
                <m:rPr>
                  <m:sty m:val="p"/>
                </m:rPr>
                <w:rPr>
                  <w:rFonts w:ascii="Cambria Math" w:hAnsi="Cambria Math" w:cs="Times New Roman"/>
                </w:rPr>
                <m:t>∥</m:t>
              </m:r>
              <m:sSup>
                <m:sSupPr>
                  <m:ctrlPr>
                    <w:rPr>
                      <w:rFonts w:ascii="Cambria Math" w:hAnsi="Cambria Math" w:cs="Times New Roman"/>
                    </w:rPr>
                  </m:ctrlPr>
                </m:sSupPr>
                <m:e>
                  <m:r>
                    <m:rPr>
                      <m:sty m:val="bi"/>
                    </m:rPr>
                    <w:rPr>
                      <w:rFonts w:ascii="Cambria Math" w:hAnsi="Cambria Math" w:cs="Times New Roman"/>
                    </w:rPr>
                    <m:t>S</m:t>
                  </m:r>
                </m:e>
                <m:sup>
                  <m:r>
                    <m:rPr>
                      <m:sty m:val="p"/>
                    </m:rPr>
                    <w:rPr>
                      <w:rFonts w:ascii="Cambria Math" w:hAnsi="Cambria Math" w:cs="Times New Roman"/>
                    </w:rPr>
                    <m:t>ref</m:t>
                  </m:r>
                </m:sup>
              </m:sSup>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2</m:t>
                  </m:r>
                </m:sub>
              </m:sSub>
            </m:den>
          </m:f>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 xml:space="preserve">Magnitude-only agreement is inadequate because many metasurface applications exploit transmission or reflection phase. Accordingly, the plots should include both magnitude and </w:t>
      </w:r>
      <w:r w:rsidRPr="00E63E74">
        <w:rPr>
          <w:rFonts w:ascii="Times New Roman" w:hAnsi="Times New Roman" w:cs="Times New Roman"/>
        </w:rPr>
        <w:t xml:space="preserve">unwrapped phase. Phase errors close to transmission or reflection nulls should, however, be </w:t>
      </w:r>
      <w:r w:rsidRPr="00E63E74">
        <w:rPr>
          <w:rFonts w:ascii="Times New Roman" w:hAnsi="Times New Roman" w:cs="Times New Roman"/>
        </w:rPr>
        <w:lastRenderedPageBreak/>
        <w:t>interpreted cautiously because the phase becomes poorly conditioned as the complex amplitude approaches zero.</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For resonant structures, report the relative shift in </w:t>
      </w:r>
      <w:r w:rsidRPr="00E63E74">
        <w:rPr>
          <w:rFonts w:ascii="Times New Roman" w:hAnsi="Times New Roman" w:cs="Times New Roman"/>
        </w:rPr>
        <w:t>resonance frequency,</w:t>
      </w:r>
    </w:p>
    <w:p w:rsidR="0090136C" w:rsidRPr="00E63E74" w:rsidRDefault="00E63E74" w:rsidP="00E63E74">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ϵ</m:t>
              </m:r>
            </m:e>
            <m:sub>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m:t>
                  </m:r>
                </m:sub>
              </m:sSub>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r</m:t>
                  </m:r>
                </m:sub>
                <m:sup>
                  <m:r>
                    <m:rPr>
                      <m:sty m:val="p"/>
                    </m:rPr>
                    <w:rPr>
                      <w:rFonts w:ascii="Cambria Math" w:hAnsi="Cambria Math" w:cs="Times New Roman"/>
                    </w:rPr>
                    <m:t>MoM</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r</m:t>
                  </m:r>
                </m:sub>
                <m:sup>
                  <m:r>
                    <m:rPr>
                      <m:sty m:val="p"/>
                    </m:rPr>
                    <w:rPr>
                      <w:rFonts w:ascii="Cambria Math" w:hAnsi="Cambria Math" w:cs="Times New Roman"/>
                    </w:rPr>
                    <m:t>ref</m:t>
                  </m:r>
                </m:sup>
              </m:sSubSup>
              <m:r>
                <m:rPr>
                  <m:sty m:val="p"/>
                </m:rPr>
                <w:rPr>
                  <w:rFonts w:ascii="Cambria Math" w:hAnsi="Cambria Math" w:cs="Times New Roman"/>
                </w:rPr>
                <m:t>|</m:t>
              </m:r>
            </m:num>
            <m:den>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r</m:t>
                  </m:r>
                </m:sub>
                <m:sup>
                  <m:r>
                    <m:rPr>
                      <m:sty m:val="p"/>
                    </m:rPr>
                    <w:rPr>
                      <w:rFonts w:ascii="Cambria Math" w:hAnsi="Cambria Math" w:cs="Times New Roman"/>
                    </w:rPr>
                    <m:t>ref</m:t>
                  </m:r>
                </m:sup>
              </m:sSubSup>
            </m:den>
          </m:f>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together with resonance depth/peak error and bandwidth error where applicable.</w:t>
      </w:r>
    </w:p>
    <w:p w:rsidR="0090136C" w:rsidRPr="00E63E74" w:rsidRDefault="00E63E74" w:rsidP="00E63E74">
      <w:pPr>
        <w:pStyle w:val="Heading3"/>
        <w:jc w:val="both"/>
        <w:rPr>
          <w:rFonts w:ascii="Times New Roman" w:hAnsi="Times New Roman" w:cs="Times New Roman"/>
        </w:rPr>
      </w:pPr>
      <w:bookmarkStart w:id="9" w:name="numerical-convergence"/>
      <w:r w:rsidRPr="00E63E74">
        <w:rPr>
          <w:rFonts w:ascii="Times New Roman" w:hAnsi="Times New Roman" w:cs="Times New Roman"/>
        </w:rPr>
        <w:t>Numerical convergence</w:t>
      </w:r>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Mesh convergence should be demonstrated using at least three discretizations,</w:t>
      </w:r>
    </w:p>
    <w:p w:rsidR="0090136C" w:rsidRPr="00E63E74" w:rsidRDefault="00E63E74" w:rsidP="00E63E74">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3</m:t>
              </m:r>
            </m:sub>
          </m:sSub>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with</w:t>
      </w:r>
    </w:p>
    <w:p w:rsidR="0090136C" w:rsidRPr="00E63E74" w:rsidRDefault="00E63E74" w:rsidP="00E63E74">
      <w:pPr>
        <w:pStyle w:val="BodyText"/>
        <w:jc w:val="both"/>
        <w:rPr>
          <w:rFonts w:ascii="Times New Roman" w:hAnsi="Times New Roman" w:cs="Times New Roman"/>
        </w:rPr>
      </w:pPr>
      <m:oMathPara>
        <m:oMathParaPr>
          <m:jc m:val="center"/>
        </m:oMathParaPr>
        <m:oMath>
          <m:r>
            <m:rPr>
              <m:sty m:val="p"/>
            </m:rPr>
            <w:rPr>
              <w:rFonts w:ascii="Cambria Math" w:hAnsi="Cambria Math" w:cs="Times New Roman"/>
            </w:rPr>
            <m:t>Δ</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sup>
          </m:sSup>
          <m:r>
            <m:rPr>
              <m:sty m:val="p"/>
            </m:rP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f</m:t>
              </m:r>
            </m:lim>
          </m:limLow>
          <m:d>
            <m:dPr>
              <m:begChr m:val="|"/>
              <m:endChr m:val="|"/>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3</m:t>
                      </m:r>
                    </m:sub>
                  </m:sSub>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e>
          </m:d>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The reference commercial simulation must also be independently converged; otherwise agreement between an unconverged CST/HFSS result and an unconverged MoM result has little meaning.</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The periodic Green-function computation</w:t>
      </w:r>
      <w:r w:rsidRPr="00E63E74">
        <w:rPr>
          <w:rFonts w:ascii="Times New Roman" w:hAnsi="Times New Roman" w:cs="Times New Roman"/>
        </w:rPr>
        <w:t xml:space="preserve"> requires a second convergence study independent of mesh size. If a spectral truncation, lattice cutoff, Ewald parameter, or hybrid spatial/spectral cutoff is used,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11</m:t>
            </m:r>
          </m:sub>
        </m:sSub>
      </m:oMath>
      <w:r w:rsidRPr="00E63E7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21</m:t>
            </m:r>
          </m:sub>
        </m:sSub>
      </m:oMath>
      <w:r w:rsidRPr="00E63E74">
        <w:rPr>
          <w:rFonts w:ascii="Times New Roman" w:hAnsi="Times New Roman" w:cs="Times New Roman"/>
        </w:rPr>
        <w:t xml:space="preserve"> should be plotted against that parameter until the desired tolerance is reach</w:t>
      </w:r>
      <w:r w:rsidRPr="00E63E74">
        <w:rPr>
          <w:rFonts w:ascii="Times New Roman" w:hAnsi="Times New Roman" w:cs="Times New Roman"/>
        </w:rPr>
        <w:t xml:space="preserve">ed. The need to accelerate or carefully control periodic Green-function sums is established in the periodic-integral-equation literature [3], and recent metasurface MoM work continues to focus on this computational component [6]. </w:t>
      </w:r>
      <w:hyperlink r:id="rId29">
        <w:r w:rsidRPr="00E63E74">
          <w:rPr>
            <w:rStyle w:val="Hyperlink"/>
            <w:rFonts w:ascii="Times New Roman" w:hAnsi="Times New Roman" w:cs="Times New Roman"/>
          </w:rPr>
          <w:t>[21]</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Energy balance provides another solver-level check:</w:t>
      </w:r>
    </w:p>
    <w:p w:rsidR="0090136C" w:rsidRPr="00E63E74" w:rsidRDefault="00E63E74" w:rsidP="00E63E74">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P</m:t>
              </m:r>
            </m:sub>
          </m:sSub>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e>
          </m:d>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For a reciprocal two-port configuration in which the relevant port and symmetry conditions apply, reciprocity can additionally be tested through the appropriate equality of forward and reverse scattering coefficients. These checks should complement, not re</w:t>
      </w:r>
      <w:r w:rsidRPr="00E63E74">
        <w:rPr>
          <w:rFonts w:ascii="Times New Roman" w:hAnsi="Times New Roman" w:cs="Times New Roman"/>
        </w:rPr>
        <w:t>place, the cross-solver comparison.</w:t>
      </w:r>
    </w:p>
    <w:p w:rsidR="0090136C" w:rsidRPr="00E63E74" w:rsidRDefault="00E63E74" w:rsidP="00E63E74">
      <w:pPr>
        <w:pStyle w:val="Heading3"/>
        <w:jc w:val="both"/>
        <w:rPr>
          <w:rFonts w:ascii="Times New Roman" w:hAnsi="Times New Roman" w:cs="Times New Roman"/>
        </w:rPr>
      </w:pPr>
      <w:bookmarkStart w:id="10" w:name="performance-benchmarking"/>
      <w:bookmarkEnd w:id="9"/>
      <w:r w:rsidRPr="00E63E74">
        <w:rPr>
          <w:rFonts w:ascii="Times New Roman" w:hAnsi="Times New Roman" w:cs="Times New Roman"/>
        </w:rPr>
        <w:t>Performance benchmarking</w:t>
      </w:r>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Performance should be separated into</w:t>
      </w:r>
    </w:p>
    <w:p w:rsidR="0090136C" w:rsidRPr="00E63E74" w:rsidRDefault="00E63E74" w:rsidP="00E63E74">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total</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mesh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GF</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fill</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solve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post</m:t>
              </m:r>
            </m:sub>
          </m:sSub>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Reporting only a highly parallel kernel's speed-up can materially overstate the benefit experienced by a user. Earlier GPU-MoM publications reported acceleration of matrix filling, matrix-vector operations, and linear algebra as distinct stages, which make</w:t>
      </w:r>
      <w:r w:rsidRPr="00E63E74">
        <w:rPr>
          <w:rFonts w:ascii="Times New Roman" w:hAnsi="Times New Roman" w:cs="Times New Roman"/>
        </w:rPr>
        <w:t xml:space="preserve">s stage-level profiling a well-established comparison strategy [7]–[11]. </w:t>
      </w:r>
      <w:hyperlink r:id="rId30">
        <w:r w:rsidRPr="00E63E74">
          <w:rPr>
            <w:rStyle w:val="Hyperlink"/>
            <w:rFonts w:ascii="Times New Roman" w:hAnsi="Times New Roman" w:cs="Times New Roman"/>
          </w:rPr>
          <w:t>[22]</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lastRenderedPageBreak/>
        <w:t>Define end-to-end acceleration as</w:t>
      </w:r>
    </w:p>
    <w:p w:rsidR="0090136C" w:rsidRPr="00E63E74" w:rsidRDefault="00E63E74" w:rsidP="00E63E74">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Γ</m:t>
              </m:r>
            </m:e>
            <m:sub>
              <m:r>
                <m:rPr>
                  <m:sty m:val="p"/>
                </m:rPr>
                <w:rPr>
                  <w:rFonts w:ascii="Cambria Math" w:hAnsi="Cambria Math" w:cs="Times New Roman"/>
                </w:rPr>
                <m:t>GPU</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CPU,total</m:t>
                  </m:r>
                </m:sub>
              </m:sSub>
            </m:num>
            <m:den>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GPU,total</m:t>
                  </m:r>
                </m:sub>
              </m:sSub>
            </m:den>
          </m:f>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For dataset generation, however, an even more usef</w:t>
      </w:r>
      <w:r w:rsidRPr="00E63E74">
        <w:rPr>
          <w:rFonts w:ascii="Times New Roman" w:hAnsi="Times New Roman" w:cs="Times New Roman"/>
        </w:rPr>
        <w:t>ul metric is throughput,</w:t>
      </w:r>
    </w:p>
    <w:p w:rsidR="0090136C" w:rsidRPr="00E63E74" w:rsidRDefault="00E63E74" w:rsidP="00E63E74">
      <w:pPr>
        <w:pStyle w:val="BodyText"/>
        <w:jc w:val="both"/>
        <w:rPr>
          <w:rFonts w:ascii="Times New Roman" w:hAnsi="Times New Roman" w:cs="Times New Roman"/>
        </w:rPr>
      </w:pPr>
      <m:oMathPara>
        <m:oMathParaPr>
          <m:jc m:val="center"/>
        </m:oMathParaPr>
        <m:oMath>
          <m:r>
            <m:rPr>
              <m:scr m:val="script"/>
              <m:sty m:val="p"/>
            </m:rPr>
            <w:rPr>
              <w:rFonts w:ascii="Cambria Math" w:hAnsi="Cambria Math" w:cs="Times New Roman"/>
            </w:rPr>
            <m:t>T</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unit cells</m:t>
                  </m:r>
                </m:sub>
              </m:sSub>
            </m:num>
            <m:den>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wall</m:t>
                  </m:r>
                </m:sub>
              </m:sSub>
            </m:den>
          </m:f>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reported as unit cells per hour or frequency points per second. This metric directly connects the CEM contribution to the machine-learning motivation.</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The CPU/GPU comparison must specify processor, number of </w:t>
      </w:r>
      <w:r w:rsidRPr="00E63E74">
        <w:rPr>
          <w:rFonts w:ascii="Times New Roman" w:hAnsi="Times New Roman" w:cs="Times New Roman"/>
        </w:rPr>
        <w:t xml:space="preserve">CPU threads, GPU model, available memory, complex precision, software versions, matrix dimensions, number of frequencies, and whether GPU initialization/JIT compilation is included. Warm-start and cold-start timing should be distinguished when compilation </w:t>
      </w:r>
      <w:r w:rsidRPr="00E63E74">
        <w:rPr>
          <w:rFonts w:ascii="Times New Roman" w:hAnsi="Times New Roman" w:cs="Times New Roman"/>
        </w:rPr>
        <w:t>or kernel caching is present.</w:t>
      </w:r>
    </w:p>
    <w:p w:rsidR="0090136C" w:rsidRPr="00E63E74" w:rsidRDefault="00E63E74" w:rsidP="00E63E74">
      <w:pPr>
        <w:pStyle w:val="Heading3"/>
        <w:jc w:val="both"/>
        <w:rPr>
          <w:rFonts w:ascii="Times New Roman" w:hAnsi="Times New Roman" w:cs="Times New Roman"/>
        </w:rPr>
      </w:pPr>
      <w:bookmarkStart w:id="11" w:name="expected-results-and-discussion"/>
      <w:bookmarkEnd w:id="10"/>
      <w:r w:rsidRPr="00E63E74">
        <w:rPr>
          <w:rFonts w:ascii="Times New Roman" w:hAnsi="Times New Roman" w:cs="Times New Roman"/>
        </w:rPr>
        <w:t>Expected Results and Discussion</w:t>
      </w:r>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A useful IEEE results table is:</w:t>
      </w:r>
    </w:p>
    <w:tbl>
      <w:tblPr>
        <w:tblStyle w:val="Table"/>
        <w:tblW w:w="0" w:type="auto"/>
        <w:tblLook w:val="0020" w:firstRow="1" w:lastRow="0" w:firstColumn="0" w:lastColumn="0" w:noHBand="0" w:noVBand="0"/>
      </w:tblPr>
      <w:tblGrid>
        <w:gridCol w:w="1510"/>
        <w:gridCol w:w="1320"/>
        <w:gridCol w:w="1446"/>
        <w:gridCol w:w="1337"/>
        <w:gridCol w:w="1383"/>
        <w:gridCol w:w="810"/>
        <w:gridCol w:w="824"/>
        <w:gridCol w:w="946"/>
      </w:tblGrid>
      <w:tr w:rsidR="0090136C" w:rsidRPr="00E63E74" w:rsidTr="0090136C">
        <w:trPr>
          <w:cnfStyle w:val="100000000000" w:firstRow="1" w:lastRow="0" w:firstColumn="0" w:lastColumn="0" w:oddVBand="0" w:evenVBand="0" w:oddHBand="0" w:evenHBand="0" w:firstRowFirstColumn="0" w:firstRowLastColumn="0" w:lastRowFirstColumn="0" w:lastRowLastColumn="0"/>
          <w:tblHeader/>
        </w:trPr>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Test case</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 xml:space="preserve">Unknowns </w:t>
            </w:r>
            <m:oMath>
              <m:r>
                <w:rPr>
                  <w:rFonts w:ascii="Cambria Math" w:hAnsi="Cambria Math" w:cs="Times New Roman"/>
                </w:rPr>
                <m:t>N</m:t>
              </m:r>
            </m:oMath>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Frequency samples</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 xml:space="preserve">Complex </w:t>
            </w:r>
            <m:oMath>
              <m:r>
                <w:rPr>
                  <w:rFonts w:ascii="Cambria Math" w:hAnsi="Cambria Math" w:cs="Times New Roman"/>
                </w:rPr>
                <m:t>S</m:t>
              </m:r>
            </m:oMath>
            <w:r w:rsidRPr="00E63E74">
              <w:rPr>
                <w:rFonts w:ascii="Times New Roman" w:hAnsi="Times New Roman" w:cs="Times New Roman"/>
              </w:rPr>
              <w:t>-RMSE</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Resonance shift</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CPU time</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GPU time</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Speed-up</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Free-standing patch</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Printed patch</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Geometry sweep case</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Oblique-incidence case</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 ]</w:t>
            </w:r>
          </w:p>
        </w:tc>
      </w:tr>
    </w:tbl>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The corresponding manuscript discussion can be drafted now without inventing data:</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b/>
          <w:bCs/>
        </w:rPr>
        <w:t>Accuracy.</w:t>
      </w:r>
      <w:r w:rsidRPr="00E63E74">
        <w:rPr>
          <w:rFonts w:ascii="Times New Roman" w:hAnsi="Times New Roman" w:cs="Times New Roman"/>
        </w:rPr>
        <w:t xml:space="preserve"> </w:t>
      </w:r>
      <w:r w:rsidRPr="00E63E74">
        <w:rPr>
          <w:rFonts w:ascii="Times New Roman" w:hAnsi="Times New Roman" w:cs="Times New Roman"/>
          <w:i/>
          <w:iCs/>
        </w:rPr>
        <w:t>Figure [X] compares the complex reflection and transmission coefficients obtained using the proposed periodic MoM solver with those obtained from [CST Studio Suite/HFSS]. The two solutions exhibit consistent resonance locations and spectral trends over [fr</w:t>
      </w:r>
      <w:r w:rsidRPr="00E63E74">
        <w:rPr>
          <w:rFonts w:ascii="Times New Roman" w:hAnsi="Times New Roman" w:cs="Times New Roman"/>
          <w:i/>
          <w:iCs/>
        </w:rPr>
        <w:t xml:space="preserve">equency range]. The resulting complex </w:t>
      </w:r>
      <m:oMath>
        <m:r>
          <w:rPr>
            <w:rFonts w:ascii="Cambria Math" w:hAnsi="Cambria Math" w:cs="Times New Roman"/>
          </w:rPr>
          <m:t>S</m:t>
        </m:r>
      </m:oMath>
      <w:r w:rsidRPr="00E63E74">
        <w:rPr>
          <w:rFonts w:ascii="Times New Roman" w:hAnsi="Times New Roman" w:cs="Times New Roman"/>
          <w:i/>
          <w:iCs/>
        </w:rPr>
        <w:t>-parameter RMSE is [value], while the relative displacement of the dominant resonance is [value]. The largest deviations occur near [frequency/physical regime], where [mesh resolution/Green-function convergence/mater</w:t>
      </w:r>
      <w:r w:rsidRPr="00E63E74">
        <w:rPr>
          <w:rFonts w:ascii="Times New Roman" w:hAnsi="Times New Roman" w:cs="Times New Roman"/>
          <w:i/>
          <w:iCs/>
        </w:rPr>
        <w:t>ial approximation] has the strongest influence.</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b/>
          <w:bCs/>
        </w:rPr>
        <w:t>Convergence.</w:t>
      </w:r>
      <w:r w:rsidRPr="00E63E74">
        <w:rPr>
          <w:rFonts w:ascii="Times New Roman" w:hAnsi="Times New Roman" w:cs="Times New Roman"/>
        </w:rPr>
        <w:t xml:space="preserve"> </w:t>
      </w:r>
      <w:r w:rsidRPr="00E63E74">
        <w:rPr>
          <w:rFonts w:ascii="Times New Roman" w:hAnsi="Times New Roman" w:cs="Times New Roman"/>
          <w:i/>
          <w:iCs/>
        </w:rPr>
        <w:t xml:space="preserve">Figure [X] shows the variation of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11</m:t>
            </m:r>
          </m:sub>
        </m:sSub>
      </m:oMath>
      <w:r w:rsidRPr="00E63E74">
        <w:rPr>
          <w:rFonts w:ascii="Times New Roman" w:hAnsi="Times New Roman" w:cs="Times New Roman"/>
          <w:i/>
          <w:iCs/>
        </w:rPr>
        <w:t xml:space="preserve"> and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21</m:t>
            </m:r>
          </m:sub>
        </m:sSub>
      </m:oMath>
      <w:r w:rsidRPr="00E63E74">
        <w:rPr>
          <w:rFonts w:ascii="Times New Roman" w:hAnsi="Times New Roman" w:cs="Times New Roman"/>
          <w:i/>
          <w:iCs/>
        </w:rPr>
        <w:t xml:space="preserve"> with increasing mesh density. Beyond [number] unknowns, the response changes by less than [value] according to the convergence metric in (32). An i</w:t>
      </w:r>
      <w:r w:rsidRPr="00E63E74">
        <w:rPr>
          <w:rFonts w:ascii="Times New Roman" w:hAnsi="Times New Roman" w:cs="Times New Roman"/>
          <w:i/>
          <w:iCs/>
        </w:rPr>
        <w:t xml:space="preserve">ndependent convergence study of the periodic Green-function </w:t>
      </w:r>
      <w:r w:rsidRPr="00E63E74">
        <w:rPr>
          <w:rFonts w:ascii="Times New Roman" w:hAnsi="Times New Roman" w:cs="Times New Roman"/>
          <w:i/>
          <w:iCs/>
        </w:rPr>
        <w:lastRenderedPageBreak/>
        <w:t>truncation is shown in Fig. [X], establishing the numerical parameters used in subsequent simulations.</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b/>
          <w:bCs/>
        </w:rPr>
        <w:t>GPU acceleration.</w:t>
      </w:r>
      <w:r w:rsidRPr="00E63E74">
        <w:rPr>
          <w:rFonts w:ascii="Times New Roman" w:hAnsi="Times New Roman" w:cs="Times New Roman"/>
        </w:rPr>
        <w:t xml:space="preserve"> </w:t>
      </w:r>
      <w:r w:rsidRPr="00E63E74">
        <w:rPr>
          <w:rFonts w:ascii="Times New Roman" w:hAnsi="Times New Roman" w:cs="Times New Roman"/>
          <w:i/>
          <w:iCs/>
        </w:rPr>
        <w:t>For the largest test problem containing [number] unknowns, impedance-matrix</w:t>
      </w:r>
      <w:r w:rsidRPr="00E63E74">
        <w:rPr>
          <w:rFonts w:ascii="Times New Roman" w:hAnsi="Times New Roman" w:cs="Times New Roman"/>
          <w:i/>
          <w:iCs/>
        </w:rPr>
        <w:t xml:space="preserve"> construction requires [CPU time] on the CPU and [GPU time] on the GPU. The corresponding linear-solution times are [values], producing an end-to-end acceleration of [speed-up]. Matrix assembly accounts for [percentage] of the CPU runtime and [percentage] </w:t>
      </w:r>
      <w:r w:rsidRPr="00E63E74">
        <w:rPr>
          <w:rFonts w:ascii="Times New Roman" w:hAnsi="Times New Roman" w:cs="Times New Roman"/>
          <w:i/>
          <w:iCs/>
        </w:rPr>
        <w:t>of the GPU runtime.</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b/>
          <w:bCs/>
        </w:rPr>
        <w:t>Dataset throughput.</w:t>
      </w:r>
      <w:r w:rsidRPr="00E63E74">
        <w:rPr>
          <w:rFonts w:ascii="Times New Roman" w:hAnsi="Times New Roman" w:cs="Times New Roman"/>
        </w:rPr>
        <w:t xml:space="preserve"> </w:t>
      </w:r>
      <w:r w:rsidRPr="00E63E74">
        <w:rPr>
          <w:rFonts w:ascii="Times New Roman" w:hAnsi="Times New Roman" w:cs="Times New Roman"/>
          <w:i/>
          <w:iCs/>
        </w:rPr>
        <w:t>When [number] independent unit-cell simulations are processed in batches on [GPU configuration], the implementation sustains [unit cells/hour] or [frequency points/s]. Scaling from one to [number] GPUs changes aggreg</w:t>
      </w:r>
      <w:r w:rsidRPr="00E63E74">
        <w:rPr>
          <w:rFonts w:ascii="Times New Roman" w:hAnsi="Times New Roman" w:cs="Times New Roman"/>
          <w:i/>
          <w:iCs/>
        </w:rPr>
        <w:t>ate throughput from [value] to [value], corresponding to a parallel efficiency of [value].</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b/>
          <w:bCs/>
        </w:rPr>
        <w:t>Memory scaling.</w:t>
      </w:r>
      <w:r w:rsidRPr="00E63E74">
        <w:rPr>
          <w:rFonts w:ascii="Times New Roman" w:hAnsi="Times New Roman" w:cs="Times New Roman"/>
        </w:rPr>
        <w:t xml:space="preserve"> </w:t>
      </w:r>
      <w:r w:rsidRPr="00E63E74">
        <w:rPr>
          <w:rFonts w:ascii="Times New Roman" w:hAnsi="Times New Roman" w:cs="Times New Roman"/>
          <w:i/>
          <w:iCs/>
        </w:rPr>
        <w:t>The maximum system evaluated contains [number] unknowns and requires [GPU memory] of device memory. The measured memory scaling is consistent with th</w:t>
      </w:r>
      <w:r w:rsidRPr="00E63E74">
        <w:rPr>
          <w:rFonts w:ascii="Times New Roman" w:hAnsi="Times New Roman" w:cs="Times New Roman"/>
          <w:i/>
          <w:iCs/>
        </w:rPr>
        <w:t>e dense-matrix storage expected from (28). Problems exceeding [number] unknowns therefore require [chunking/iterative solution/multi-GPU decomposition], which constitutes a current limitation of the implementation.</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Those statements become publishable only </w:t>
      </w:r>
      <w:r w:rsidRPr="00E63E74">
        <w:rPr>
          <w:rFonts w:ascii="Times New Roman" w:hAnsi="Times New Roman" w:cs="Times New Roman"/>
        </w:rPr>
        <w:t>after filling them with measured values.</w:t>
      </w:r>
    </w:p>
    <w:p w:rsidR="0090136C" w:rsidRPr="00E63E74" w:rsidRDefault="00E63E74" w:rsidP="00E63E74">
      <w:pPr>
        <w:pStyle w:val="Heading2"/>
        <w:jc w:val="both"/>
        <w:rPr>
          <w:rFonts w:ascii="Times New Roman" w:hAnsi="Times New Roman" w:cs="Times New Roman"/>
        </w:rPr>
      </w:pPr>
      <w:bookmarkStart w:id="12" w:name="ai-enabled-inverse-design-and-conclusion"/>
      <w:bookmarkEnd w:id="8"/>
      <w:bookmarkEnd w:id="11"/>
      <w:r w:rsidRPr="00E63E74">
        <w:rPr>
          <w:rFonts w:ascii="Times New Roman" w:hAnsi="Times New Roman" w:cs="Times New Roman"/>
        </w:rPr>
        <w:t>AI-enabled inverse design and conclusion</w:t>
      </w:r>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b/>
          <w:bCs/>
        </w:rPr>
        <w:t>Draft manuscript text—Application to Data-Driven Metasurface Design.</w:t>
      </w:r>
      <w:r w:rsidRPr="00E63E74">
        <w:rPr>
          <w:rFonts w:ascii="Times New Roman" w:hAnsi="Times New Roman" w:cs="Times New Roman"/>
        </w:rPr>
        <w:br/>
        <w:t>A central motivation for the proposed solver is that electromagnetic simulation increasingly acts as a da</w:t>
      </w:r>
      <w:r w:rsidRPr="00E63E74">
        <w:rPr>
          <w:rFonts w:ascii="Times New Roman" w:hAnsi="Times New Roman" w:cs="Times New Roman"/>
        </w:rPr>
        <w:t>ta-generation layer beneath machine-learning models. Deep neural networks have been trained both as fast forward approximators and as inverse-design models in nanophotonics [14], [16]. Generative networks have also been used to map desired spectral respons</w:t>
      </w:r>
      <w:r w:rsidRPr="00E63E74">
        <w:rPr>
          <w:rFonts w:ascii="Times New Roman" w:hAnsi="Times New Roman" w:cs="Times New Roman"/>
        </w:rPr>
        <w:t xml:space="preserve">es into candidate metasurface geometries [15]. These approaches can reduce the cost of inference or optimization after training but do not eliminate the need for trustworthy electromagnetic labels during model construction. </w:t>
      </w:r>
      <w:hyperlink r:id="rId31">
        <w:r w:rsidRPr="00E63E74">
          <w:rPr>
            <w:rStyle w:val="Hyperlink"/>
            <w:rFonts w:ascii="Times New Roman" w:hAnsi="Times New Roman" w:cs="Times New Roman"/>
          </w:rPr>
          <w:t>[9]</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The proposed MoM engine can participate in such workflows at three different levels. The first is </w:t>
      </w:r>
      <w:r w:rsidRPr="00E63E74">
        <w:rPr>
          <w:rFonts w:ascii="Times New Roman" w:hAnsi="Times New Roman" w:cs="Times New Roman"/>
          <w:b/>
          <w:bCs/>
        </w:rPr>
        <w:t>offline dataset generation</w:t>
      </w:r>
      <w:r w:rsidRPr="00E63E74">
        <w:rPr>
          <w:rFonts w:ascii="Times New Roman" w:hAnsi="Times New Roman" w:cs="Times New Roman"/>
        </w:rPr>
        <w:t>, where geometries are sampled from a param</w:t>
      </w:r>
      <w:r w:rsidRPr="00E63E74">
        <w:rPr>
          <w:rFonts w:ascii="Times New Roman" w:hAnsi="Times New Roman" w:cs="Times New Roman"/>
        </w:rPr>
        <w:t>eterized design space and simulated in parallel to produce</w:t>
      </w:r>
    </w:p>
    <w:p w:rsidR="0090136C" w:rsidRPr="00E63E74" w:rsidRDefault="00E63E74" w:rsidP="00E63E74">
      <w:pPr>
        <w:pStyle w:val="BodyText"/>
        <w:jc w:val="both"/>
        <w:rPr>
          <w:rFonts w:ascii="Times New Roman" w:hAnsi="Times New Roman" w:cs="Times New Roman"/>
        </w:rPr>
      </w:pPr>
      <m:oMathPara>
        <m:oMathParaPr>
          <m:jc m:val="center"/>
        </m:oMathParaPr>
        <m:oMath>
          <m:r>
            <m:rPr>
              <m:scr m:val="script"/>
              <m:sty m:val="p"/>
            </m:rPr>
            <w:rPr>
              <w:rFonts w:ascii="Cambria Math" w:hAnsi="Cambria Math" w:cs="Times New Roman"/>
            </w:rPr>
            <m:t>D</m:t>
          </m:r>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m:t>
              </m:r>
            </m:sup>
          </m:sSubSup>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i"/>
                </m:rP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m:rPr>
                  <m:sty m:val="p"/>
                </m:rPr>
                <w:rPr>
                  <w:rFonts w:ascii="Cambria Math" w:hAnsi="Cambria Math" w:cs="Times New Roman"/>
                </w:rPr>
                <m:t>)</m:t>
              </m:r>
            </m:e>
          </m:d>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 xml:space="preserve">Here </w:t>
      </w:r>
      <m:oMath>
        <m:sSub>
          <m:sSubPr>
            <m:ctrlPr>
              <w:rPr>
                <w:rFonts w:ascii="Cambria Math" w:hAnsi="Cambria Math" w:cs="Times New Roman"/>
              </w:rPr>
            </m:ctrlPr>
          </m:sSubPr>
          <m:e>
            <m:r>
              <m:rPr>
                <m:sty m:val="bi"/>
              </m:rPr>
              <w:rPr>
                <w:rFonts w:ascii="Cambria Math" w:hAnsi="Cambria Math" w:cs="Times New Roman"/>
              </w:rPr>
              <m:t>x</m:t>
            </m:r>
          </m:e>
          <m:sub>
            <m:r>
              <w:rPr>
                <w:rFonts w:ascii="Cambria Math" w:hAnsi="Cambria Math" w:cs="Times New Roman"/>
              </w:rPr>
              <m:t>i</m:t>
            </m:r>
          </m:sub>
        </m:sSub>
      </m:oMath>
      <w:r w:rsidRPr="00E63E74">
        <w:rPr>
          <w:rFonts w:ascii="Times New Roman" w:hAnsi="Times New Roman" w:cs="Times New Roman"/>
        </w:rPr>
        <w:t xml:space="preserve"> describes geometry and material parameters. Storing the real and imaginary parts of </w:t>
      </w:r>
      <m:oMath>
        <m:r>
          <w:rPr>
            <w:rFonts w:ascii="Cambria Math" w:hAnsi="Cambria Math" w:cs="Times New Roman"/>
          </w:rPr>
          <m:t>S</m:t>
        </m:r>
      </m:oMath>
      <w:r w:rsidRPr="00E63E74">
        <w:rPr>
          <w:rFonts w:ascii="Times New Roman" w:hAnsi="Times New Roman" w:cs="Times New Roman"/>
        </w:rPr>
        <w:t xml:space="preserve">, rather than only </w:t>
      </w:r>
      <m:oMath>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oMath>
      <w:r w:rsidRPr="00E63E74">
        <w:rPr>
          <w:rFonts w:ascii="Times New Roman" w:hAnsi="Times New Roman" w:cs="Times New Roman"/>
        </w:rPr>
        <w:t>, preserves both amplitude and phase information for subsequent learning.</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The second mode is </w:t>
      </w:r>
      <w:r w:rsidRPr="00E63E74">
        <w:rPr>
          <w:rFonts w:ascii="Times New Roman" w:hAnsi="Times New Roman" w:cs="Times New Roman"/>
          <w:b/>
          <w:bCs/>
        </w:rPr>
        <w:t>online physics validation</w:t>
      </w:r>
      <w:r w:rsidRPr="00E63E74">
        <w:rPr>
          <w:rFonts w:ascii="Times New Roman" w:hAnsi="Times New Roman" w:cs="Times New Roman"/>
        </w:rPr>
        <w:t xml:space="preserve">. An inverse network or generative model proposes candidate geometry </w:t>
      </w:r>
      <m:oMath>
        <m:sSub>
          <m:sSubPr>
            <m:ctrlPr>
              <w:rPr>
                <w:rFonts w:ascii="Cambria Math" w:hAnsi="Cambria Math" w:cs="Times New Roman"/>
              </w:rPr>
            </m:ctrlPr>
          </m:sSubPr>
          <m:e>
            <m:r>
              <m:rPr>
                <m:sty m:val="bi"/>
              </m:rPr>
              <w:rPr>
                <w:rFonts w:ascii="Cambria Math" w:hAnsi="Cambria Math" w:cs="Times New Roman"/>
              </w:rPr>
              <m:t>x</m:t>
            </m:r>
          </m:e>
          <m:sub>
            <m:r>
              <w:rPr>
                <w:rFonts w:ascii="Cambria Math" w:hAnsi="Cambria Math" w:cs="Times New Roman"/>
              </w:rPr>
              <m:t>g</m:t>
            </m:r>
          </m:sub>
        </m:sSub>
      </m:oMath>
      <w:r w:rsidRPr="00E63E74">
        <w:rPr>
          <w:rFonts w:ascii="Times New Roman" w:hAnsi="Times New Roman" w:cs="Times New Roman"/>
        </w:rPr>
        <w:t>; the MoM solver evaluates</w:t>
      </w:r>
    </w:p>
    <w:p w:rsidR="0090136C" w:rsidRPr="00E63E74" w:rsidRDefault="00E63E74" w:rsidP="00E63E74">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i"/>
                </m:rPr>
                <w:rPr>
                  <w:rFonts w:ascii="Cambria Math" w:hAnsi="Cambria Math" w:cs="Times New Roman"/>
                </w:rPr>
                <m:t>S</m:t>
              </m:r>
            </m:e>
            <m:sub>
              <m:r>
                <m:rPr>
                  <m:sty m:val="p"/>
                </m:rPr>
                <w:rPr>
                  <w:rFonts w:ascii="Cambria Math" w:hAnsi="Cambria Math" w:cs="Times New Roman"/>
                </w:rPr>
                <m:t>MoM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EM</m:t>
              </m:r>
            </m:sub>
          </m:sSub>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x</m:t>
              </m:r>
            </m:e>
            <m:sub>
              <m:r>
                <w:rPr>
                  <w:rFonts w:ascii="Cambria Math" w:hAnsi="Cambria Math" w:cs="Times New Roman"/>
                </w:rPr>
                <m:t>g</m:t>
              </m:r>
            </m:sub>
          </m:sSub>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and a physical objective,</w:t>
      </w:r>
    </w:p>
    <w:p w:rsidR="0090136C" w:rsidRPr="00E63E74" w:rsidRDefault="00E63E74" w:rsidP="00E63E74">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cr m:val="script"/>
                  <m:sty m:val="p"/>
                </m:rPr>
                <w:rPr>
                  <w:rFonts w:ascii="Cambria Math" w:hAnsi="Cambria Math" w:cs="Times New Roman"/>
                </w:rPr>
                <m:t>L</m:t>
              </m:r>
            </m:e>
            <m:sub>
              <m:r>
                <m:rPr>
                  <m:sty m:val="p"/>
                </m:rPr>
                <w:rPr>
                  <w:rFonts w:ascii="Cambria Math" w:hAnsi="Cambria Math" w:cs="Times New Roman"/>
                </w:rPr>
                <m:t>phys</m:t>
              </m:r>
            </m:sub>
          </m:sSub>
          <m:r>
            <m:rPr>
              <m:sty m:val="p"/>
            </m:rPr>
            <w:rPr>
              <w:rFonts w:ascii="Cambria Math" w:hAnsi="Cambria Math" w:cs="Times New Roman"/>
            </w:rPr>
            <m:t>=</m:t>
          </m:r>
          <m:r>
            <w:rPr>
              <w:rFonts w:ascii="Cambria Math" w:hAnsi="Cambria Math" w:cs="Times New Roman"/>
            </w:rPr>
            <m:t>d</m:t>
          </m:r>
          <m:d>
            <m:dPr>
              <m:ctrlPr>
                <w:rPr>
                  <w:rFonts w:ascii="Cambria Math" w:hAnsi="Cambria Math" w:cs="Times New Roman"/>
                </w:rPr>
              </m:ctrlPr>
            </m:dPr>
            <m:e>
              <m:sSub>
                <m:sSubPr>
                  <m:ctrlPr>
                    <w:rPr>
                      <w:rFonts w:ascii="Cambria Math" w:hAnsi="Cambria Math" w:cs="Times New Roman"/>
                    </w:rPr>
                  </m:ctrlPr>
                </m:sSubPr>
                <m:e>
                  <m:r>
                    <m:rPr>
                      <m:sty m:val="bi"/>
                    </m:rPr>
                    <w:rPr>
                      <w:rFonts w:ascii="Cambria Math" w:hAnsi="Cambria Math" w:cs="Times New Roman"/>
                    </w:rPr>
                    <m:t>S</m:t>
                  </m:r>
                </m:e>
                <m:sub>
                  <m:r>
                    <m:rPr>
                      <m:sty m:val="p"/>
                    </m:rPr>
                    <w:rPr>
                      <w:rFonts w:ascii="Cambria Math" w:hAnsi="Cambria Math" w:cs="Times New Roman"/>
                    </w:rPr>
                    <m:t>MoM</m:t>
                  </m:r>
                </m:sub>
              </m:sSub>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S</m:t>
                  </m:r>
                </m:e>
                <m:sub>
                  <m:r>
                    <m:rPr>
                      <m:sty m:val="p"/>
                    </m:rPr>
                    <w:rPr>
                      <w:rFonts w:ascii="Cambria Math" w:hAnsi="Cambria Math" w:cs="Times New Roman"/>
                    </w:rPr>
                    <m:t>target</m:t>
                  </m:r>
                </m:sub>
              </m:sSub>
            </m:e>
          </m:d>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lastRenderedPageBreak/>
        <w:t xml:space="preserve">is used to rank, reject, or refine the candidate. This does not require the MoM solver to be differentiable. Consequently, the present implementation can legitimately be described as </w:t>
      </w:r>
      <w:r w:rsidRPr="00E63E74">
        <w:rPr>
          <w:rFonts w:ascii="Times New Roman" w:hAnsi="Times New Roman" w:cs="Times New Roman"/>
          <w:b/>
          <w:bCs/>
        </w:rPr>
        <w:t>compatible with physics</w:t>
      </w:r>
      <w:r w:rsidRPr="00E63E74">
        <w:rPr>
          <w:rFonts w:ascii="Times New Roman" w:hAnsi="Times New Roman" w:cs="Times New Roman"/>
          <w:b/>
          <w:bCs/>
        </w:rPr>
        <w:t>-guided inverse-design loops</w:t>
      </w:r>
      <w:r w:rsidRPr="00E63E74">
        <w:rPr>
          <w:rFonts w:ascii="Times New Roman" w:hAnsi="Times New Roman" w:cs="Times New Roman"/>
        </w:rPr>
        <w:t xml:space="preserve"> even if it is currently called as a black-box forward simulator.</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A useful extension is active learning: the surrogate proposes or identifies informative geometries, the GPU MoM engine supplies high-fidelity labels for those des</w:t>
      </w:r>
      <w:r w:rsidRPr="00E63E74">
        <w:rPr>
          <w:rFonts w:ascii="Times New Roman" w:hAnsi="Times New Roman" w:cs="Times New Roman"/>
        </w:rPr>
        <w:t>igns, and the model is retrained. This strategy concentrates electromagnetic computation where the learned model is uncertain instead of uniformly sampling the entire geometry space.</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The third and more demanding mode is a </w:t>
      </w:r>
      <w:r w:rsidRPr="00E63E74">
        <w:rPr>
          <w:rFonts w:ascii="Times New Roman" w:hAnsi="Times New Roman" w:cs="Times New Roman"/>
          <w:b/>
          <w:bCs/>
        </w:rPr>
        <w:t>differentiable electromagnetic lay</w:t>
      </w:r>
      <w:r w:rsidRPr="00E63E74">
        <w:rPr>
          <w:rFonts w:ascii="Times New Roman" w:hAnsi="Times New Roman" w:cs="Times New Roman"/>
          <w:b/>
          <w:bCs/>
        </w:rPr>
        <w:t>er</w:t>
      </w:r>
      <w:r w:rsidRPr="00E63E74">
        <w:rPr>
          <w:rFonts w:ascii="Times New Roman" w:hAnsi="Times New Roman" w:cs="Times New Roman"/>
        </w:rPr>
        <w:t>. TORCWA already demonstrates the practical value of combining GPU electromagnetic simulation with automatic differentiation for metasurface optimization, although it uses RCWA rather than MoM [13]. PyTorch itself supports complex-valued autograd, so a P</w:t>
      </w:r>
      <w:r w:rsidRPr="00E63E74">
        <w:rPr>
          <w:rFonts w:ascii="Times New Roman" w:hAnsi="Times New Roman" w:cs="Times New Roman"/>
        </w:rPr>
        <w:t xml:space="preserve">yTorch implementation provides relevant software infrastructure, but that alone does not make a MoM code differentiable with respect to geometry. </w:t>
      </w:r>
      <w:hyperlink r:id="rId32">
        <w:r w:rsidRPr="00E63E74">
          <w:rPr>
            <w:rStyle w:val="Hyperlink"/>
            <w:rFonts w:ascii="Times New Roman" w:hAnsi="Times New Roman" w:cs="Times New Roman"/>
          </w:rPr>
          <w:t>[23]</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For the MoM sy</w:t>
      </w:r>
      <w:r w:rsidRPr="00E63E74">
        <w:rPr>
          <w:rFonts w:ascii="Times New Roman" w:hAnsi="Times New Roman" w:cs="Times New Roman"/>
        </w:rPr>
        <w:t>stem</w:t>
      </w:r>
    </w:p>
    <w:p w:rsidR="0090136C" w:rsidRPr="00E63E74" w:rsidRDefault="00E63E74" w:rsidP="00E63E74">
      <w:pPr>
        <w:pStyle w:val="BodyText"/>
        <w:jc w:val="both"/>
        <w:rPr>
          <w:rFonts w:ascii="Times New Roman" w:hAnsi="Times New Roman" w:cs="Times New Roman"/>
        </w:rPr>
      </w:pPr>
      <m:oMathPara>
        <m:oMathParaPr>
          <m:jc m:val="center"/>
        </m:oMathParaPr>
        <m:oMath>
          <m:r>
            <m:rPr>
              <m:sty m:val="bi"/>
            </m:rPr>
            <w:rPr>
              <w:rFonts w:ascii="Cambria Math" w:hAnsi="Cambria Math" w:cs="Times New Roman"/>
            </w:rPr>
            <m:t>Z</m:t>
          </m:r>
          <m:r>
            <m:rPr>
              <m:sty m:val="p"/>
            </m:rPr>
            <w:rPr>
              <w:rFonts w:ascii="Cambria Math" w:hAnsi="Cambria Math" w:cs="Times New Roman"/>
            </w:rPr>
            <m:t>(</m:t>
          </m:r>
          <m:r>
            <m:rPr>
              <m:sty m:val="bi"/>
            </m:rPr>
            <w:rPr>
              <w:rFonts w:ascii="Cambria Math" w:hAnsi="Cambria Math" w:cs="Times New Roman"/>
            </w:rPr>
            <m:t>p</m:t>
          </m:r>
          <m:r>
            <m:rPr>
              <m:sty m:val="p"/>
            </m:rPr>
            <w:rPr>
              <w:rFonts w:ascii="Cambria Math" w:hAnsi="Cambria Math" w:cs="Times New Roman"/>
            </w:rPr>
            <m:t>)</m:t>
          </m:r>
          <m:r>
            <m:rPr>
              <m:sty m:val="bi"/>
            </m:rPr>
            <w:rPr>
              <w:rFonts w:ascii="Cambria Math" w:hAnsi="Cambria Math" w:cs="Times New Roman"/>
            </w:rPr>
            <m:t>I</m:t>
          </m:r>
          <m:r>
            <m:rPr>
              <m:sty m:val="p"/>
            </m:rPr>
            <w:rPr>
              <w:rFonts w:ascii="Cambria Math" w:hAnsi="Cambria Math" w:cs="Times New Roman"/>
            </w:rPr>
            <m:t>(</m:t>
          </m:r>
          <m:r>
            <m:rPr>
              <m:sty m:val="bi"/>
            </m:rPr>
            <w:rPr>
              <w:rFonts w:ascii="Cambria Math" w:hAnsi="Cambria Math" w:cs="Times New Roman"/>
            </w:rPr>
            <m:t>p</m:t>
          </m:r>
          <m:r>
            <m:rPr>
              <m:sty m:val="p"/>
            </m:rPr>
            <w:rPr>
              <w:rFonts w:ascii="Cambria Math" w:hAnsi="Cambria Math" w:cs="Times New Roman"/>
            </w:rPr>
            <m:t>)=</m:t>
          </m:r>
          <m:r>
            <m:rPr>
              <m:sty m:val="bi"/>
            </m:rPr>
            <w:rPr>
              <w:rFonts w:ascii="Cambria Math" w:hAnsi="Cambria Math" w:cs="Times New Roman"/>
            </w:rPr>
            <m:t>V</m:t>
          </m:r>
          <m:r>
            <m:rPr>
              <m:sty m:val="p"/>
            </m:rPr>
            <w:rPr>
              <w:rFonts w:ascii="Cambria Math" w:hAnsi="Cambria Math" w:cs="Times New Roman"/>
            </w:rPr>
            <m:t>(</m:t>
          </m:r>
          <m:r>
            <m:rPr>
              <m:sty m:val="bi"/>
            </m:rPr>
            <w:rPr>
              <w:rFonts w:ascii="Cambria Math" w:hAnsi="Cambria Math" w:cs="Times New Roman"/>
            </w:rPr>
            <m:t>p</m:t>
          </m:r>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 xml:space="preserve">differentiation with respect to a continuous design parameter </w:t>
      </w:r>
      <m:oMath>
        <m:r>
          <w:rPr>
            <w:rFonts w:ascii="Cambria Math" w:hAnsi="Cambria Math" w:cs="Times New Roman"/>
          </w:rPr>
          <m:t>p</m:t>
        </m:r>
      </m:oMath>
      <w:r w:rsidRPr="00E63E74">
        <w:rPr>
          <w:rFonts w:ascii="Times New Roman" w:hAnsi="Times New Roman" w:cs="Times New Roman"/>
        </w:rPr>
        <w:t xml:space="preserve"> gives</w:t>
      </w:r>
    </w:p>
    <w:p w:rsidR="0090136C" w:rsidRPr="00E63E74" w:rsidRDefault="00E63E74" w:rsidP="00E63E74">
      <w:pPr>
        <w:pStyle w:val="BodyText"/>
        <w:jc w:val="both"/>
        <w:rPr>
          <w:rFonts w:ascii="Times New Roman" w:hAnsi="Times New Roman" w:cs="Times New Roman"/>
        </w:rPr>
      </w:pPr>
      <m:oMathPara>
        <m:oMathParaPr>
          <m:jc m:val="center"/>
        </m:oMathParaPr>
        <m:oMath>
          <m:f>
            <m:fPr>
              <m:ctrlPr>
                <w:rPr>
                  <w:rFonts w:ascii="Cambria Math" w:hAnsi="Cambria Math" w:cs="Times New Roman"/>
                </w:rPr>
              </m:ctrlPr>
            </m:fPr>
            <m:num>
              <m:r>
                <w:rPr>
                  <w:rFonts w:ascii="Cambria Math" w:hAnsi="Cambria Math" w:cs="Times New Roman"/>
                </w:rPr>
                <m:t>d</m:t>
              </m:r>
              <m:r>
                <m:rPr>
                  <m:sty m:val="bi"/>
                </m:rPr>
                <w:rPr>
                  <w:rFonts w:ascii="Cambria Math" w:hAnsi="Cambria Math" w:cs="Times New Roman"/>
                </w:rPr>
                <m:t>I</m:t>
              </m:r>
            </m:num>
            <m:den>
              <m:r>
                <w:rPr>
                  <w:rFonts w:ascii="Cambria Math" w:hAnsi="Cambria Math" w:cs="Times New Roman"/>
                </w:rPr>
                <m:t>dp</m:t>
              </m:r>
            </m:den>
          </m:f>
          <m:r>
            <m:rPr>
              <m:sty m:val="p"/>
            </m:rPr>
            <w:rPr>
              <w:rFonts w:ascii="Cambria Math" w:hAnsi="Cambria Math" w:cs="Times New Roman"/>
            </w:rPr>
            <m:t>=</m:t>
          </m:r>
          <m:sSup>
            <m:sSupPr>
              <m:ctrlPr>
                <w:rPr>
                  <w:rFonts w:ascii="Cambria Math" w:hAnsi="Cambria Math" w:cs="Times New Roman"/>
                </w:rPr>
              </m:ctrlPr>
            </m:sSupPr>
            <m:e>
              <m:r>
                <m:rPr>
                  <m:sty m:val="bi"/>
                </m:rPr>
                <w:rPr>
                  <w:rFonts w:ascii="Cambria Math" w:hAnsi="Cambria Math" w:cs="Times New Roman"/>
                </w:rPr>
                <m:t>Z</m:t>
              </m:r>
            </m:e>
            <m:sup>
              <m:r>
                <m:rPr>
                  <m:sty m:val="p"/>
                </m:rPr>
                <w:rPr>
                  <w:rFonts w:ascii="Cambria Math" w:hAnsi="Cambria Math" w:cs="Times New Roman"/>
                </w:rPr>
                <m:t>-</m:t>
              </m:r>
              <m:r>
                <w:rPr>
                  <w:rFonts w:ascii="Cambria Math" w:hAnsi="Cambria Math" w:cs="Times New Roman"/>
                </w:rPr>
                <m:t>1</m:t>
              </m:r>
            </m:sup>
          </m:sSup>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d</m:t>
                  </m:r>
                  <m:r>
                    <m:rPr>
                      <m:sty m:val="bi"/>
                    </m:rPr>
                    <w:rPr>
                      <w:rFonts w:ascii="Cambria Math" w:hAnsi="Cambria Math" w:cs="Times New Roman"/>
                    </w:rPr>
                    <m:t>V</m:t>
                  </m:r>
                </m:num>
                <m:den>
                  <m:r>
                    <w:rPr>
                      <w:rFonts w:ascii="Cambria Math" w:hAnsi="Cambria Math" w:cs="Times New Roman"/>
                    </w:rPr>
                    <m:t>dp</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d</m:t>
                  </m:r>
                  <m:r>
                    <m:rPr>
                      <m:sty m:val="bi"/>
                    </m:rPr>
                    <w:rPr>
                      <w:rFonts w:ascii="Cambria Math" w:hAnsi="Cambria Math" w:cs="Times New Roman"/>
                    </w:rPr>
                    <m:t>Z</m:t>
                  </m:r>
                </m:num>
                <m:den>
                  <m:r>
                    <w:rPr>
                      <w:rFonts w:ascii="Cambria Math" w:hAnsi="Cambria Math" w:cs="Times New Roman"/>
                    </w:rPr>
                    <m:t>dp</m:t>
                  </m:r>
                </m:den>
              </m:f>
              <m:r>
                <m:rPr>
                  <m:sty m:val="bi"/>
                </m:rPr>
                <w:rPr>
                  <w:rFonts w:ascii="Cambria Math" w:hAnsi="Cambria Math" w:cs="Times New Roman"/>
                </w:rPr>
                <m:t>I</m:t>
              </m:r>
            </m:e>
          </m:d>
          <m:r>
            <m:rPr>
              <m:sty m:val="p"/>
            </m:rPr>
            <w:rPr>
              <w:rFonts w:ascii="Cambria Math" w:hAnsi="Cambria Math" w:cs="Times New Roman"/>
            </w:rPr>
            <m:t>.</m:t>
          </m:r>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Equation (41) shows why true differentiability requires derivatives of the geometry-dependent impedance matrix and excitation, not merely an autograd-enabled matrix solve. Fixed-topology parametric meshes are therefore much easier to differentiate than des</w:t>
      </w:r>
      <w:r w:rsidRPr="00E63E74">
        <w:rPr>
          <w:rFonts w:ascii="Times New Roman" w:hAnsi="Times New Roman" w:cs="Times New Roman"/>
        </w:rPr>
        <w:t>igns in which the connectivity itself changes. An adjoint formulation could eventually reduce the number of solves required when the number of geometry parameters is large.</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This distinction should be reflected in the conference paper's wording:</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b/>
          <w:bCs/>
        </w:rPr>
        <w:t>Safe presen</w:t>
      </w:r>
      <w:r w:rsidRPr="00E63E74">
        <w:rPr>
          <w:rFonts w:ascii="Times New Roman" w:hAnsi="Times New Roman" w:cs="Times New Roman"/>
          <w:b/>
          <w:bCs/>
        </w:rPr>
        <w:t>t-tense claim:</w:t>
      </w:r>
      <w:r w:rsidRPr="00E63E74">
        <w:rPr>
          <w:rFonts w:ascii="Times New Roman" w:hAnsi="Times New Roman" w:cs="Times New Roman"/>
        </w:rPr>
        <w:br/>
      </w:r>
      <w:r w:rsidRPr="00E63E74">
        <w:rPr>
          <w:rFonts w:ascii="Times New Roman" w:hAnsi="Times New Roman" w:cs="Times New Roman"/>
          <w:i/>
          <w:iCs/>
        </w:rPr>
        <w:t>“The Python interface allows the solver to be incorporated as a physics evaluator within machine-learning and generative inverse-design workflows.”</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b/>
          <w:bCs/>
        </w:rPr>
        <w:t>Claim to make only after implementation and gradient verification:</w:t>
      </w:r>
      <w:r w:rsidRPr="00E63E74">
        <w:rPr>
          <w:rFonts w:ascii="Times New Roman" w:hAnsi="Times New Roman" w:cs="Times New Roman"/>
        </w:rPr>
        <w:br/>
      </w:r>
      <w:r w:rsidRPr="00E63E74">
        <w:rPr>
          <w:rFonts w:ascii="Times New Roman" w:hAnsi="Times New Roman" w:cs="Times New Roman"/>
          <w:i/>
          <w:iCs/>
        </w:rPr>
        <w:t>“The proposed solver provi</w:t>
      </w:r>
      <w:r w:rsidRPr="00E63E74">
        <w:rPr>
          <w:rFonts w:ascii="Times New Roman" w:hAnsi="Times New Roman" w:cs="Times New Roman"/>
          <w:i/>
          <w:iCs/>
        </w:rPr>
        <w:t>des differentiable electromagnetic simulation with respect to metasurface geometry.”</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The motivation is strengthened by published examples in which full-wave simulation is explicitly part of dataset generation. Ghorbani </w:t>
      </w:r>
      <w:r w:rsidRPr="00E63E74">
        <w:rPr>
          <w:rFonts w:ascii="Times New Roman" w:hAnsi="Times New Roman" w:cs="Times New Roman"/>
          <w:i/>
          <w:iCs/>
        </w:rPr>
        <w:t>et al.</w:t>
      </w:r>
      <w:r w:rsidRPr="00E63E74">
        <w:rPr>
          <w:rFonts w:ascii="Times New Roman" w:hAnsi="Times New Roman" w:cs="Times New Roman"/>
        </w:rPr>
        <w:t xml:space="preserve"> generated metasurface response</w:t>
      </w:r>
      <w:r w:rsidRPr="00E63E74">
        <w:rPr>
          <w:rFonts w:ascii="Times New Roman" w:hAnsi="Times New Roman" w:cs="Times New Roman"/>
        </w:rPr>
        <w:t>s using CST as part of a neural-network design workflow [17]. Thus, a specialized internal solver can remove a commercial full-wave call from every training sample while preserving the option to use commercial software to validate a statistically represent</w:t>
      </w:r>
      <w:r w:rsidRPr="00E63E74">
        <w:rPr>
          <w:rFonts w:ascii="Times New Roman" w:hAnsi="Times New Roman" w:cs="Times New Roman"/>
        </w:rPr>
        <w:t xml:space="preserve">ative subset. </w:t>
      </w:r>
      <w:hyperlink r:id="rId33">
        <w:r w:rsidRPr="00E63E74">
          <w:rPr>
            <w:rStyle w:val="Hyperlink"/>
            <w:rFonts w:ascii="Times New Roman" w:hAnsi="Times New Roman" w:cs="Times New Roman"/>
          </w:rPr>
          <w:t>[10]</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The comparison with TORCWA is worth discussing directly rather than avoiding it. RCWA/Fourier-modal methods are highly natural for periodic structures, and TORCWA alre</w:t>
      </w:r>
      <w:r w:rsidRPr="00E63E74">
        <w:rPr>
          <w:rFonts w:ascii="Times New Roman" w:hAnsi="Times New Roman" w:cs="Times New Roman"/>
        </w:rPr>
        <w:t xml:space="preserve">ady </w:t>
      </w:r>
      <w:r w:rsidRPr="00E63E74">
        <w:rPr>
          <w:rFonts w:ascii="Times New Roman" w:hAnsi="Times New Roman" w:cs="Times New Roman"/>
        </w:rPr>
        <w:lastRenderedPageBreak/>
        <w:t>demonstrates GPU execution and gradient-based optimization [13]. The proposed MoM approach is differentiated not by the general idea of GPU metasurface simulation but by the integral-equation representation: for thin conducting patterns, the unknowns c</w:t>
      </w:r>
      <w:r w:rsidRPr="00E63E74">
        <w:rPr>
          <w:rFonts w:ascii="Times New Roman" w:hAnsi="Times New Roman" w:cs="Times New Roman"/>
        </w:rPr>
        <w:t xml:space="preserve">an be placed directly on the current-carrying surface. The paper should present this as a complementary numerical route, not as a universal superiority claim. </w:t>
      </w:r>
      <w:hyperlink r:id="rId34">
        <w:r w:rsidRPr="00E63E74">
          <w:rPr>
            <w:rStyle w:val="Hyperlink"/>
            <w:rFonts w:ascii="Times New Roman" w:hAnsi="Times New Roman" w:cs="Times New Roman"/>
          </w:rPr>
          <w:t>[24]</w:t>
        </w:r>
      </w:hyperlink>
    </w:p>
    <w:p w:rsidR="0090136C" w:rsidRPr="00E63E74" w:rsidRDefault="00E63E74" w:rsidP="00E63E74">
      <w:pPr>
        <w:pStyle w:val="Heading3"/>
        <w:jc w:val="both"/>
        <w:rPr>
          <w:rFonts w:ascii="Times New Roman" w:hAnsi="Times New Roman" w:cs="Times New Roman"/>
        </w:rPr>
      </w:pPr>
      <w:bookmarkStart w:id="13" w:name="conclusion-and-future-work"/>
      <w:r w:rsidRPr="00E63E74">
        <w:rPr>
          <w:rFonts w:ascii="Times New Roman" w:hAnsi="Times New Roman" w:cs="Times New Roman"/>
        </w:rPr>
        <w:t>C</w:t>
      </w:r>
      <w:r w:rsidRPr="00E63E74">
        <w:rPr>
          <w:rFonts w:ascii="Times New Roman" w:hAnsi="Times New Roman" w:cs="Times New Roman"/>
        </w:rPr>
        <w:t>onclusion and Future Work</w:t>
      </w:r>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b/>
          <w:bCs/>
        </w:rPr>
        <w:t>Draft conclusion.</w:t>
      </w:r>
      <w:r w:rsidRPr="00E63E74">
        <w:rPr>
          <w:rFonts w:ascii="Times New Roman" w:hAnsi="Times New Roman" w:cs="Times New Roman"/>
        </w:rPr>
        <w:br/>
      </w:r>
      <w:r w:rsidRPr="00E63E74">
        <w:rPr>
          <w:rFonts w:ascii="Times New Roman" w:hAnsi="Times New Roman" w:cs="Times New Roman"/>
          <w:i/>
          <w:iCs/>
        </w:rPr>
        <w:t>This work presents a Python-native, GPU-compatible periodic Method of Moments framework for high-throughput electromagnetic characterization of metasurface unit cells. The solver combines [RWG/actual basis] curre</w:t>
      </w:r>
      <w:r w:rsidRPr="00E63E74">
        <w:rPr>
          <w:rFonts w:ascii="Times New Roman" w:hAnsi="Times New Roman" w:cs="Times New Roman"/>
          <w:i/>
          <w:iCs/>
        </w:rPr>
        <w:t>nt discretization with a Floquet-periodic [free-space/layered-medium] Green-function formulation and GPU-accelerated impedance-matrix assembly and linear solution. Reflection and transmission coefficients are recovered through projection of the solved curr</w:t>
      </w:r>
      <w:r w:rsidRPr="00E63E74">
        <w:rPr>
          <w:rFonts w:ascii="Times New Roman" w:hAnsi="Times New Roman" w:cs="Times New Roman"/>
          <w:i/>
          <w:iCs/>
        </w:rPr>
        <w:t xml:space="preserve">ents onto propagating Floquet modes, permitting direct prediction of complex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11</m:t>
            </m:r>
          </m:sub>
        </m:sSub>
      </m:oMath>
      <w:r w:rsidRPr="00E63E74">
        <w:rPr>
          <w:rFonts w:ascii="Times New Roman" w:hAnsi="Times New Roman" w:cs="Times New Roman"/>
          <w:i/>
          <w:iCs/>
        </w:rPr>
        <w:t xml:space="preserve"> and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21</m:t>
            </m:r>
          </m:sub>
        </m:sSub>
      </m:oMath>
      <w:r w:rsidRPr="00E63E74">
        <w:rPr>
          <w:rFonts w:ascii="Times New Roman" w:hAnsi="Times New Roman" w:cs="Times New Roman"/>
          <w:i/>
          <w:iCs/>
        </w:rPr>
        <w:t>.</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i/>
          <w:iCs/>
        </w:rPr>
        <w:t>Validation against [CST Studio Suite/HFSS] over [number] structures and [frequency range] gives [accuracy metrics]. Relative to the CPU implementation, the GPU form</w:t>
      </w:r>
      <w:r w:rsidRPr="00E63E74">
        <w:rPr>
          <w:rFonts w:ascii="Times New Roman" w:hAnsi="Times New Roman" w:cs="Times New Roman"/>
          <w:i/>
          <w:iCs/>
        </w:rPr>
        <w:t>ulation reduces total simulation time from [value] to [value], corresponding to an end-to-end acceleration of [value]. On [number/type] GPUs, the resulting implementation achieves a dataset-generation throughput of [value] unit cells per hour.</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i/>
          <w:iCs/>
        </w:rPr>
        <w:t>The principa</w:t>
      </w:r>
      <w:r w:rsidRPr="00E63E74">
        <w:rPr>
          <w:rFonts w:ascii="Times New Roman" w:hAnsi="Times New Roman" w:cs="Times New Roman"/>
          <w:i/>
          <w:iCs/>
        </w:rPr>
        <w:t>l value of the implementation lies in combining a specialized periodic integral-equation solver with a high-throughput Python execution model. Once validated, the same solver can generate electromagnetic labels for surrogate or generative models and can ev</w:t>
      </w:r>
      <w:r w:rsidRPr="00E63E74">
        <w:rPr>
          <w:rFonts w:ascii="Times New Roman" w:hAnsi="Times New Roman" w:cs="Times New Roman"/>
          <w:i/>
          <w:iCs/>
        </w:rPr>
        <w:t>aluate candidate structures directly inside inverse-design loops without requiring a commercial full-wave simulation for every iteration. Commercial solvers remain important for independent validation and for structures outside the assumptions of the prese</w:t>
      </w:r>
      <w:r w:rsidRPr="00E63E74">
        <w:rPr>
          <w:rFonts w:ascii="Times New Roman" w:hAnsi="Times New Roman" w:cs="Times New Roman"/>
          <w:i/>
          <w:iCs/>
        </w:rPr>
        <w:t>nt surface-integral formulation.</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i/>
          <w:iCs/>
        </w:rPr>
        <w:t>Future work will address [dielectric-volume/PMCHWT support], accelerated periodic Green-function evaluation, iterative or compressed matrix methods for larger systems, multi-GPU execution, adaptive data generation, and—subj</w:t>
      </w:r>
      <w:r w:rsidRPr="00E63E74">
        <w:rPr>
          <w:rFonts w:ascii="Times New Roman" w:hAnsi="Times New Roman" w:cs="Times New Roman"/>
          <w:i/>
          <w:iCs/>
        </w:rPr>
        <w:t>ect to validation of geometry derivatives—a differentiable or adjoint MoM formulation for gradient-based inverse design.</w:t>
      </w:r>
    </w:p>
    <w:p w:rsidR="0090136C" w:rsidRPr="00E63E74" w:rsidRDefault="00E63E74" w:rsidP="00E63E74">
      <w:pPr>
        <w:pStyle w:val="Heading2"/>
        <w:jc w:val="both"/>
        <w:rPr>
          <w:rFonts w:ascii="Times New Roman" w:hAnsi="Times New Roman" w:cs="Times New Roman"/>
        </w:rPr>
      </w:pPr>
      <w:bookmarkStart w:id="14" w:name="Xbbd6b58495411a988d04211e9a6d79a9c5d0b4f"/>
      <w:bookmarkEnd w:id="12"/>
      <w:bookmarkEnd w:id="13"/>
      <w:r w:rsidRPr="00E63E74">
        <w:rPr>
          <w:rFonts w:ascii="Times New Roman" w:hAnsi="Times New Roman" w:cs="Times New Roman"/>
        </w:rPr>
        <w:t>Research gap, experiments, and claims requiring validation</w:t>
      </w:r>
    </w:p>
    <w:p w:rsidR="0090136C" w:rsidRPr="00E63E74" w:rsidRDefault="00E63E74" w:rsidP="00E63E74">
      <w:pPr>
        <w:pStyle w:val="Heading3"/>
        <w:jc w:val="both"/>
        <w:rPr>
          <w:rFonts w:ascii="Times New Roman" w:hAnsi="Times New Roman" w:cs="Times New Roman"/>
        </w:rPr>
      </w:pPr>
      <w:bookmarkStart w:id="15" w:name="research-gap-table"/>
      <w:r w:rsidRPr="00E63E74">
        <w:rPr>
          <w:rFonts w:ascii="Times New Roman" w:hAnsi="Times New Roman" w:cs="Times New Roman"/>
        </w:rPr>
        <w:t>Research-gap table</w:t>
      </w:r>
    </w:p>
    <w:tbl>
      <w:tblPr>
        <w:tblStyle w:val="Table"/>
        <w:tblW w:w="0" w:type="auto"/>
        <w:tblLook w:val="0020" w:firstRow="1" w:lastRow="0" w:firstColumn="0" w:lastColumn="0" w:noHBand="0" w:noVBand="0"/>
      </w:tblPr>
      <w:tblGrid>
        <w:gridCol w:w="1278"/>
        <w:gridCol w:w="1662"/>
        <w:gridCol w:w="2045"/>
        <w:gridCol w:w="1585"/>
        <w:gridCol w:w="1169"/>
        <w:gridCol w:w="1837"/>
      </w:tblGrid>
      <w:tr w:rsidR="0090136C" w:rsidRPr="00E63E74" w:rsidTr="0090136C">
        <w:trPr>
          <w:cnfStyle w:val="100000000000" w:firstRow="1" w:lastRow="0" w:firstColumn="0" w:lastColumn="0" w:oddVBand="0" w:evenVBand="0" w:oddHBand="0" w:evenHBand="0" w:firstRowFirstColumn="0" w:firstRowLastColumn="0" w:lastRowFirstColumn="0" w:lastRowLastColumn="0"/>
          <w:tblHeader/>
        </w:trPr>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Approach</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What is already established</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GPU/HPC status</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Python/ML integration</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 xml:space="preserve">Unit-cell </w:t>
            </w:r>
            <m:oMath>
              <m:r>
                <w:rPr>
                  <w:rFonts w:ascii="Cambria Math" w:hAnsi="Cambria Math" w:cs="Times New Roman"/>
                </w:rPr>
                <m:t>S</m:t>
              </m:r>
            </m:oMath>
            <w:r w:rsidRPr="00E63E74">
              <w:rPr>
                <w:rFonts w:ascii="Times New Roman" w:hAnsi="Times New Roman" w:cs="Times New Roman"/>
              </w:rPr>
              <w:t>-parameter focus</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Gap relative to proposed work</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Commercial CST/HFSS-class solver</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 xml:space="preserve">General full-wave modeling, periodic boundaries, Floquet ports, </w:t>
            </w:r>
            <w:r w:rsidRPr="00E63E74">
              <w:rPr>
                <w:rFonts w:ascii="Times New Roman" w:hAnsi="Times New Roman" w:cs="Times New Roman"/>
              </w:rPr>
              <w:lastRenderedPageBreak/>
              <w:t>broad material/geometry support</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lastRenderedPageBreak/>
              <w:t>Commercial products support high-performance execution, subject to vendor infrastructure/licen</w:t>
            </w:r>
            <w:r w:rsidRPr="00E63E74">
              <w:rPr>
                <w:rFonts w:ascii="Times New Roman" w:hAnsi="Times New Roman" w:cs="Times New Roman"/>
              </w:rPr>
              <w:lastRenderedPageBreak/>
              <w:t>sing</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lastRenderedPageBreak/>
              <w:t xml:space="preserve">Automation APIs exist, but workflow remains tied to proprietary </w:t>
            </w:r>
            <w:r w:rsidRPr="00E63E74">
              <w:rPr>
                <w:rFonts w:ascii="Times New Roman" w:hAnsi="Times New Roman" w:cs="Times New Roman"/>
              </w:rPr>
              <w:lastRenderedPageBreak/>
              <w:t>software</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lastRenderedPageBreak/>
              <w:t>Strong</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Excellent reference solver, but not a self-controlled CEM engine for unrestri</w:t>
            </w:r>
            <w:r w:rsidRPr="00E63E74">
              <w:rPr>
                <w:rFonts w:ascii="Times New Roman" w:hAnsi="Times New Roman" w:cs="Times New Roman"/>
              </w:rPr>
              <w:t xml:space="preserve">cted </w:t>
            </w:r>
            <w:r w:rsidRPr="00E63E74">
              <w:rPr>
                <w:rFonts w:ascii="Times New Roman" w:hAnsi="Times New Roman" w:cs="Times New Roman"/>
              </w:rPr>
              <w:lastRenderedPageBreak/>
              <w:t>internal data-generation workflows</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lastRenderedPageBreak/>
              <w:t>Conventional periodic MoM [2]–[5]</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Periodic integral equations, periodic Green functions, layered media, FSS/array analysis</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Historically CPU-oriented formulations</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Not generally designed around modern ML pipelines</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Yes</w:t>
            </w:r>
            <w:r w:rsidRPr="00E63E74">
              <w:rPr>
                <w:rFonts w:ascii="Times New Roman" w:hAnsi="Times New Roman" w:cs="Times New Roman"/>
              </w:rPr>
              <w:t xml:space="preserve"> or closely related</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Does not by itself provide GPU/HPC/ML-oriented production workflow</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GPU MoM [7]–[11]</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GPU matrix filling, RWG interactions, linear algebra and scattering calculations already demonstrated</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Strong single-GPU precedent</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Mostly C/CUDA-era CEM implementations</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Not generally the principal emphasis of landmark GPU papers</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GPU acceleration alone is not novel</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Recent periodic metasurface MoM [6]</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Efficient periodic-MoM treatment remains an active research topic</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Computational accel</w:t>
            </w:r>
            <w:r w:rsidRPr="00E63E74">
              <w:rPr>
                <w:rFonts w:ascii="Times New Roman" w:hAnsi="Times New Roman" w:cs="Times New Roman"/>
              </w:rPr>
              <w:t>eration is an explicit objective</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Not presented as a Python ML-dataset platform</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Periodic metasurface analysis</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Prevents claiming novelty simply for “efficient periodic MoM for metasurfaces”</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Bempp-cl [12]</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Python boundary-element framework; Maxwell applicatio</w:t>
            </w:r>
            <w:r w:rsidRPr="00E63E74">
              <w:rPr>
                <w:rFonts w:ascii="Times New Roman" w:hAnsi="Times New Roman" w:cs="Times New Roman"/>
              </w:rPr>
              <w:t>ns</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OpenCL CPU/GPU execution</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Strong Python accessibility</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 xml:space="preserve">Not a purpose-built periodic metasurface unit-cell </w:t>
            </w:r>
            <m:oMath>
              <m:r>
                <w:rPr>
                  <w:rFonts w:ascii="Cambria Math" w:hAnsi="Cambria Math" w:cs="Times New Roman"/>
                </w:rPr>
                <m:t>S</m:t>
              </m:r>
            </m:oMath>
            <w:r w:rsidRPr="00E63E74">
              <w:rPr>
                <w:rFonts w:ascii="Times New Roman" w:hAnsi="Times New Roman" w:cs="Times New Roman"/>
              </w:rPr>
              <w:t>-parameter pipeline</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Prevents claiming “first Python GPU integral-equation EM solver”</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TORCWA [13]</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Periodic metasurface simulation, GPU acceleration</w:t>
            </w:r>
            <w:r w:rsidRPr="00E63E74">
              <w:rPr>
                <w:rFonts w:ascii="Times New Roman" w:hAnsi="Times New Roman" w:cs="Times New Roman"/>
              </w:rPr>
              <w:t xml:space="preserve">, </w:t>
            </w:r>
            <w:r w:rsidRPr="00E63E74">
              <w:rPr>
                <w:rFonts w:ascii="Times New Roman" w:hAnsi="Times New Roman" w:cs="Times New Roman"/>
              </w:rPr>
              <w:lastRenderedPageBreak/>
              <w:t>gradients and optimization</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lastRenderedPageBreak/>
              <w:t>GPU-native</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Strong PyTorch/inverse-design integration</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Yes, via RCWA</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 xml:space="preserve">Closest conceptual competitor, but numerical formulation is </w:t>
            </w:r>
            <w:r w:rsidRPr="00E63E74">
              <w:rPr>
                <w:rFonts w:ascii="Times New Roman" w:hAnsi="Times New Roman" w:cs="Times New Roman"/>
              </w:rPr>
              <w:lastRenderedPageBreak/>
              <w:t>Fourier-modal rather than MoM</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b/>
                <w:bCs/>
              </w:rPr>
              <w:lastRenderedPageBreak/>
              <w:t>Proposed framework</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Periodic surface MoM specialized for the target structure class</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GPU matrix assembly/solve plus coarse-grained multi-GPU jobs</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Python-native data generation and physics-loop API</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b/>
                <w:bCs/>
              </w:rPr>
              <w:t>Direct design objective</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Contribution is the integrated specialization and demons</w:t>
            </w:r>
            <w:r w:rsidRPr="00E63E74">
              <w:rPr>
                <w:rFonts w:ascii="Times New Roman" w:hAnsi="Times New Roman" w:cs="Times New Roman"/>
              </w:rPr>
              <w:t>trated throughput/accuracy</w:t>
            </w:r>
          </w:p>
        </w:tc>
      </w:tr>
    </w:tbl>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The underlying literature supporting this comparison spans established periodic MoM [2]–[5], the recent periodic metasurface solver of Dessy </w:t>
      </w:r>
      <w:r w:rsidRPr="00E63E74">
        <w:rPr>
          <w:rFonts w:ascii="Times New Roman" w:hAnsi="Times New Roman" w:cs="Times New Roman"/>
          <w:i/>
          <w:iCs/>
        </w:rPr>
        <w:t>et al.</w:t>
      </w:r>
      <w:r w:rsidRPr="00E63E74">
        <w:rPr>
          <w:rFonts w:ascii="Times New Roman" w:hAnsi="Times New Roman" w:cs="Times New Roman"/>
        </w:rPr>
        <w:t xml:space="preserve"> [6], GPU-MoM work [7]–[11], Bempp-cl [12], and TORCWA [13]. </w:t>
      </w:r>
      <w:hyperlink r:id="rId35">
        <w:r w:rsidRPr="00E63E74">
          <w:rPr>
            <w:rStyle w:val="Hyperlink"/>
            <w:rFonts w:ascii="Times New Roman" w:hAnsi="Times New Roman" w:cs="Times New Roman"/>
          </w:rPr>
          <w:t>[25]</w:t>
        </w:r>
      </w:hyperlink>
    </w:p>
    <w:p w:rsidR="0090136C" w:rsidRPr="00E63E74" w:rsidRDefault="00E63E74" w:rsidP="00E63E74">
      <w:pPr>
        <w:pStyle w:val="Heading3"/>
        <w:jc w:val="both"/>
        <w:rPr>
          <w:rFonts w:ascii="Times New Roman" w:hAnsi="Times New Roman" w:cs="Times New Roman"/>
        </w:rPr>
      </w:pPr>
      <w:bookmarkStart w:id="16" w:name="X6e1e41b123de70560230fd4de1c881f270cd7d4"/>
      <w:bookmarkEnd w:id="15"/>
      <w:r w:rsidRPr="00E63E74">
        <w:rPr>
          <w:rFonts w:ascii="Times New Roman" w:hAnsi="Times New Roman" w:cs="Times New Roman"/>
        </w:rPr>
        <w:t>Experiments that should be completed before submission</w:t>
      </w:r>
    </w:p>
    <w:tbl>
      <w:tblPr>
        <w:tblStyle w:val="Table"/>
        <w:tblW w:w="0" w:type="auto"/>
        <w:tblLook w:val="0020" w:firstRow="1" w:lastRow="0" w:firstColumn="0" w:lastColumn="0" w:noHBand="0" w:noVBand="0"/>
      </w:tblPr>
      <w:tblGrid>
        <w:gridCol w:w="2457"/>
        <w:gridCol w:w="4529"/>
        <w:gridCol w:w="2590"/>
      </w:tblGrid>
      <w:tr w:rsidR="0090136C" w:rsidRPr="00E63E74" w:rsidTr="0090136C">
        <w:trPr>
          <w:cnfStyle w:val="100000000000" w:firstRow="1" w:lastRow="0" w:firstColumn="0" w:lastColumn="0" w:oddVBand="0" w:evenVBand="0" w:oddHBand="0" w:evenHBand="0" w:firstRowFirstColumn="0" w:firstRowLastColumn="0" w:lastRowFirstColumn="0" w:lastRowLastColumn="0"/>
          <w:tblHeader/>
        </w:trPr>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Research question</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Required experiment</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What to report</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Is the EM formulation correct?</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Free-standing periodic PEC patch/aperture benchm</w:t>
            </w:r>
            <w:r w:rsidRPr="00E63E74">
              <w:rPr>
                <w:rFonts w:ascii="Times New Roman" w:hAnsi="Times New Roman" w:cs="Times New Roman"/>
              </w:rPr>
              <w:t>ark</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 xml:space="preserve">Complex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11</m:t>
                  </m:r>
                </m:sub>
              </m:sSub>
            </m:oMath>
            <w:r w:rsidRPr="00E63E7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21</m:t>
                  </m:r>
                </m:sub>
              </m:sSub>
            </m:oMath>
            <w:r w:rsidRPr="00E63E74">
              <w:rPr>
                <w:rFonts w:ascii="Times New Roman" w:hAnsi="Times New Roman" w:cs="Times New Roman"/>
              </w:rPr>
              <w:t>, convergence and energy balance</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Does the layered Green function work?</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Patch/FSS on one or more dielectric layers</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Magnitude and phase versus CST/HFSS</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Is the mesh converged?</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At least three mesh densities</w:t>
            </w:r>
          </w:p>
        </w:tc>
        <w:tc>
          <w:tcPr>
            <w:tcW w:w="0" w:type="auto"/>
          </w:tcPr>
          <w:p w:rsidR="0090136C" w:rsidRPr="00E63E74" w:rsidRDefault="00E63E74" w:rsidP="00E63E74">
            <w:pPr>
              <w:pStyle w:val="Compact"/>
              <w:jc w:val="both"/>
              <w:rPr>
                <w:rFonts w:ascii="Times New Roman" w:hAnsi="Times New Roman" w:cs="Times New Roman"/>
              </w:rPr>
            </w:pPr>
            <m:oMath>
              <m:r>
                <w:rPr>
                  <w:rFonts w:ascii="Cambria Math" w:hAnsi="Cambria Math" w:cs="Times New Roman"/>
                </w:rPr>
                <m:t>S</m:t>
              </m:r>
            </m:oMath>
            <w:r w:rsidRPr="00E63E74">
              <w:rPr>
                <w:rFonts w:ascii="Times New Roman" w:hAnsi="Times New Roman" w:cs="Times New Roman"/>
              </w:rPr>
              <w:t xml:space="preserve">-parameter convergence versus </w:t>
            </w:r>
            <m:oMath>
              <m:r>
                <w:rPr>
                  <w:rFonts w:ascii="Cambria Math" w:hAnsi="Cambria Math" w:cs="Times New Roman"/>
                </w:rPr>
                <m:t>N</m:t>
              </m:r>
            </m:oMath>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Is the periodic sum converged?</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Vary spectral/lattice/Ewald/hybrid cutoff</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Error versus Green-function tolerance</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Does the solver work only at normal incidence?</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 xml:space="preserve">Several </w:t>
            </w:r>
            <m:oMath>
              <m:r>
                <m:rPr>
                  <m:sty m:val="p"/>
                </m:rPr>
                <w:rPr>
                  <w:rFonts w:ascii="Cambria Math" w:hAnsi="Cambria Math" w:cs="Times New Roman"/>
                </w:rPr>
                <m:t>(</m:t>
              </m:r>
              <m:r>
                <w:rPr>
                  <w:rFonts w:ascii="Cambria Math" w:hAnsi="Cambria Math" w:cs="Times New Roman"/>
                </w:rPr>
                <m:t>θ</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oMath>
            <w:r w:rsidRPr="00E63E74">
              <w:rPr>
                <w:rFonts w:ascii="Times New Roman" w:hAnsi="Times New Roman" w:cs="Times New Roman"/>
              </w:rPr>
              <w:t xml:space="preserve"> values</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 xml:space="preserve">TE and TM </w:t>
            </w:r>
            <m:oMath>
              <m:r>
                <w:rPr>
                  <w:rFonts w:ascii="Cambria Math" w:hAnsi="Cambria Math" w:cs="Times New Roman"/>
                </w:rPr>
                <m:t>S</m:t>
              </m:r>
            </m:oMath>
            <w:r w:rsidRPr="00E63E74">
              <w:rPr>
                <w:rFonts w:ascii="Times New Roman" w:hAnsi="Times New Roman" w:cs="Times New Roman"/>
              </w:rPr>
              <w:t>-parameters</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Are higher diff</w:t>
            </w:r>
            <w:r w:rsidRPr="00E63E74">
              <w:rPr>
                <w:rFonts w:ascii="Times New Roman" w:hAnsi="Times New Roman" w:cs="Times New Roman"/>
              </w:rPr>
              <w:t>raction orders handled correctly?</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Sweep through a Floquet cutoff/Rayleigh anomaly</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 xml:space="preserve">Modal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pq</m:t>
                  </m:r>
                </m:sub>
              </m:sSub>
            </m:oMath>
            <w:r w:rsidRPr="00E63E74">
              <w:rPr>
                <w:rFonts w:ascii="Times New Roman" w:hAnsi="Times New Roman" w:cs="Times New Roman"/>
              </w:rPr>
              <w:t xml:space="preserve"> and total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A</m:t>
              </m:r>
            </m:oMath>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Is polarization handled correctly?</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TE, TM, and—if supported—cross-polarized/an-isotropic structures</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 xml:space="preserve">Co- and cross-polar </w:t>
            </w:r>
            <m:oMath>
              <m:r>
                <w:rPr>
                  <w:rFonts w:ascii="Cambria Math" w:hAnsi="Cambria Math" w:cs="Times New Roman"/>
                </w:rPr>
                <m:t>S</m:t>
              </m:r>
            </m:oMath>
            <w:r w:rsidRPr="00E63E74">
              <w:rPr>
                <w:rFonts w:ascii="Times New Roman" w:hAnsi="Times New Roman" w:cs="Times New Roman"/>
              </w:rPr>
              <w:t>-parameters</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Is the CPU and GPU physics identical?</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Execute the same mesh/quadrature in both backends</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Maximum CPU/GPU complex difference</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Does reduced precision remain accurate?</w:t>
            </w:r>
          </w:p>
        </w:tc>
        <w:tc>
          <w:tcPr>
            <w:tcW w:w="0" w:type="auto"/>
          </w:tcPr>
          <w:p w:rsidR="0090136C" w:rsidRPr="00E63E74" w:rsidRDefault="00E63E74" w:rsidP="00E63E74">
            <w:pPr>
              <w:pStyle w:val="Compact"/>
              <w:jc w:val="both"/>
              <w:rPr>
                <w:rFonts w:ascii="Times New Roman" w:hAnsi="Times New Roman" w:cs="Times New Roman"/>
              </w:rPr>
            </w:pPr>
            <w:r w:rsidRPr="00E63E74">
              <w:rPr>
                <w:rStyle w:val="VerbatimChar"/>
                <w:rFonts w:ascii="Times New Roman" w:hAnsi="Times New Roman" w:cs="Times New Roman"/>
              </w:rPr>
              <w:t>complex64</w:t>
            </w:r>
            <w:r w:rsidRPr="00E63E74">
              <w:rPr>
                <w:rFonts w:ascii="Times New Roman" w:hAnsi="Times New Roman" w:cs="Times New Roman"/>
              </w:rPr>
              <w:t xml:space="preserve"> versus </w:t>
            </w:r>
            <w:r w:rsidRPr="00E63E74">
              <w:rPr>
                <w:rStyle w:val="VerbatimChar"/>
                <w:rFonts w:ascii="Times New Roman" w:hAnsi="Times New Roman" w:cs="Times New Roman"/>
              </w:rPr>
              <w:t>complex128</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Error, time, and memory</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lastRenderedPageBreak/>
              <w:t>Where does GPU acceleration arise?</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Profile assembly, solve and post-processing separately</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Stage timing plus end-to-end timing</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Does performance scale with problem size?</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 xml:space="preserve">Sweep </w:t>
            </w:r>
            <m:oMath>
              <m:r>
                <w:rPr>
                  <w:rFonts w:ascii="Cambria Math" w:hAnsi="Cambria Math" w:cs="Times New Roman"/>
                </w:rPr>
                <m:t>N</m:t>
              </m:r>
            </m:oMath>
            <w:r w:rsidRPr="00E63E74">
              <w:rPr>
                <w:rFonts w:ascii="Times New Roman" w:hAnsi="Times New Roman" w:cs="Times New Roman"/>
              </w:rPr>
              <w:t xml:space="preserve"> over as wide a range as GPU memory allows</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 xml:space="preserve">Time and memory versus </w:t>
            </w:r>
            <m:oMath>
              <m:r>
                <w:rPr>
                  <w:rFonts w:ascii="Cambria Math" w:hAnsi="Cambria Math" w:cs="Times New Roman"/>
                </w:rPr>
                <m:t>N</m:t>
              </m:r>
            </m:oMath>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Does batching help?</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Sweep number of simultan</w:t>
            </w:r>
            <w:r w:rsidRPr="00E63E74">
              <w:rPr>
                <w:rFonts w:ascii="Times New Roman" w:hAnsi="Times New Roman" w:cs="Times New Roman"/>
              </w:rPr>
              <w:t>eous/queued cells</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Throughput versus batch size</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Does HPC deployment actually scale?</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One, two, four, … GPUs or available cluster sizes</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Unit cells/hour, speed-up, parallel efficiency</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Is it useful for ML rather than merely fast CEM?</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Generate a substantial training set and train one surrogate</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Held-out prediction error</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Is solver-generated ML data trustworthy?</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Train on MoM labels; test on unseen CST/HFSS designs</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ML error relative to commercial full-wave reference</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Can it guide inverse d</w:t>
            </w:r>
            <w:r w:rsidRPr="00E63E74">
              <w:rPr>
                <w:rFonts w:ascii="Times New Roman" w:hAnsi="Times New Roman" w:cs="Times New Roman"/>
              </w:rPr>
              <w:t>esign?</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Generate candidates with a surrogate/GAN/diffusion model and rescore with MoM</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 xml:space="preserve">Target-vs-realized </w:t>
            </w:r>
            <m:oMath>
              <m:r>
                <w:rPr>
                  <w:rFonts w:ascii="Cambria Math" w:hAnsi="Cambria Math" w:cs="Times New Roman"/>
                </w:rPr>
                <m:t>S</m:t>
              </m:r>
            </m:oMath>
            <w:r w:rsidRPr="00E63E74">
              <w:rPr>
                <w:rFonts w:ascii="Times New Roman" w:hAnsi="Times New Roman" w:cs="Times New Roman"/>
              </w:rPr>
              <w:t xml:space="preserve"> response and refinement success</w:t>
            </w:r>
          </w:p>
        </w:tc>
      </w:tr>
    </w:tbl>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The </w:t>
      </w:r>
      <w:r w:rsidRPr="00E63E74">
        <w:rPr>
          <w:rFonts w:ascii="Times New Roman" w:hAnsi="Times New Roman" w:cs="Times New Roman"/>
          <w:b/>
          <w:bCs/>
        </w:rPr>
        <w:t>last two experiments would substantially strengthen the novelty claim</w:t>
      </w:r>
      <w:r w:rsidRPr="00E63E74">
        <w:rPr>
          <w:rFonts w:ascii="Times New Roman" w:hAnsi="Times New Roman" w:cs="Times New Roman"/>
        </w:rPr>
        <w:t xml:space="preserve">. Without them, the paper is fundamentally </w:t>
      </w:r>
      <w:r w:rsidRPr="00E63E74">
        <w:rPr>
          <w:rFonts w:ascii="Times New Roman" w:hAnsi="Times New Roman" w:cs="Times New Roman"/>
        </w:rPr>
        <w:t>a GPU computational-electromagnetics paper whose AI motivation is prospective. With even one convincing surrogate-training or inverse-design demonstration, the connection between the solver architecture and the stated machine-learning motivation becomes ex</w:t>
      </w:r>
      <w:r w:rsidRPr="00E63E74">
        <w:rPr>
          <w:rFonts w:ascii="Times New Roman" w:hAnsi="Times New Roman" w:cs="Times New Roman"/>
        </w:rPr>
        <w:t>perimentally demonstrated rather than rhetorical.</w:t>
      </w:r>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A particularly strong conference experiment would be:</w:t>
      </w:r>
    </w:p>
    <w:p w:rsidR="0090136C" w:rsidRPr="00E63E74" w:rsidRDefault="00E63E74" w:rsidP="00E63E74">
      <w:pPr>
        <w:pStyle w:val="BodyText"/>
        <w:jc w:val="both"/>
        <w:rPr>
          <w:rFonts w:ascii="Times New Roman" w:hAnsi="Times New Roman" w:cs="Times New Roman"/>
        </w:rPr>
      </w:pPr>
      <m:oMathPara>
        <m:oMathParaPr>
          <m:jc m:val="center"/>
        </m:oMathParaPr>
        <m:oMath>
          <m:borderBox>
            <m:borderBoxPr>
              <m:ctrlPr>
                <w:rPr>
                  <w:rFonts w:ascii="Cambria Math" w:hAnsi="Cambria Math" w:cs="Times New Roman"/>
                </w:rPr>
              </m:ctrlPr>
            </m:borderBoxPr>
            <m:e>
              <m:r>
                <m:rPr>
                  <m:nor/>
                </m:rPr>
                <w:rPr>
                  <w:rFonts w:ascii="Times New Roman" w:hAnsi="Times New Roman" w:cs="Times New Roman"/>
                </w:rPr>
                <m:t xml:space="preserve">Generate </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4</m:t>
                  </m:r>
                </m:sup>
              </m:sSup>
              <m:r>
                <m:rPr>
                  <m:nor/>
                </m:rPr>
                <w:rPr>
                  <w:rFonts w:ascii="Times New Roman" w:hAnsi="Times New Roman"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5</m:t>
                  </m:r>
                </m:sup>
              </m:sSup>
              <m:r>
                <m:rPr>
                  <m:sty m:val="p"/>
                </m:rPr>
                <w:rPr>
                  <w:rFonts w:ascii="Cambria Math" w:hAnsi="Cambria Math" w:cs="Times New Roman"/>
                </w:rPr>
                <m:t>]</m:t>
              </m:r>
              <m:r>
                <m:rPr>
                  <m:nor/>
                </m:rPr>
                <w:rPr>
                  <w:rFonts w:ascii="Times New Roman" w:hAnsi="Times New Roman" w:cs="Times New Roman"/>
                </w:rPr>
                <m:t xml:space="preserve"> candidate unit cells with GPU-MoM</m:t>
              </m:r>
              <m:r>
                <m:rPr>
                  <m:sty m:val="p"/>
                </m:rPr>
                <w:rPr>
                  <w:rFonts w:ascii="Cambria Math" w:hAnsi="Cambria Math" w:cs="Times New Roman"/>
                </w:rPr>
                <m:t>→</m:t>
              </m:r>
              <m:r>
                <m:rPr>
                  <m:nor/>
                </m:rPr>
                <w:rPr>
                  <w:rFonts w:ascii="Times New Roman" w:hAnsi="Times New Roman" w:cs="Times New Roman"/>
                </w:rPr>
                <m:t>train a surrogate</m:t>
              </m:r>
              <m:r>
                <m:rPr>
                  <m:sty m:val="p"/>
                </m:rPr>
                <w:rPr>
                  <w:rFonts w:ascii="Cambria Math" w:hAnsi="Cambria Math" w:cs="Times New Roman"/>
                </w:rPr>
                <m:t>→</m:t>
              </m:r>
              <m:r>
                <m:rPr>
                  <m:nor/>
                </m:rPr>
                <w:rPr>
                  <w:rFonts w:ascii="Times New Roman" w:hAnsi="Times New Roman" w:cs="Times New Roman"/>
                </w:rPr>
                <m:t>evaluate held-out candidates</m:t>
              </m:r>
              <m:r>
                <m:rPr>
                  <m:sty m:val="p"/>
                </m:rPr>
                <w:rPr>
                  <w:rFonts w:ascii="Cambria Math" w:hAnsi="Cambria Math" w:cs="Times New Roman"/>
                </w:rPr>
                <m:t>→</m:t>
              </m:r>
              <m:r>
                <m:rPr>
                  <m:nor/>
                </m:rPr>
                <w:rPr>
                  <w:rFonts w:ascii="Times New Roman" w:hAnsi="Times New Roman" w:cs="Times New Roman"/>
                </w:rPr>
                <m:t>validate a random subset with CST</m:t>
              </m:r>
            </m:e>
          </m:borderBox>
        </m:oMath>
      </m:oMathPara>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where the actual d</w:t>
      </w:r>
      <w:r w:rsidRPr="00E63E74">
        <w:rPr>
          <w:rFonts w:ascii="Times New Roman" w:hAnsi="Times New Roman" w:cs="Times New Roman"/>
        </w:rPr>
        <w:t>ataset size should be chosen from your computational budget rather than inserted merely to make the paper appear large.</w:t>
      </w:r>
    </w:p>
    <w:p w:rsidR="0090136C" w:rsidRPr="00E63E74" w:rsidRDefault="00E63E74" w:rsidP="00E63E74">
      <w:pPr>
        <w:pStyle w:val="Heading3"/>
        <w:jc w:val="both"/>
        <w:rPr>
          <w:rFonts w:ascii="Times New Roman" w:hAnsi="Times New Roman" w:cs="Times New Roman"/>
        </w:rPr>
      </w:pPr>
      <w:bookmarkStart w:id="17" w:name="X0ba8fd18e2131a32b083e2ed253b00c37510a88"/>
      <w:bookmarkEnd w:id="16"/>
      <w:r w:rsidRPr="00E63E74">
        <w:rPr>
          <w:rFonts w:ascii="Times New Roman" w:hAnsi="Times New Roman" w:cs="Times New Roman"/>
        </w:rPr>
        <w:t>Claims that need especially careful wording</w:t>
      </w:r>
    </w:p>
    <w:tbl>
      <w:tblPr>
        <w:tblStyle w:val="Table"/>
        <w:tblW w:w="0" w:type="auto"/>
        <w:tblLook w:val="0020" w:firstRow="1" w:lastRow="0" w:firstColumn="0" w:lastColumn="0" w:noHBand="0" w:noVBand="0"/>
      </w:tblPr>
      <w:tblGrid>
        <w:gridCol w:w="2065"/>
        <w:gridCol w:w="2591"/>
        <w:gridCol w:w="4920"/>
      </w:tblGrid>
      <w:tr w:rsidR="0090136C" w:rsidRPr="00E63E74" w:rsidTr="0090136C">
        <w:trPr>
          <w:cnfStyle w:val="100000000000" w:firstRow="1" w:lastRow="0" w:firstColumn="0" w:lastColumn="0" w:oddVBand="0" w:evenVBand="0" w:oddHBand="0" w:evenHBand="0" w:firstRowFirstColumn="0" w:firstRowLastColumn="0" w:lastRowFirstColumn="0" w:lastRowLastColumn="0"/>
          <w:tblHeader/>
        </w:trPr>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Proposed claim</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Risk</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Recommended wording/evidence</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“The first GPU MoM solver”</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b/>
                <w:bCs/>
              </w:rPr>
              <w:t>Incorrect</w:t>
            </w:r>
            <w:r w:rsidRPr="00E63E74">
              <w:rPr>
                <w:rFonts w:ascii="Times New Roman" w:hAnsi="Times New Roman" w:cs="Times New Roman"/>
              </w:rPr>
              <w:t>; GPU MoM predates this work [7]–[11]</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Do not use</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“First GPU periodic MoM”</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High-risk novelty claim</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Avoid unless an exhaustive database search establishes it</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“First Python GPU EM solver”</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b/>
                <w:bCs/>
              </w:rPr>
              <w:t>Incorrect</w:t>
            </w:r>
            <w:r w:rsidRPr="00E63E74">
              <w:rPr>
                <w:rFonts w:ascii="Times New Roman" w:hAnsi="Times New Roman" w:cs="Times New Roman"/>
              </w:rPr>
              <w:t xml:space="preserve"> in broad form because software such as Bempp-cl exists [12]</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Say “Python-native implementation specialized for…”</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 xml:space="preserve">“First GPU </w:t>
            </w:r>
            <w:r w:rsidRPr="00E63E74">
              <w:rPr>
                <w:rFonts w:ascii="Times New Roman" w:hAnsi="Times New Roman" w:cs="Times New Roman"/>
              </w:rPr>
              <w:lastRenderedPageBreak/>
              <w:t>metasurface solver”</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b/>
                <w:bCs/>
              </w:rPr>
              <w:lastRenderedPageBreak/>
              <w:t>Incorrect</w:t>
            </w:r>
            <w:r w:rsidRPr="00E63E74">
              <w:rPr>
                <w:rFonts w:ascii="Times New Roman" w:hAnsi="Times New Roman" w:cs="Times New Roman"/>
              </w:rPr>
              <w:t xml:space="preserve"> in broad </w:t>
            </w:r>
            <w:r w:rsidRPr="00E63E74">
              <w:rPr>
                <w:rFonts w:ascii="Times New Roman" w:hAnsi="Times New Roman" w:cs="Times New Roman"/>
              </w:rPr>
              <w:lastRenderedPageBreak/>
              <w:t>form; TORCWA exists [13]</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lastRenderedPageBreak/>
              <w:t>Explicitly distinguish MoM from RCWA</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lastRenderedPageBreak/>
              <w:t>“First efficient MoM solver for periodic metasurfaces”</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 xml:space="preserve">Very high risk after Dessy </w:t>
            </w:r>
            <w:r w:rsidRPr="00E63E74">
              <w:rPr>
                <w:rFonts w:ascii="Times New Roman" w:hAnsi="Times New Roman" w:cs="Times New Roman"/>
                <w:i/>
                <w:iCs/>
              </w:rPr>
              <w:t>et al.</w:t>
            </w:r>
            <w:r w:rsidRPr="00E63E74">
              <w:rPr>
                <w:rFonts w:ascii="Times New Roman" w:hAnsi="Times New Roman" w:cs="Times New Roman"/>
              </w:rPr>
              <w:t xml:space="preserve"> </w:t>
            </w:r>
            <w:r w:rsidRPr="00E63E74">
              <w:rPr>
                <w:rFonts w:ascii="Times New Roman" w:hAnsi="Times New Roman" w:cs="Times New Roman"/>
              </w:rPr>
              <w:t>2025 [6]</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Do not use</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“Accurate”</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Unsupported until convergence/cross-validation exists</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 xml:space="preserve">Give quantitative complex </w:t>
            </w:r>
            <m:oMath>
              <m:r>
                <w:rPr>
                  <w:rFonts w:ascii="Cambria Math" w:hAnsi="Cambria Math" w:cs="Times New Roman"/>
                </w:rPr>
                <m:t>S</m:t>
              </m:r>
            </m:oMath>
            <w:r w:rsidRPr="00E63E74">
              <w:rPr>
                <w:rFonts w:ascii="Times New Roman" w:hAnsi="Times New Roman" w:cs="Times New Roman"/>
              </w:rPr>
              <w:t>-errors</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“Faster”</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Ambiguous</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Report same-hardware CPU/GPU end-to-end timing</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“Massively faster”</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Marketing language</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Replace with measured speed-up</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“HPC scalable”</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Unsupported by running on one GPU</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Show throughput with GPU count or say “HPC-deployable”</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“Open-source”</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False unless code is actually released under an explicit license</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Use “Python-based” until release</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“Elimi</w:t>
            </w:r>
            <w:r w:rsidRPr="00E63E74">
              <w:rPr>
                <w:rFonts w:ascii="Times New Roman" w:hAnsi="Times New Roman" w:cs="Times New Roman"/>
              </w:rPr>
              <w:t>nates CST/HFSS”</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Overclaim</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State that it reduces reliance on commercial solvers for repetitive in-scope simulations while using them for validation</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“Commercial GPU licenses are more expensive”</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Contract-dependent</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State that commercial cluster use is subject to proprietary licensing; quantify only using your institution's actual terms</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“Physics-guided inverse design”</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Potentially vague</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Demonstrate a candidate→MoM→objective/refinement loop</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“Differentiable MoM”</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Requir</w:t>
            </w:r>
            <w:r w:rsidRPr="00E63E74">
              <w:rPr>
                <w:rFonts w:ascii="Times New Roman" w:hAnsi="Times New Roman" w:cs="Times New Roman"/>
              </w:rPr>
              <w:t>es geometry gradients, not merely PyTorch</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Claim only after finite-difference/adjoint gradient verification</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“General metasurface solver”</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Too broad if solver assumes thin PEC sheets</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 xml:space="preserve">Explicitly define supported conductors, dielectrics, substrates, incidence </w:t>
            </w:r>
            <w:r w:rsidRPr="00E63E74">
              <w:rPr>
                <w:rFonts w:ascii="Times New Roman" w:hAnsi="Times New Roman" w:cs="Times New Roman"/>
              </w:rPr>
              <w:t>and diffraction regime</w:t>
            </w:r>
          </w:p>
        </w:tc>
      </w:tr>
      <w:tr w:rsidR="0090136C" w:rsidRPr="00E63E74">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“Large-scale data generation”</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Undefined</w:t>
            </w:r>
          </w:p>
        </w:tc>
        <w:tc>
          <w:tcPr>
            <w:tcW w:w="0" w:type="auto"/>
          </w:tcPr>
          <w:p w:rsidR="0090136C" w:rsidRPr="00E63E74" w:rsidRDefault="00E63E74" w:rsidP="00E63E74">
            <w:pPr>
              <w:pStyle w:val="Compact"/>
              <w:jc w:val="both"/>
              <w:rPr>
                <w:rFonts w:ascii="Times New Roman" w:hAnsi="Times New Roman" w:cs="Times New Roman"/>
              </w:rPr>
            </w:pPr>
            <w:r w:rsidRPr="00E63E74">
              <w:rPr>
                <w:rFonts w:ascii="Times New Roman" w:hAnsi="Times New Roman" w:cs="Times New Roman"/>
              </w:rPr>
              <w:t>Report unit cells/hour, total generated samples, GPU-hours and memory</w:t>
            </w:r>
          </w:p>
        </w:tc>
      </w:tr>
    </w:tbl>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The literature makes the first five cautions especially important. GPU MoM [7]–[11], periodic metasurface MoM [6], Python accelerated BEM [12], and GPU/PyTorch metasurface optimization [13] are all established precedents. </w:t>
      </w:r>
      <w:hyperlink r:id="rId36">
        <w:r w:rsidRPr="00E63E74">
          <w:rPr>
            <w:rStyle w:val="Hyperlink"/>
            <w:rFonts w:ascii="Times New Roman" w:hAnsi="Times New Roman" w:cs="Times New Roman"/>
          </w:rPr>
          <w:t>[26]</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A strong final novelty sentence, after your experiments have been completed, would be:</w:t>
      </w:r>
    </w:p>
    <w:p w:rsidR="0090136C" w:rsidRPr="00E63E74" w:rsidRDefault="00E63E74" w:rsidP="00E63E74">
      <w:pPr>
        <w:pStyle w:val="BlockText"/>
        <w:jc w:val="both"/>
        <w:rPr>
          <w:rFonts w:ascii="Times New Roman" w:hAnsi="Times New Roman" w:cs="Times New Roman"/>
        </w:rPr>
      </w:pPr>
      <w:r w:rsidRPr="00E63E74">
        <w:rPr>
          <w:rFonts w:ascii="Times New Roman" w:hAnsi="Times New Roman" w:cs="Times New Roman"/>
          <w:b/>
          <w:bCs/>
        </w:rPr>
        <w:t>“The novelty of the proposed solver lies not in GPU acceleration of MoM alone, but in the development and validation of a P</w:t>
      </w:r>
      <w:r w:rsidRPr="00E63E74">
        <w:rPr>
          <w:rFonts w:ascii="Times New Roman" w:hAnsi="Times New Roman" w:cs="Times New Roman"/>
          <w:b/>
          <w:bCs/>
        </w:rPr>
        <w:t xml:space="preserve">ython-native periodic-MoM workflow in which GPU-parallel electromagnetic assembly, Floquet-mode </w:t>
      </w:r>
      <m:oMath>
        <m:r>
          <w:rPr>
            <w:rFonts w:ascii="Cambria Math" w:hAnsi="Cambria Math" w:cs="Times New Roman"/>
          </w:rPr>
          <m:t>S</m:t>
        </m:r>
      </m:oMath>
      <w:r w:rsidRPr="00E63E74">
        <w:rPr>
          <w:rFonts w:ascii="Times New Roman" w:hAnsi="Times New Roman" w:cs="Times New Roman"/>
          <w:b/>
          <w:bCs/>
        </w:rPr>
        <w:t>-</w:t>
      </w:r>
      <w:r w:rsidRPr="00E63E74">
        <w:rPr>
          <w:rFonts w:ascii="Times New Roman" w:hAnsi="Times New Roman" w:cs="Times New Roman"/>
          <w:b/>
          <w:bCs/>
        </w:rPr>
        <w:lastRenderedPageBreak/>
        <w:t>parameter extraction, batch-oriented HPC execution, and direct machine-learning interfaces are co-designed for high-throughput metasurface unit-cell simulati</w:t>
      </w:r>
      <w:r w:rsidRPr="00E63E74">
        <w:rPr>
          <w:rFonts w:ascii="Times New Roman" w:hAnsi="Times New Roman" w:cs="Times New Roman"/>
          <w:b/>
          <w:bCs/>
        </w:rPr>
        <w:t>on.”</w:t>
      </w:r>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That statement is substantially more defensible than a “first GPU MoM” claim.</w:t>
      </w:r>
    </w:p>
    <w:p w:rsidR="0090136C" w:rsidRPr="00E63E74" w:rsidRDefault="00E63E74" w:rsidP="00E63E74">
      <w:pPr>
        <w:pStyle w:val="Heading2"/>
        <w:jc w:val="both"/>
        <w:rPr>
          <w:rFonts w:ascii="Times New Roman" w:hAnsi="Times New Roman" w:cs="Times New Roman"/>
        </w:rPr>
      </w:pPr>
      <w:bookmarkStart w:id="18" w:name="references"/>
      <w:bookmarkEnd w:id="14"/>
      <w:bookmarkEnd w:id="17"/>
      <w:r w:rsidRPr="00E63E74">
        <w:rPr>
          <w:rFonts w:ascii="Times New Roman" w:hAnsi="Times New Roman" w:cs="Times New Roman"/>
        </w:rPr>
        <w:t>References</w:t>
      </w:r>
    </w:p>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t xml:space="preserve">[1] S. M. Rao, D. R. Wilton, and A. W. Glisson, “Electromagnetic scattering by surfaces of arbitrary shape,” </w:t>
      </w:r>
      <w:r w:rsidRPr="00E63E74">
        <w:rPr>
          <w:rFonts w:ascii="Times New Roman" w:hAnsi="Times New Roman" w:cs="Times New Roman"/>
          <w:i/>
          <w:iCs/>
        </w:rPr>
        <w:t>IEEE Transactions on Antennas and Propagation</w:t>
      </w:r>
      <w:r w:rsidRPr="00E63E74">
        <w:rPr>
          <w:rFonts w:ascii="Times New Roman" w:hAnsi="Times New Roman" w:cs="Times New Roman"/>
        </w:rPr>
        <w:t xml:space="preserve">, vol. 30, no. 3, pp. 409–418, May 1982, doi: 10.1109/TAP.1982.1142818. This is the foundational RWG surface-basis paper. </w:t>
      </w:r>
      <w:hyperlink r:id="rId37">
        <w:r w:rsidRPr="00E63E74">
          <w:rPr>
            <w:rStyle w:val="Hyperlink"/>
            <w:rFonts w:ascii="Times New Roman" w:hAnsi="Times New Roman" w:cs="Times New Roman"/>
          </w:rPr>
          <w:t>[14]</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[2] T. Cwik and R. Mittra, “Scattering from a periodic array of </w:t>
      </w:r>
      <w:r w:rsidRPr="00E63E74">
        <w:rPr>
          <w:rFonts w:ascii="Times New Roman" w:hAnsi="Times New Roman" w:cs="Times New Roman"/>
        </w:rPr>
        <w:t xml:space="preserve">free-standing arbitrarily shaped perfectly conducting or resistive patches,” </w:t>
      </w:r>
      <w:r w:rsidRPr="00E63E74">
        <w:rPr>
          <w:rFonts w:ascii="Times New Roman" w:hAnsi="Times New Roman" w:cs="Times New Roman"/>
          <w:i/>
          <w:iCs/>
        </w:rPr>
        <w:t>IEEE Transactions on Antennas and Propagation</w:t>
      </w:r>
      <w:r w:rsidRPr="00E63E74">
        <w:rPr>
          <w:rFonts w:ascii="Times New Roman" w:hAnsi="Times New Roman" w:cs="Times New Roman"/>
        </w:rPr>
        <w:t xml:space="preserve">, vol. 35, no. 11, pp. 1226–1234, Nov. 1987, doi: 10.1109/TAP.1987.1143999. </w:t>
      </w:r>
      <w:hyperlink r:id="rId38">
        <w:r w:rsidRPr="00E63E74">
          <w:rPr>
            <w:rStyle w:val="Hyperlink"/>
            <w:rFonts w:ascii="Times New Roman" w:hAnsi="Times New Roman" w:cs="Times New Roman"/>
          </w:rPr>
          <w:t>[27]</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[3] S. Singh, W. F. Richards, J. R. Zinecker, and D. R. Wilton, “Accelerating the convergence of series representing the free space periodic Green's function,” </w:t>
      </w:r>
      <w:r w:rsidRPr="00E63E74">
        <w:rPr>
          <w:rFonts w:ascii="Times New Roman" w:hAnsi="Times New Roman" w:cs="Times New Roman"/>
          <w:i/>
          <w:iCs/>
        </w:rPr>
        <w:t>IEEE Transactions on Antennas and Propagation</w:t>
      </w:r>
      <w:r w:rsidRPr="00E63E74">
        <w:rPr>
          <w:rFonts w:ascii="Times New Roman" w:hAnsi="Times New Roman" w:cs="Times New Roman"/>
        </w:rPr>
        <w:t xml:space="preserve">, vol. 38, no. 12, pp. 1958–1962, Dec. </w:t>
      </w:r>
      <w:r w:rsidRPr="00E63E74">
        <w:rPr>
          <w:rFonts w:ascii="Times New Roman" w:hAnsi="Times New Roman" w:cs="Times New Roman"/>
        </w:rPr>
        <w:t xml:space="preserve">1990, doi: 10.1109/8.60985. </w:t>
      </w:r>
      <w:hyperlink r:id="rId39">
        <w:r w:rsidRPr="00E63E74">
          <w:rPr>
            <w:rStyle w:val="Hyperlink"/>
            <w:rFonts w:ascii="Times New Roman" w:hAnsi="Times New Roman" w:cs="Times New Roman"/>
          </w:rPr>
          <w:t>[28]</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[4] K. A. Michalski and J. R. Mosig, “Multilayered media Green's functions in integral equation formulations,” </w:t>
      </w:r>
      <w:r w:rsidRPr="00E63E74">
        <w:rPr>
          <w:rFonts w:ascii="Times New Roman" w:hAnsi="Times New Roman" w:cs="Times New Roman"/>
          <w:i/>
          <w:iCs/>
        </w:rPr>
        <w:t>IEEE Transactions on Antennas and Propagation</w:t>
      </w:r>
      <w:r w:rsidRPr="00E63E74">
        <w:rPr>
          <w:rFonts w:ascii="Times New Roman" w:hAnsi="Times New Roman" w:cs="Times New Roman"/>
        </w:rPr>
        <w:t>, vo</w:t>
      </w:r>
      <w:r w:rsidRPr="00E63E74">
        <w:rPr>
          <w:rFonts w:ascii="Times New Roman" w:hAnsi="Times New Roman" w:cs="Times New Roman"/>
        </w:rPr>
        <w:t xml:space="preserve">l. 45, no. 3, pp. 508–519, Mar. 1997, doi: 10.1109/8.558666. </w:t>
      </w:r>
      <w:hyperlink r:id="rId40">
        <w:r w:rsidRPr="00E63E74">
          <w:rPr>
            <w:rStyle w:val="Hyperlink"/>
            <w:rFonts w:ascii="Times New Roman" w:hAnsi="Times New Roman" w:cs="Times New Roman"/>
          </w:rPr>
          <w:t>[12]</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[5] X. Dardenne and C. Craeye, “Method of Moments simulation of infinitely periodic structures combining metal with connected </w:t>
      </w:r>
      <w:r w:rsidRPr="00E63E74">
        <w:rPr>
          <w:rFonts w:ascii="Times New Roman" w:hAnsi="Times New Roman" w:cs="Times New Roman"/>
        </w:rPr>
        <w:t xml:space="preserve">dielectric objects,” </w:t>
      </w:r>
      <w:r w:rsidRPr="00E63E74">
        <w:rPr>
          <w:rFonts w:ascii="Times New Roman" w:hAnsi="Times New Roman" w:cs="Times New Roman"/>
          <w:i/>
          <w:iCs/>
        </w:rPr>
        <w:t>IEEE Transactions on Antennas and Propagation</w:t>
      </w:r>
      <w:r w:rsidRPr="00E63E74">
        <w:rPr>
          <w:rFonts w:ascii="Times New Roman" w:hAnsi="Times New Roman" w:cs="Times New Roman"/>
        </w:rPr>
        <w:t xml:space="preserve">, vol. 56, no. 8, pp. 2372–2380, Aug. 2008, doi: 10.1109/TAP.2008.926779. </w:t>
      </w:r>
      <w:hyperlink r:id="rId41">
        <w:r w:rsidRPr="00E63E74">
          <w:rPr>
            <w:rStyle w:val="Hyperlink"/>
            <w:rFonts w:ascii="Times New Roman" w:hAnsi="Times New Roman" w:cs="Times New Roman"/>
          </w:rPr>
          <w:t>[29]</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[6] J. Dessy, L. Paucot, D. Tihon, M. Bodehou,</w:t>
      </w:r>
      <w:r w:rsidRPr="00E63E74">
        <w:rPr>
          <w:rFonts w:ascii="Times New Roman" w:hAnsi="Times New Roman" w:cs="Times New Roman"/>
        </w:rPr>
        <w:t xml:space="preserve"> and C. Craeye, “Efficient Method of Moments analysis of periodic metasurfaces combining spectral and spatial domain approaches,” in </w:t>
      </w:r>
      <w:r w:rsidRPr="00E63E74">
        <w:rPr>
          <w:rFonts w:ascii="Times New Roman" w:hAnsi="Times New Roman" w:cs="Times New Roman"/>
          <w:i/>
          <w:iCs/>
        </w:rPr>
        <w:t>Proc. URSI International Symposium on Electromagnetic Theory (EMTS)</w:t>
      </w:r>
      <w:r w:rsidRPr="00E63E74">
        <w:rPr>
          <w:rFonts w:ascii="Times New Roman" w:hAnsi="Times New Roman" w:cs="Times New Roman"/>
        </w:rPr>
        <w:t>, Bologna, Italy, Jun. 2025, pp. 1–4, doi: 10.46620/URSI</w:t>
      </w:r>
      <w:r w:rsidRPr="00E63E74">
        <w:rPr>
          <w:rFonts w:ascii="Times New Roman" w:hAnsi="Times New Roman" w:cs="Times New Roman"/>
        </w:rPr>
        <w:t xml:space="preserve">EMTS25/BHHQ9781. This recent paper is particularly important for novelty positioning because it directly treats efficient periodic MoM for metasurfaces. </w:t>
      </w:r>
      <w:hyperlink r:id="rId42">
        <w:r w:rsidRPr="00E63E74">
          <w:rPr>
            <w:rStyle w:val="Hyperlink"/>
            <w:rFonts w:ascii="Times New Roman" w:hAnsi="Times New Roman" w:cs="Times New Roman"/>
          </w:rPr>
          <w:t>[30]</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[7] S. Peng and Z. Nie,</w:t>
      </w:r>
      <w:r w:rsidRPr="00E63E74">
        <w:rPr>
          <w:rFonts w:ascii="Times New Roman" w:hAnsi="Times New Roman" w:cs="Times New Roman"/>
        </w:rPr>
        <w:t xml:space="preserve"> “Acceleration of the Method of Moments calculations by using graphics processing units,” </w:t>
      </w:r>
      <w:r w:rsidRPr="00E63E74">
        <w:rPr>
          <w:rFonts w:ascii="Times New Roman" w:hAnsi="Times New Roman" w:cs="Times New Roman"/>
          <w:i/>
          <w:iCs/>
        </w:rPr>
        <w:t>IEEE Transactions on Antennas and Propagation</w:t>
      </w:r>
      <w:r w:rsidRPr="00E63E74">
        <w:rPr>
          <w:rFonts w:ascii="Times New Roman" w:hAnsi="Times New Roman" w:cs="Times New Roman"/>
        </w:rPr>
        <w:t xml:space="preserve">, vol. 56, no. 7, pp. 2130–2133, Jul. 2008. </w:t>
      </w:r>
      <w:hyperlink r:id="rId43">
        <w:r w:rsidRPr="00E63E74">
          <w:rPr>
            <w:rStyle w:val="Hyperlink"/>
            <w:rFonts w:ascii="Times New Roman" w:hAnsi="Times New Roman" w:cs="Times New Roman"/>
          </w:rPr>
          <w:t>[31]</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[8] E. </w:t>
      </w:r>
      <w:r w:rsidRPr="00E63E74">
        <w:rPr>
          <w:rFonts w:ascii="Times New Roman" w:hAnsi="Times New Roman" w:cs="Times New Roman"/>
        </w:rPr>
        <w:t xml:space="preserve">Lezar and D. B. Davidson, “GPU-accelerated Method of Moments by example: Monostatic scattering,” </w:t>
      </w:r>
      <w:r w:rsidRPr="00E63E74">
        <w:rPr>
          <w:rFonts w:ascii="Times New Roman" w:hAnsi="Times New Roman" w:cs="Times New Roman"/>
          <w:i/>
          <w:iCs/>
        </w:rPr>
        <w:t>IEEE Antennas and Propagation Magazine</w:t>
      </w:r>
      <w:r w:rsidRPr="00E63E74">
        <w:rPr>
          <w:rFonts w:ascii="Times New Roman" w:hAnsi="Times New Roman" w:cs="Times New Roman"/>
        </w:rPr>
        <w:t xml:space="preserve">, vol. 52, no. 6, pp. 120–135, Dec. 2010, doi: 10.1109/MAP.2010.5723240. </w:t>
      </w:r>
      <w:hyperlink r:id="rId44">
        <w:r w:rsidRPr="00E63E74">
          <w:rPr>
            <w:rStyle w:val="Hyperlink"/>
            <w:rFonts w:ascii="Times New Roman" w:hAnsi="Times New Roman" w:cs="Times New Roman"/>
          </w:rPr>
          <w:t>[32]</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[9] E. Lezar and D. B. Davidson, “GPU-based LU decomposition for large Method of Moments problems,” </w:t>
      </w:r>
      <w:r w:rsidRPr="00E63E74">
        <w:rPr>
          <w:rFonts w:ascii="Times New Roman" w:hAnsi="Times New Roman" w:cs="Times New Roman"/>
          <w:i/>
          <w:iCs/>
        </w:rPr>
        <w:t>Electronics Letters</w:t>
      </w:r>
      <w:r w:rsidRPr="00E63E74">
        <w:rPr>
          <w:rFonts w:ascii="Times New Roman" w:hAnsi="Times New Roman" w:cs="Times New Roman"/>
        </w:rPr>
        <w:t xml:space="preserve">, vol. 46, no. 17, pp. 1194–1196, 2010, doi: 10.1049/el.2010.1680. </w:t>
      </w:r>
      <w:hyperlink r:id="rId45">
        <w:r w:rsidRPr="00E63E74">
          <w:rPr>
            <w:rStyle w:val="Hyperlink"/>
            <w:rFonts w:ascii="Times New Roman" w:hAnsi="Times New Roman" w:cs="Times New Roman"/>
          </w:rPr>
          <w:t>[33]</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[10] T. Topa, A. Noga, and A. Karwowski, “Adapting MoM with RWG basis functions to GPU technology using CUDA,” </w:t>
      </w:r>
      <w:r w:rsidRPr="00E63E74">
        <w:rPr>
          <w:rFonts w:ascii="Times New Roman" w:hAnsi="Times New Roman" w:cs="Times New Roman"/>
          <w:i/>
          <w:iCs/>
        </w:rPr>
        <w:t>IEEE Antennas and Wireless Propagation Letters</w:t>
      </w:r>
      <w:r w:rsidRPr="00E63E74">
        <w:rPr>
          <w:rFonts w:ascii="Times New Roman" w:hAnsi="Times New Roman" w:cs="Times New Roman"/>
        </w:rPr>
        <w:t xml:space="preserve">, vol. 10, pp. 480–483, 2011, doi: 10.1109/LAWP.2011.2154373. </w:t>
      </w:r>
      <w:hyperlink r:id="rId46">
        <w:r w:rsidRPr="00E63E74">
          <w:rPr>
            <w:rStyle w:val="Hyperlink"/>
            <w:rFonts w:ascii="Times New Roman" w:hAnsi="Times New Roman" w:cs="Times New Roman"/>
          </w:rPr>
          <w:t>[34]</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lastRenderedPageBreak/>
        <w:t xml:space="preserve">[11] Y. Shi and J. M. Jin, “GPU-accelerated time-domain marching-on-in-degree solution,” </w:t>
      </w:r>
      <w:r w:rsidRPr="00E63E74">
        <w:rPr>
          <w:rFonts w:ascii="Times New Roman" w:hAnsi="Times New Roman" w:cs="Times New Roman"/>
          <w:i/>
          <w:iCs/>
        </w:rPr>
        <w:t>Electronics Letters</w:t>
      </w:r>
      <w:r w:rsidRPr="00E63E74">
        <w:rPr>
          <w:rFonts w:ascii="Times New Roman" w:hAnsi="Times New Roman" w:cs="Times New Roman"/>
        </w:rPr>
        <w:t>, vol. 49, no. 6</w:t>
      </w:r>
      <w:r w:rsidRPr="00E63E74">
        <w:rPr>
          <w:rFonts w:ascii="Times New Roman" w:hAnsi="Times New Roman" w:cs="Times New Roman"/>
        </w:rPr>
        <w:t xml:space="preserve">, pp. 393–394, Mar. 2013, doi: 10.1049/el.2012.4227. The work is time-domain rather than the proposed frequency-domain formulation, but it is useful evidence for GPU acceleration of integral-equation matrix filling and matrix-vector operations. </w:t>
      </w:r>
      <w:hyperlink r:id="rId47">
        <w:r w:rsidRPr="00E63E74">
          <w:rPr>
            <w:rStyle w:val="Hyperlink"/>
            <w:rFonts w:ascii="Times New Roman" w:hAnsi="Times New Roman" w:cs="Times New Roman"/>
          </w:rPr>
          <w:t>[35]</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[12] T. Betcke and M. W. Scroggs, “Bempp-cl: A fast Python based just-in-time compiling boundary element library,” </w:t>
      </w:r>
      <w:r w:rsidRPr="00E63E74">
        <w:rPr>
          <w:rFonts w:ascii="Times New Roman" w:hAnsi="Times New Roman" w:cs="Times New Roman"/>
          <w:i/>
          <w:iCs/>
        </w:rPr>
        <w:t>Journal of Open Source Software</w:t>
      </w:r>
      <w:r w:rsidRPr="00E63E74">
        <w:rPr>
          <w:rFonts w:ascii="Times New Roman" w:hAnsi="Times New Roman" w:cs="Times New Roman"/>
        </w:rPr>
        <w:t>, vol. 6, no. 59, Art. no. 2</w:t>
      </w:r>
      <w:r w:rsidRPr="00E63E74">
        <w:rPr>
          <w:rFonts w:ascii="Times New Roman" w:hAnsi="Times New Roman" w:cs="Times New Roman"/>
        </w:rPr>
        <w:t xml:space="preserve">879, 2021, doi: 10.21105/joss.02879. Bempp documentation also includes Maxwell problems and OpenCL execution on CPU/GPU devices, making this an important prior art reference for Python-based accelerated integral-equation software. </w:t>
      </w:r>
      <w:hyperlink r:id="rId48">
        <w:r w:rsidRPr="00E63E74">
          <w:rPr>
            <w:rStyle w:val="Hyperlink"/>
            <w:rFonts w:ascii="Times New Roman" w:hAnsi="Times New Roman" w:cs="Times New Roman"/>
          </w:rPr>
          <w:t>[36]</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[13] C. Kim and B. Lee, “TORCWA: GPU-accelerated Fourier modal method and gradient-based optimization for metasurface design,” </w:t>
      </w:r>
      <w:r w:rsidRPr="00E63E74">
        <w:rPr>
          <w:rFonts w:ascii="Times New Roman" w:hAnsi="Times New Roman" w:cs="Times New Roman"/>
          <w:i/>
          <w:iCs/>
        </w:rPr>
        <w:t>Computer Physics Communications</w:t>
      </w:r>
      <w:r w:rsidRPr="00E63E74">
        <w:rPr>
          <w:rFonts w:ascii="Times New Roman" w:hAnsi="Times New Roman" w:cs="Times New Roman"/>
        </w:rPr>
        <w:t>, vol. 282, Art. no. 108552, Jan. 2023, doi: 10.1</w:t>
      </w:r>
      <w:r w:rsidRPr="00E63E74">
        <w:rPr>
          <w:rFonts w:ascii="Times New Roman" w:hAnsi="Times New Roman" w:cs="Times New Roman"/>
        </w:rPr>
        <w:t xml:space="preserve">016/j.cpc.2022.108552. This is a key neighboring reference because it combines Python/PyTorch, GPU electromagnetic simulation, and gradient-based metasurface optimization, although using RCWA rather than MoM. </w:t>
      </w:r>
      <w:hyperlink r:id="rId49">
        <w:r w:rsidRPr="00E63E74">
          <w:rPr>
            <w:rStyle w:val="Hyperlink"/>
            <w:rFonts w:ascii="Times New Roman" w:hAnsi="Times New Roman" w:cs="Times New Roman"/>
          </w:rPr>
          <w:t>[37]</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[14] D. Liu, Y. Tan, E. Khoram, and Z. Yu, “Training deep neural networks for the inverse design of nanophotonic structures,” </w:t>
      </w:r>
      <w:r w:rsidRPr="00E63E74">
        <w:rPr>
          <w:rFonts w:ascii="Times New Roman" w:hAnsi="Times New Roman" w:cs="Times New Roman"/>
          <w:i/>
          <w:iCs/>
        </w:rPr>
        <w:t>ACS Photonics</w:t>
      </w:r>
      <w:r w:rsidRPr="00E63E74">
        <w:rPr>
          <w:rFonts w:ascii="Times New Roman" w:hAnsi="Times New Roman" w:cs="Times New Roman"/>
        </w:rPr>
        <w:t>, vol. 5, no. 4, pp. 1365–1369, 2018, doi: 10.1021/acsphotonics.7b01</w:t>
      </w:r>
      <w:r w:rsidRPr="00E63E74">
        <w:rPr>
          <w:rFonts w:ascii="Times New Roman" w:hAnsi="Times New Roman" w:cs="Times New Roman"/>
        </w:rPr>
        <w:t xml:space="preserve">377. </w:t>
      </w:r>
      <w:hyperlink r:id="rId50">
        <w:r w:rsidRPr="00E63E74">
          <w:rPr>
            <w:rStyle w:val="Hyperlink"/>
            <w:rFonts w:ascii="Times New Roman" w:hAnsi="Times New Roman" w:cs="Times New Roman"/>
          </w:rPr>
          <w:t>[38]</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[15] Z. Liu, D. Zhu, S. P. Rodrigues, K.-T. Lee, and W. Cai, “Generative model for the inverse design of metasurfaces,” </w:t>
      </w:r>
      <w:r w:rsidRPr="00E63E74">
        <w:rPr>
          <w:rFonts w:ascii="Times New Roman" w:hAnsi="Times New Roman" w:cs="Times New Roman"/>
          <w:i/>
          <w:iCs/>
        </w:rPr>
        <w:t>Nano Lett</w:t>
      </w:r>
      <w:r w:rsidRPr="00E63E74">
        <w:rPr>
          <w:rFonts w:ascii="Times New Roman" w:hAnsi="Times New Roman" w:cs="Times New Roman"/>
          <w:i/>
          <w:iCs/>
        </w:rPr>
        <w:t>ers</w:t>
      </w:r>
      <w:r w:rsidRPr="00E63E74">
        <w:rPr>
          <w:rFonts w:ascii="Times New Roman" w:hAnsi="Times New Roman" w:cs="Times New Roman"/>
        </w:rPr>
        <w:t xml:space="preserve">, vol. 18, no. 10, pp. 6570–6576, 2018, doi: 10.1021/acs.nanolett.8b03171. </w:t>
      </w:r>
      <w:hyperlink r:id="rId51">
        <w:r w:rsidRPr="00E63E74">
          <w:rPr>
            <w:rStyle w:val="Hyperlink"/>
            <w:rFonts w:ascii="Times New Roman" w:hAnsi="Times New Roman" w:cs="Times New Roman"/>
          </w:rPr>
          <w:t>[39]</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[16] J. Peurifoy, Y. Shen, L. Jing, Y. Yang, F. Cano-Ren</w:t>
      </w:r>
      <w:r w:rsidRPr="00E63E74">
        <w:rPr>
          <w:rFonts w:ascii="Times New Roman" w:hAnsi="Times New Roman" w:cs="Times New Roman"/>
        </w:rPr>
        <w:t xml:space="preserve">teria, B. G. DeLacy, J. D. Joannopoulos, M. Tegmark, and M. Soljačić, “Nanophotonic particle simulation and inverse design using artificial neural networks,” </w:t>
      </w:r>
      <w:r w:rsidRPr="00E63E74">
        <w:rPr>
          <w:rFonts w:ascii="Times New Roman" w:hAnsi="Times New Roman" w:cs="Times New Roman"/>
          <w:i/>
          <w:iCs/>
        </w:rPr>
        <w:t>Science Advances</w:t>
      </w:r>
      <w:r w:rsidRPr="00E63E74">
        <w:rPr>
          <w:rFonts w:ascii="Times New Roman" w:hAnsi="Times New Roman" w:cs="Times New Roman"/>
        </w:rPr>
        <w:t xml:space="preserve">, vol. 4, no. 6, Art. no. eaar4206, 2018, doi: 10.1126/sciadv.aar4206. </w:t>
      </w:r>
      <w:hyperlink r:id="rId52">
        <w:r w:rsidRPr="00E63E74">
          <w:rPr>
            <w:rStyle w:val="Hyperlink"/>
            <w:rFonts w:ascii="Times New Roman" w:hAnsi="Times New Roman" w:cs="Times New Roman"/>
          </w:rPr>
          <w:t>[40]</w:t>
        </w:r>
      </w:hyperlink>
    </w:p>
    <w:p w:rsidR="0090136C" w:rsidRPr="00E63E74" w:rsidRDefault="00E63E74" w:rsidP="00E63E74">
      <w:pPr>
        <w:pStyle w:val="BodyText"/>
        <w:jc w:val="both"/>
        <w:rPr>
          <w:rFonts w:ascii="Times New Roman" w:hAnsi="Times New Roman" w:cs="Times New Roman"/>
        </w:rPr>
      </w:pPr>
      <w:r w:rsidRPr="00E63E74">
        <w:rPr>
          <w:rFonts w:ascii="Times New Roman" w:hAnsi="Times New Roman" w:cs="Times New Roman"/>
        </w:rPr>
        <w:t xml:space="preserve">[17] F. Ghorbani, S. Beyraghi, J. Shabanpour, H. Oraizi, H. Soleimani, and M. Soleimani, “Deep neural network-based automatic metasurface design with a wide frequency range,” </w:t>
      </w:r>
      <w:r w:rsidRPr="00E63E74">
        <w:rPr>
          <w:rFonts w:ascii="Times New Roman" w:hAnsi="Times New Roman" w:cs="Times New Roman"/>
          <w:i/>
          <w:iCs/>
        </w:rPr>
        <w:t>Scientific Report</w:t>
      </w:r>
      <w:r w:rsidRPr="00E63E74">
        <w:rPr>
          <w:rFonts w:ascii="Times New Roman" w:hAnsi="Times New Roman" w:cs="Times New Roman"/>
          <w:i/>
          <w:iCs/>
        </w:rPr>
        <w:t>s</w:t>
      </w:r>
      <w:r w:rsidRPr="00E63E74">
        <w:rPr>
          <w:rFonts w:ascii="Times New Roman" w:hAnsi="Times New Roman" w:cs="Times New Roman"/>
        </w:rPr>
        <w:t xml:space="preserve">, vol. 11, Art. no. 7102, 2021, doi: 10.1038/s41598-021-86588-2. This paper is especially relevant to the proposed motivation because its data-driven metasurface workflow uses full-wave simulation to generate electromagnetic training responses. </w:t>
      </w:r>
      <w:hyperlink r:id="rId53">
        <w:r w:rsidRPr="00E63E74">
          <w:rPr>
            <w:rStyle w:val="Hyperlink"/>
            <w:rFonts w:ascii="Times New Roman" w:hAnsi="Times New Roman" w:cs="Times New Roman"/>
          </w:rPr>
          <w:t>[10]</w:t>
        </w:r>
      </w:hyperlink>
    </w:p>
    <w:bookmarkEnd w:id="0"/>
    <w:bookmarkEnd w:id="1"/>
    <w:bookmarkEnd w:id="18"/>
    <w:p w:rsidR="0090136C" w:rsidRPr="00E63E74" w:rsidRDefault="00E63E74" w:rsidP="00E63E74">
      <w:pPr>
        <w:jc w:val="both"/>
        <w:rPr>
          <w:rFonts w:ascii="Times New Roman" w:hAnsi="Times New Roman" w:cs="Times New Roman"/>
        </w:rPr>
      </w:pPr>
      <w:r w:rsidRPr="00E63E74">
        <w:rPr>
          <w:rFonts w:ascii="Times New Roman" w:hAnsi="Times New Roman" w:cs="Times New Roman"/>
        </w:rPr>
        <w:pict>
          <v:rect id="_x0000_i1025" style="width:0;height:1.5pt" o:hralign="center" o:hrstd="t" o:hr="t"/>
        </w:pict>
      </w:r>
    </w:p>
    <w:bookmarkStart w:id="19" w:name="citations"/>
    <w:p w:rsidR="0090136C" w:rsidRPr="00E63E74" w:rsidRDefault="00E63E74" w:rsidP="00E63E74">
      <w:pPr>
        <w:pStyle w:val="FirstParagraph"/>
        <w:jc w:val="both"/>
        <w:rPr>
          <w:rFonts w:ascii="Times New Roman" w:hAnsi="Times New Roman" w:cs="Times New Roman"/>
        </w:rPr>
      </w:pPr>
      <w:r w:rsidRPr="00E63E74">
        <w:rPr>
          <w:rFonts w:ascii="Times New Roman" w:hAnsi="Times New Roman" w:cs="Times New Roman"/>
        </w:rPr>
        <w:fldChar w:fldCharType="begin"/>
      </w:r>
      <w:r w:rsidRPr="00E63E74">
        <w:rPr>
          <w:rFonts w:ascii="Times New Roman" w:hAnsi="Times New Roman" w:cs="Times New Roman"/>
        </w:rPr>
        <w:instrText xml:space="preserve"> HYPERLINK "https://ieeexplore.ieee.org/document/4558314/" \h </w:instrText>
      </w:r>
      <w:r w:rsidRPr="00E63E74">
        <w:rPr>
          <w:rFonts w:ascii="Times New Roman" w:hAnsi="Times New Roman" w:cs="Times New Roman"/>
        </w:rPr>
        <w:fldChar w:fldCharType="separate"/>
      </w:r>
      <w:r w:rsidRPr="00E63E74">
        <w:rPr>
          <w:rStyle w:val="Hyperlink"/>
          <w:rFonts w:ascii="Times New Roman" w:hAnsi="Times New Roman" w:cs="Times New Roman"/>
        </w:rPr>
        <w:t>[1]</w:t>
      </w:r>
      <w:r w:rsidRPr="00E63E74">
        <w:rPr>
          <w:rStyle w:val="Hyperlink"/>
          <w:rFonts w:ascii="Times New Roman" w:hAnsi="Times New Roman" w:cs="Times New Roman"/>
        </w:rPr>
        <w:fldChar w:fldCharType="end"/>
      </w:r>
      <w:r w:rsidRPr="00E63E74">
        <w:rPr>
          <w:rFonts w:ascii="Times New Roman" w:hAnsi="Times New Roman" w:cs="Times New Roman"/>
        </w:rPr>
        <w:t xml:space="preserve"> </w:t>
      </w:r>
      <w:hyperlink r:id="rId54">
        <w:r w:rsidRPr="00E63E74">
          <w:rPr>
            <w:rStyle w:val="Hyperlink"/>
            <w:rFonts w:ascii="Times New Roman" w:hAnsi="Times New Roman" w:cs="Times New Roman"/>
          </w:rPr>
          <w:t>[15]</w:t>
        </w:r>
      </w:hyperlink>
      <w:r w:rsidRPr="00E63E74">
        <w:rPr>
          <w:rFonts w:ascii="Times New Roman" w:hAnsi="Times New Roman" w:cs="Times New Roman"/>
        </w:rPr>
        <w:t xml:space="preserve"> </w:t>
      </w:r>
      <w:hyperlink r:id="rId55">
        <w:r w:rsidRPr="00E63E74">
          <w:rPr>
            <w:rStyle w:val="Hyperlink"/>
            <w:rFonts w:ascii="Times New Roman" w:hAnsi="Times New Roman" w:cs="Times New Roman"/>
          </w:rPr>
          <w:t>[22]</w:t>
        </w:r>
      </w:hyperlink>
      <w:r w:rsidRPr="00E63E74">
        <w:rPr>
          <w:rFonts w:ascii="Times New Roman" w:hAnsi="Times New Roman" w:cs="Times New Roman"/>
        </w:rPr>
        <w:t xml:space="preserve"> </w:t>
      </w:r>
      <w:hyperlink r:id="rId56">
        <w:r w:rsidRPr="00E63E74">
          <w:rPr>
            <w:rStyle w:val="Hyperlink"/>
            <w:rFonts w:ascii="Times New Roman" w:hAnsi="Times New Roman" w:cs="Times New Roman"/>
          </w:rPr>
          <w:t>[31]</w:t>
        </w:r>
      </w:hyperlink>
      <w:r w:rsidRPr="00E63E74">
        <w:rPr>
          <w:rFonts w:ascii="Times New Roman" w:hAnsi="Times New Roman" w:cs="Times New Roman"/>
        </w:rPr>
        <w:t xml:space="preserve"> Acceleration of the Method of Moments Calculations by Using ...</w:t>
      </w:r>
    </w:p>
    <w:p w:rsidR="0090136C" w:rsidRPr="00E63E74" w:rsidRDefault="00E63E74" w:rsidP="00E63E74">
      <w:pPr>
        <w:pStyle w:val="BodyText"/>
        <w:jc w:val="both"/>
        <w:rPr>
          <w:rFonts w:ascii="Times New Roman" w:hAnsi="Times New Roman" w:cs="Times New Roman"/>
        </w:rPr>
      </w:pPr>
      <w:hyperlink r:id="rId57">
        <w:r w:rsidRPr="00E63E74">
          <w:rPr>
            <w:rStyle w:val="Hyperlink"/>
            <w:rFonts w:ascii="Times New Roman" w:hAnsi="Times New Roman" w:cs="Times New Roman"/>
          </w:rPr>
          <w:t>https://ieeexplore.ieee.org/document/4558314/</w:t>
        </w:r>
      </w:hyperlink>
    </w:p>
    <w:p w:rsidR="0090136C" w:rsidRPr="00E63E74" w:rsidRDefault="00E63E74" w:rsidP="00E63E74">
      <w:pPr>
        <w:pStyle w:val="BodyText"/>
        <w:jc w:val="both"/>
        <w:rPr>
          <w:rFonts w:ascii="Times New Roman" w:hAnsi="Times New Roman" w:cs="Times New Roman"/>
        </w:rPr>
      </w:pPr>
      <w:hyperlink r:id="rId58">
        <w:r w:rsidRPr="00E63E74">
          <w:rPr>
            <w:rStyle w:val="Hyperlink"/>
            <w:rFonts w:ascii="Times New Roman" w:hAnsi="Times New Roman" w:cs="Times New Roman"/>
          </w:rPr>
          <w:t>[2]</w:t>
        </w:r>
      </w:hyperlink>
      <w:r w:rsidRPr="00E63E74">
        <w:rPr>
          <w:rFonts w:ascii="Times New Roman" w:hAnsi="Times New Roman" w:cs="Times New Roman"/>
        </w:rPr>
        <w:t xml:space="preserve"> </w:t>
      </w:r>
      <w:hyperlink r:id="rId59">
        <w:r w:rsidRPr="00E63E74">
          <w:rPr>
            <w:rStyle w:val="Hyperlink"/>
            <w:rFonts w:ascii="Times New Roman" w:hAnsi="Times New Roman" w:cs="Times New Roman"/>
          </w:rPr>
          <w:t>[7]</w:t>
        </w:r>
      </w:hyperlink>
      <w:r w:rsidRPr="00E63E74">
        <w:rPr>
          <w:rFonts w:ascii="Times New Roman" w:hAnsi="Times New Roman" w:cs="Times New Roman"/>
        </w:rPr>
        <w:t xml:space="preserve"> </w:t>
      </w:r>
      <w:hyperlink r:id="rId60">
        <w:r w:rsidRPr="00E63E74">
          <w:rPr>
            <w:rStyle w:val="Hyperlink"/>
            <w:rFonts w:ascii="Times New Roman" w:hAnsi="Times New Roman" w:cs="Times New Roman"/>
          </w:rPr>
          <w:t>[20]</w:t>
        </w:r>
      </w:hyperlink>
      <w:r w:rsidRPr="00E63E74">
        <w:rPr>
          <w:rFonts w:ascii="Times New Roman" w:hAnsi="Times New Roman" w:cs="Times New Roman"/>
        </w:rPr>
        <w:t xml:space="preserve"> </w:t>
      </w:r>
      <w:hyperlink r:id="rId61">
        <w:r w:rsidRPr="00E63E74">
          <w:rPr>
            <w:rStyle w:val="Hyperlink"/>
            <w:rFonts w:ascii="Times New Roman" w:hAnsi="Times New Roman" w:cs="Times New Roman"/>
          </w:rPr>
          <w:t>[25]</w:t>
        </w:r>
      </w:hyperlink>
      <w:r w:rsidRPr="00E63E74">
        <w:rPr>
          <w:rFonts w:ascii="Times New Roman" w:hAnsi="Times New Roman" w:cs="Times New Roman"/>
        </w:rPr>
        <w:t xml:space="preserve"> </w:t>
      </w:r>
      <w:hyperlink r:id="rId62">
        <w:r w:rsidRPr="00E63E74">
          <w:rPr>
            <w:rStyle w:val="Hyperlink"/>
            <w:rFonts w:ascii="Times New Roman" w:hAnsi="Times New Roman" w:cs="Times New Roman"/>
          </w:rPr>
          <w:t>[27]</w:t>
        </w:r>
      </w:hyperlink>
      <w:r w:rsidRPr="00E63E74">
        <w:rPr>
          <w:rFonts w:ascii="Times New Roman" w:hAnsi="Times New Roman" w:cs="Times New Roman"/>
        </w:rPr>
        <w:t xml:space="preserve"> Scattering from a periodic array of free-standing arbitrarily ...</w:t>
      </w:r>
    </w:p>
    <w:p w:rsidR="0090136C" w:rsidRPr="00E63E74" w:rsidRDefault="00E63E74" w:rsidP="00E63E74">
      <w:pPr>
        <w:pStyle w:val="BodyText"/>
        <w:jc w:val="both"/>
        <w:rPr>
          <w:rFonts w:ascii="Times New Roman" w:hAnsi="Times New Roman" w:cs="Times New Roman"/>
        </w:rPr>
      </w:pPr>
      <w:hyperlink r:id="rId63">
        <w:r w:rsidRPr="00E63E74">
          <w:rPr>
            <w:rStyle w:val="Hyperlink"/>
            <w:rFonts w:ascii="Times New Roman" w:hAnsi="Times New Roman" w:cs="Times New Roman"/>
          </w:rPr>
          <w:t>https://ieeexplore.ieee.org/document/1143999/</w:t>
        </w:r>
      </w:hyperlink>
    </w:p>
    <w:p w:rsidR="0090136C" w:rsidRPr="00E63E74" w:rsidRDefault="00E63E74" w:rsidP="00E63E74">
      <w:pPr>
        <w:pStyle w:val="BodyText"/>
        <w:jc w:val="both"/>
        <w:rPr>
          <w:rFonts w:ascii="Times New Roman" w:hAnsi="Times New Roman" w:cs="Times New Roman"/>
        </w:rPr>
      </w:pPr>
      <w:hyperlink r:id="rId64">
        <w:r w:rsidRPr="00E63E74">
          <w:rPr>
            <w:rStyle w:val="Hyperlink"/>
            <w:rFonts w:ascii="Times New Roman" w:hAnsi="Times New Roman" w:cs="Times New Roman"/>
          </w:rPr>
          <w:t>[3]</w:t>
        </w:r>
      </w:hyperlink>
      <w:r w:rsidRPr="00E63E74">
        <w:rPr>
          <w:rFonts w:ascii="Times New Roman" w:hAnsi="Times New Roman" w:cs="Times New Roman"/>
        </w:rPr>
        <w:t xml:space="preserve"> </w:t>
      </w:r>
      <w:hyperlink r:id="rId65">
        <w:r w:rsidRPr="00E63E74">
          <w:rPr>
            <w:rStyle w:val="Hyperlink"/>
            <w:rFonts w:ascii="Times New Roman" w:hAnsi="Times New Roman" w:cs="Times New Roman"/>
          </w:rPr>
          <w:t>[36]</w:t>
        </w:r>
      </w:hyperlink>
      <w:r w:rsidRPr="00E63E74">
        <w:rPr>
          <w:rFonts w:ascii="Times New Roman" w:hAnsi="Times New Roman" w:cs="Times New Roman"/>
        </w:rPr>
        <w:t xml:space="preserve"> Bempp-cl: A fast Python based just-in-time compili</w:t>
      </w:r>
      <w:r w:rsidRPr="00E63E74">
        <w:rPr>
          <w:rFonts w:ascii="Times New Roman" w:hAnsi="Times New Roman" w:cs="Times New Roman"/>
        </w:rPr>
        <w:t>ng boundary ...</w:t>
      </w:r>
    </w:p>
    <w:p w:rsidR="0090136C" w:rsidRPr="00E63E74" w:rsidRDefault="00E63E74" w:rsidP="00E63E74">
      <w:pPr>
        <w:pStyle w:val="BodyText"/>
        <w:jc w:val="both"/>
        <w:rPr>
          <w:rFonts w:ascii="Times New Roman" w:hAnsi="Times New Roman" w:cs="Times New Roman"/>
        </w:rPr>
      </w:pPr>
      <w:hyperlink r:id="rId66">
        <w:r w:rsidRPr="00E63E74">
          <w:rPr>
            <w:rStyle w:val="Hyperlink"/>
            <w:rFonts w:ascii="Times New Roman" w:hAnsi="Times New Roman" w:cs="Times New Roman"/>
          </w:rPr>
          <w:t>https://joss.theoj.org/papers/10.21105/joss.02879</w:t>
        </w:r>
      </w:hyperlink>
    </w:p>
    <w:p w:rsidR="0090136C" w:rsidRPr="00E63E74" w:rsidRDefault="00E63E74" w:rsidP="00E63E74">
      <w:pPr>
        <w:pStyle w:val="BodyText"/>
        <w:jc w:val="both"/>
        <w:rPr>
          <w:rFonts w:ascii="Times New Roman" w:hAnsi="Times New Roman" w:cs="Times New Roman"/>
        </w:rPr>
      </w:pPr>
      <w:hyperlink r:id="rId67">
        <w:r w:rsidRPr="00E63E74">
          <w:rPr>
            <w:rStyle w:val="Hyperlink"/>
            <w:rFonts w:ascii="Times New Roman" w:hAnsi="Times New Roman" w:cs="Times New Roman"/>
          </w:rPr>
          <w:t>[4]</w:t>
        </w:r>
      </w:hyperlink>
      <w:r w:rsidRPr="00E63E74">
        <w:rPr>
          <w:rFonts w:ascii="Times New Roman" w:hAnsi="Times New Roman" w:cs="Times New Roman"/>
        </w:rPr>
        <w:t xml:space="preserve"> </w:t>
      </w:r>
      <w:hyperlink r:id="rId68">
        <w:r w:rsidRPr="00E63E74">
          <w:rPr>
            <w:rStyle w:val="Hyperlink"/>
            <w:rFonts w:ascii="Times New Roman" w:hAnsi="Times New Roman" w:cs="Times New Roman"/>
          </w:rPr>
          <w:t>[11]</w:t>
        </w:r>
      </w:hyperlink>
      <w:r w:rsidRPr="00E63E74">
        <w:rPr>
          <w:rFonts w:ascii="Times New Roman" w:hAnsi="Times New Roman" w:cs="Times New Roman"/>
        </w:rPr>
        <w:t xml:space="preserve"> </w:t>
      </w:r>
      <w:hyperlink r:id="rId69">
        <w:r w:rsidRPr="00E63E74">
          <w:rPr>
            <w:rStyle w:val="Hyperlink"/>
            <w:rFonts w:ascii="Times New Roman" w:hAnsi="Times New Roman" w:cs="Times New Roman"/>
          </w:rPr>
          <w:t>[26]</w:t>
        </w:r>
      </w:hyperlink>
      <w:r w:rsidRPr="00E63E74">
        <w:rPr>
          <w:rFonts w:ascii="Times New Roman" w:hAnsi="Times New Roman" w:cs="Times New Roman"/>
        </w:rPr>
        <w:t xml:space="preserve"> </w:t>
      </w:r>
      <w:hyperlink r:id="rId70">
        <w:r w:rsidRPr="00E63E74">
          <w:rPr>
            <w:rStyle w:val="Hyperlink"/>
            <w:rFonts w:ascii="Times New Roman" w:hAnsi="Times New Roman" w:cs="Times New Roman"/>
          </w:rPr>
          <w:t>[30]</w:t>
        </w:r>
      </w:hyperlink>
      <w:r w:rsidRPr="00E63E74">
        <w:rPr>
          <w:rFonts w:ascii="Times New Roman" w:hAnsi="Times New Roman" w:cs="Times New Roman"/>
        </w:rPr>
        <w:t xml:space="preserve"> Efficient Method of Moments Analysis of Periodic ...</w:t>
      </w:r>
    </w:p>
    <w:p w:rsidR="0090136C" w:rsidRPr="00E63E74" w:rsidRDefault="00E63E74" w:rsidP="00E63E74">
      <w:pPr>
        <w:pStyle w:val="BodyText"/>
        <w:jc w:val="both"/>
        <w:rPr>
          <w:rFonts w:ascii="Times New Roman" w:hAnsi="Times New Roman" w:cs="Times New Roman"/>
        </w:rPr>
      </w:pPr>
      <w:hyperlink r:id="rId71">
        <w:r w:rsidRPr="00E63E74">
          <w:rPr>
            <w:rStyle w:val="Hyperlink"/>
            <w:rFonts w:ascii="Times New Roman" w:hAnsi="Times New Roman" w:cs="Times New Roman"/>
          </w:rPr>
          <w:t>https://ieeexplore.ieee.org/abstract/document/11097789/</w:t>
        </w:r>
      </w:hyperlink>
    </w:p>
    <w:p w:rsidR="0090136C" w:rsidRPr="00E63E74" w:rsidRDefault="00E63E74" w:rsidP="00E63E74">
      <w:pPr>
        <w:pStyle w:val="BodyText"/>
        <w:jc w:val="both"/>
        <w:rPr>
          <w:rFonts w:ascii="Times New Roman" w:hAnsi="Times New Roman" w:cs="Times New Roman"/>
        </w:rPr>
      </w:pPr>
      <w:hyperlink r:id="rId72">
        <w:r w:rsidRPr="00E63E74">
          <w:rPr>
            <w:rStyle w:val="Hyperlink"/>
            <w:rFonts w:ascii="Times New Roman" w:hAnsi="Times New Roman" w:cs="Times New Roman"/>
          </w:rPr>
          <w:t>[5]</w:t>
        </w:r>
      </w:hyperlink>
      <w:r w:rsidRPr="00E63E74">
        <w:rPr>
          <w:rFonts w:ascii="Times New Roman" w:hAnsi="Times New Roman" w:cs="Times New Roman"/>
        </w:rPr>
        <w:t xml:space="preserve"> The SIMULIA Unified Licensing Model - Dassault Systèmes</w:t>
      </w:r>
    </w:p>
    <w:p w:rsidR="0090136C" w:rsidRPr="00E63E74" w:rsidRDefault="00E63E74" w:rsidP="00E63E74">
      <w:pPr>
        <w:pStyle w:val="BodyText"/>
        <w:jc w:val="both"/>
        <w:rPr>
          <w:rFonts w:ascii="Times New Roman" w:hAnsi="Times New Roman" w:cs="Times New Roman"/>
        </w:rPr>
      </w:pPr>
      <w:hyperlink r:id="rId73">
        <w:r w:rsidRPr="00E63E74">
          <w:rPr>
            <w:rStyle w:val="Hyperlink"/>
            <w:rFonts w:ascii="Times New Roman" w:hAnsi="Times New Roman" w:cs="Times New Roman"/>
          </w:rPr>
          <w:t>https://discover.3ds.com/simulia-unified-licensing</w:t>
        </w:r>
      </w:hyperlink>
    </w:p>
    <w:p w:rsidR="0090136C" w:rsidRPr="00E63E74" w:rsidRDefault="00E63E74" w:rsidP="00E63E74">
      <w:pPr>
        <w:pStyle w:val="BodyText"/>
        <w:jc w:val="both"/>
        <w:rPr>
          <w:rFonts w:ascii="Times New Roman" w:hAnsi="Times New Roman" w:cs="Times New Roman"/>
        </w:rPr>
      </w:pPr>
      <w:hyperlink r:id="rId74">
        <w:r w:rsidRPr="00E63E74">
          <w:rPr>
            <w:rStyle w:val="Hyperlink"/>
            <w:rFonts w:ascii="Times New Roman" w:hAnsi="Times New Roman" w:cs="Times New Roman"/>
          </w:rPr>
          <w:t>[6]</w:t>
        </w:r>
      </w:hyperlink>
      <w:r w:rsidRPr="00E63E74">
        <w:rPr>
          <w:rFonts w:ascii="Times New Roman" w:hAnsi="Times New Roman" w:cs="Times New Roman"/>
        </w:rPr>
        <w:t xml:space="preserve"> </w:t>
      </w:r>
      <w:hyperlink r:id="rId75">
        <w:r w:rsidRPr="00E63E74">
          <w:rPr>
            <w:rStyle w:val="Hyperlink"/>
            <w:rFonts w:ascii="Times New Roman" w:hAnsi="Times New Roman" w:cs="Times New Roman"/>
          </w:rPr>
          <w:t>[</w:t>
        </w:r>
        <w:r w:rsidRPr="00E63E74">
          <w:rPr>
            <w:rStyle w:val="Hyperlink"/>
            <w:rFonts w:ascii="Times New Roman" w:hAnsi="Times New Roman" w:cs="Times New Roman"/>
          </w:rPr>
          <w:t>29]</w:t>
        </w:r>
      </w:hyperlink>
      <w:r w:rsidRPr="00E63E74">
        <w:rPr>
          <w:rFonts w:ascii="Times New Roman" w:hAnsi="Times New Roman" w:cs="Times New Roman"/>
        </w:rPr>
        <w:t xml:space="preserve"> Method of Moments Simulation of Infinitely Periodic Structures</w:t>
      </w:r>
      <w:bookmarkStart w:id="20" w:name="_GoBack"/>
      <w:bookmarkEnd w:id="20"/>
      <w:r w:rsidRPr="00E63E74">
        <w:rPr>
          <w:rFonts w:ascii="Times New Roman" w:hAnsi="Times New Roman" w:cs="Times New Roman"/>
        </w:rPr>
        <w:t xml:space="preserve"> ...</w:t>
      </w:r>
    </w:p>
    <w:p w:rsidR="0090136C" w:rsidRPr="00E63E74" w:rsidRDefault="00E63E74" w:rsidP="00E63E74">
      <w:pPr>
        <w:pStyle w:val="BodyText"/>
        <w:jc w:val="both"/>
        <w:rPr>
          <w:rFonts w:ascii="Times New Roman" w:hAnsi="Times New Roman" w:cs="Times New Roman"/>
        </w:rPr>
      </w:pPr>
      <w:hyperlink r:id="rId76">
        <w:r w:rsidRPr="00E63E74">
          <w:rPr>
            <w:rStyle w:val="Hyperlink"/>
            <w:rFonts w:ascii="Times New Roman" w:hAnsi="Times New Roman" w:cs="Times New Roman"/>
          </w:rPr>
          <w:t>https://ieeexplore.ieee.org/document/4589094/</w:t>
        </w:r>
      </w:hyperlink>
    </w:p>
    <w:p w:rsidR="0090136C" w:rsidRPr="00E63E74" w:rsidRDefault="00E63E74" w:rsidP="00E63E74">
      <w:pPr>
        <w:pStyle w:val="BodyText"/>
        <w:jc w:val="both"/>
        <w:rPr>
          <w:rFonts w:ascii="Times New Roman" w:hAnsi="Times New Roman" w:cs="Times New Roman"/>
        </w:rPr>
      </w:pPr>
      <w:hyperlink r:id="rId77">
        <w:r w:rsidRPr="00E63E74">
          <w:rPr>
            <w:rStyle w:val="Hyperlink"/>
            <w:rFonts w:ascii="Times New Roman" w:hAnsi="Times New Roman" w:cs="Times New Roman"/>
          </w:rPr>
          <w:t>[8]</w:t>
        </w:r>
      </w:hyperlink>
      <w:r w:rsidRPr="00E63E74">
        <w:rPr>
          <w:rFonts w:ascii="Times New Roman" w:hAnsi="Times New Roman" w:cs="Times New Roman"/>
        </w:rPr>
        <w:t xml:space="preserve"> </w:t>
      </w:r>
      <w:hyperlink r:id="rId78">
        <w:r w:rsidRPr="00E63E74">
          <w:rPr>
            <w:rStyle w:val="Hyperlink"/>
            <w:rFonts w:ascii="Times New Roman" w:hAnsi="Times New Roman" w:cs="Times New Roman"/>
          </w:rPr>
          <w:t>[14]</w:t>
        </w:r>
      </w:hyperlink>
      <w:r w:rsidRPr="00E63E74">
        <w:rPr>
          <w:rFonts w:ascii="Times New Roman" w:hAnsi="Times New Roman" w:cs="Times New Roman"/>
        </w:rPr>
        <w:t xml:space="preserve"> Electromagnetic scattering by surfaces of arbitrary shape - IEEE Xplore</w:t>
      </w:r>
    </w:p>
    <w:p w:rsidR="0090136C" w:rsidRPr="00E63E74" w:rsidRDefault="00E63E74" w:rsidP="00E63E74">
      <w:pPr>
        <w:pStyle w:val="BodyText"/>
        <w:jc w:val="both"/>
        <w:rPr>
          <w:rFonts w:ascii="Times New Roman" w:hAnsi="Times New Roman" w:cs="Times New Roman"/>
        </w:rPr>
      </w:pPr>
      <w:hyperlink r:id="rId79">
        <w:r w:rsidRPr="00E63E74">
          <w:rPr>
            <w:rStyle w:val="Hyperlink"/>
            <w:rFonts w:ascii="Times New Roman" w:hAnsi="Times New Roman" w:cs="Times New Roman"/>
          </w:rPr>
          <w:t>https://ieeexplore.ieee.org/document/1142818/</w:t>
        </w:r>
      </w:hyperlink>
    </w:p>
    <w:p w:rsidR="0090136C" w:rsidRPr="00E63E74" w:rsidRDefault="00E63E74" w:rsidP="00E63E74">
      <w:pPr>
        <w:pStyle w:val="BodyText"/>
        <w:jc w:val="both"/>
        <w:rPr>
          <w:rFonts w:ascii="Times New Roman" w:hAnsi="Times New Roman" w:cs="Times New Roman"/>
        </w:rPr>
      </w:pPr>
      <w:hyperlink r:id="rId80">
        <w:r w:rsidRPr="00E63E74">
          <w:rPr>
            <w:rStyle w:val="Hyperlink"/>
            <w:rFonts w:ascii="Times New Roman" w:hAnsi="Times New Roman" w:cs="Times New Roman"/>
          </w:rPr>
          <w:t>[9]</w:t>
        </w:r>
      </w:hyperlink>
      <w:r w:rsidRPr="00E63E74">
        <w:rPr>
          <w:rFonts w:ascii="Times New Roman" w:hAnsi="Times New Roman" w:cs="Times New Roman"/>
        </w:rPr>
        <w:t xml:space="preserve"> </w:t>
      </w:r>
      <w:hyperlink r:id="rId81">
        <w:r w:rsidRPr="00E63E74">
          <w:rPr>
            <w:rStyle w:val="Hyperlink"/>
            <w:rFonts w:ascii="Times New Roman" w:hAnsi="Times New Roman" w:cs="Times New Roman"/>
          </w:rPr>
          <w:t>[38]</w:t>
        </w:r>
      </w:hyperlink>
      <w:r w:rsidRPr="00E63E74">
        <w:rPr>
          <w:rFonts w:ascii="Times New Roman" w:hAnsi="Times New Roman" w:cs="Times New Roman"/>
        </w:rPr>
        <w:t xml:space="preserve"> Training Deep Neur</w:t>
      </w:r>
      <w:r w:rsidRPr="00E63E74">
        <w:rPr>
          <w:rFonts w:ascii="Times New Roman" w:hAnsi="Times New Roman" w:cs="Times New Roman"/>
        </w:rPr>
        <w:t>al Networks for the Inverse Design of ...</w:t>
      </w:r>
    </w:p>
    <w:p w:rsidR="0090136C" w:rsidRPr="00E63E74" w:rsidRDefault="00E63E74" w:rsidP="00E63E74">
      <w:pPr>
        <w:pStyle w:val="BodyText"/>
        <w:jc w:val="both"/>
        <w:rPr>
          <w:rFonts w:ascii="Times New Roman" w:hAnsi="Times New Roman" w:cs="Times New Roman"/>
        </w:rPr>
      </w:pPr>
      <w:hyperlink r:id="rId82">
        <w:r w:rsidRPr="00E63E74">
          <w:rPr>
            <w:rStyle w:val="Hyperlink"/>
            <w:rFonts w:ascii="Times New Roman" w:hAnsi="Times New Roman" w:cs="Times New Roman"/>
          </w:rPr>
          <w:t>https://pubs.acs.org/apchd5/article/5/4/1365/684462/Training-Deep-Neural-Networks-for-the-Inverse</w:t>
        </w:r>
      </w:hyperlink>
    </w:p>
    <w:p w:rsidR="0090136C" w:rsidRPr="00E63E74" w:rsidRDefault="00E63E74" w:rsidP="00E63E74">
      <w:pPr>
        <w:pStyle w:val="BodyText"/>
        <w:jc w:val="both"/>
        <w:rPr>
          <w:rFonts w:ascii="Times New Roman" w:hAnsi="Times New Roman" w:cs="Times New Roman"/>
        </w:rPr>
      </w:pPr>
      <w:hyperlink r:id="rId83">
        <w:r w:rsidRPr="00E63E74">
          <w:rPr>
            <w:rStyle w:val="Hyperlink"/>
            <w:rFonts w:ascii="Times New Roman" w:hAnsi="Times New Roman" w:cs="Times New Roman"/>
          </w:rPr>
          <w:t>[10]</w:t>
        </w:r>
      </w:hyperlink>
      <w:r w:rsidRPr="00E63E74">
        <w:rPr>
          <w:rFonts w:ascii="Times New Roman" w:hAnsi="Times New Roman" w:cs="Times New Roman"/>
        </w:rPr>
        <w:t xml:space="preserve"> Deep neural network-based automatic metasurface design with ...</w:t>
      </w:r>
    </w:p>
    <w:p w:rsidR="0090136C" w:rsidRPr="00E63E74" w:rsidRDefault="00E63E74" w:rsidP="00E63E74">
      <w:pPr>
        <w:pStyle w:val="BodyText"/>
        <w:jc w:val="both"/>
        <w:rPr>
          <w:rFonts w:ascii="Times New Roman" w:hAnsi="Times New Roman" w:cs="Times New Roman"/>
        </w:rPr>
      </w:pPr>
      <w:hyperlink r:id="rId84">
        <w:r w:rsidRPr="00E63E74">
          <w:rPr>
            <w:rStyle w:val="Hyperlink"/>
            <w:rFonts w:ascii="Times New Roman" w:hAnsi="Times New Roman" w:cs="Times New Roman"/>
          </w:rPr>
          <w:t>https://www.nature.com/articles/s41598-021-865</w:t>
        </w:r>
        <w:r w:rsidRPr="00E63E74">
          <w:rPr>
            <w:rStyle w:val="Hyperlink"/>
            <w:rFonts w:ascii="Times New Roman" w:hAnsi="Times New Roman" w:cs="Times New Roman"/>
          </w:rPr>
          <w:t>88-2</w:t>
        </w:r>
      </w:hyperlink>
    </w:p>
    <w:p w:rsidR="0090136C" w:rsidRPr="00E63E74" w:rsidRDefault="00E63E74" w:rsidP="00E63E74">
      <w:pPr>
        <w:pStyle w:val="BodyText"/>
        <w:jc w:val="both"/>
        <w:rPr>
          <w:rFonts w:ascii="Times New Roman" w:hAnsi="Times New Roman" w:cs="Times New Roman"/>
        </w:rPr>
      </w:pPr>
      <w:hyperlink r:id="rId85">
        <w:r w:rsidRPr="00E63E74">
          <w:rPr>
            <w:rStyle w:val="Hyperlink"/>
            <w:rFonts w:ascii="Times New Roman" w:hAnsi="Times New Roman" w:cs="Times New Roman"/>
          </w:rPr>
          <w:t>[12]</w:t>
        </w:r>
      </w:hyperlink>
      <w:r w:rsidRPr="00E63E74">
        <w:rPr>
          <w:rFonts w:ascii="Times New Roman" w:hAnsi="Times New Roman" w:cs="Times New Roman"/>
        </w:rPr>
        <w:t xml:space="preserve"> Multilayered media Green's functions in integral equation ...</w:t>
      </w:r>
    </w:p>
    <w:p w:rsidR="0090136C" w:rsidRPr="00E63E74" w:rsidRDefault="00E63E74" w:rsidP="00E63E74">
      <w:pPr>
        <w:pStyle w:val="BodyText"/>
        <w:jc w:val="both"/>
        <w:rPr>
          <w:rFonts w:ascii="Times New Roman" w:hAnsi="Times New Roman" w:cs="Times New Roman"/>
        </w:rPr>
      </w:pPr>
      <w:hyperlink r:id="rId86">
        <w:r w:rsidRPr="00E63E74">
          <w:rPr>
            <w:rStyle w:val="Hyperlink"/>
            <w:rFonts w:ascii="Times New Roman" w:hAnsi="Times New Roman" w:cs="Times New Roman"/>
          </w:rPr>
          <w:t>https://ieeexplore.ieee.org/document/558666/</w:t>
        </w:r>
      </w:hyperlink>
    </w:p>
    <w:p w:rsidR="0090136C" w:rsidRPr="00E63E74" w:rsidRDefault="00E63E74" w:rsidP="00E63E74">
      <w:pPr>
        <w:pStyle w:val="BodyText"/>
        <w:jc w:val="both"/>
        <w:rPr>
          <w:rFonts w:ascii="Times New Roman" w:hAnsi="Times New Roman" w:cs="Times New Roman"/>
        </w:rPr>
      </w:pPr>
      <w:hyperlink r:id="rId87">
        <w:r w:rsidRPr="00E63E74">
          <w:rPr>
            <w:rStyle w:val="Hyperlink"/>
            <w:rFonts w:ascii="Times New Roman" w:hAnsi="Times New Roman" w:cs="Times New Roman"/>
          </w:rPr>
          <w:t>[13]</w:t>
        </w:r>
      </w:hyperlink>
      <w:r w:rsidRPr="00E63E74">
        <w:rPr>
          <w:rFonts w:ascii="Times New Roman" w:hAnsi="Times New Roman" w:cs="Times New Roman"/>
        </w:rPr>
        <w:t xml:space="preserve"> </w:t>
      </w:r>
      <w:hyperlink r:id="rId88">
        <w:r w:rsidRPr="00E63E74">
          <w:rPr>
            <w:rStyle w:val="Hyperlink"/>
            <w:rFonts w:ascii="Times New Roman" w:hAnsi="Times New Roman" w:cs="Times New Roman"/>
          </w:rPr>
          <w:t>[21]</w:t>
        </w:r>
      </w:hyperlink>
      <w:r w:rsidRPr="00E63E74">
        <w:rPr>
          <w:rFonts w:ascii="Times New Roman" w:hAnsi="Times New Roman" w:cs="Times New Roman"/>
        </w:rPr>
        <w:t xml:space="preserve"> </w:t>
      </w:r>
      <w:hyperlink r:id="rId89">
        <w:r w:rsidRPr="00E63E74">
          <w:rPr>
            <w:rStyle w:val="Hyperlink"/>
            <w:rFonts w:ascii="Times New Roman" w:hAnsi="Times New Roman" w:cs="Times New Roman"/>
          </w:rPr>
          <w:t>[28]</w:t>
        </w:r>
      </w:hyperlink>
      <w:r w:rsidRPr="00E63E74">
        <w:rPr>
          <w:rFonts w:ascii="Times New Roman" w:hAnsi="Times New Roman" w:cs="Times New Roman"/>
        </w:rPr>
        <w:t xml:space="preserve"> Accelerating the convergence of series representing ...</w:t>
      </w:r>
    </w:p>
    <w:p w:rsidR="0090136C" w:rsidRPr="00E63E74" w:rsidRDefault="00E63E74" w:rsidP="00E63E74">
      <w:pPr>
        <w:pStyle w:val="BodyText"/>
        <w:jc w:val="both"/>
        <w:rPr>
          <w:rFonts w:ascii="Times New Roman" w:hAnsi="Times New Roman" w:cs="Times New Roman"/>
        </w:rPr>
      </w:pPr>
      <w:hyperlink r:id="rId90">
        <w:r w:rsidRPr="00E63E74">
          <w:rPr>
            <w:rStyle w:val="Hyperlink"/>
            <w:rFonts w:ascii="Times New Roman" w:hAnsi="Times New Roman" w:cs="Times New Roman"/>
          </w:rPr>
          <w:t>https://ieeexplore.ieee.org/document/60985/</w:t>
        </w:r>
      </w:hyperlink>
    </w:p>
    <w:p w:rsidR="0090136C" w:rsidRPr="00E63E74" w:rsidRDefault="00E63E74" w:rsidP="00E63E74">
      <w:pPr>
        <w:pStyle w:val="BodyText"/>
        <w:jc w:val="both"/>
        <w:rPr>
          <w:rFonts w:ascii="Times New Roman" w:hAnsi="Times New Roman" w:cs="Times New Roman"/>
        </w:rPr>
      </w:pPr>
      <w:hyperlink r:id="rId91">
        <w:r w:rsidRPr="00E63E74">
          <w:rPr>
            <w:rStyle w:val="Hyperlink"/>
            <w:rFonts w:ascii="Times New Roman" w:hAnsi="Times New Roman" w:cs="Times New Roman"/>
          </w:rPr>
          <w:t>[16]</w:t>
        </w:r>
      </w:hyperlink>
      <w:r w:rsidRPr="00E63E74">
        <w:rPr>
          <w:rFonts w:ascii="Times New Roman" w:hAnsi="Times New Roman" w:cs="Times New Roman"/>
        </w:rPr>
        <w:t xml:space="preserve"> </w:t>
      </w:r>
      <w:hyperlink r:id="rId92">
        <w:r w:rsidRPr="00E63E74">
          <w:rPr>
            <w:rStyle w:val="Hyperlink"/>
            <w:rFonts w:ascii="Times New Roman" w:hAnsi="Times New Roman" w:cs="Times New Roman"/>
          </w:rPr>
          <w:t>[19]</w:t>
        </w:r>
      </w:hyperlink>
      <w:r w:rsidRPr="00E63E74">
        <w:rPr>
          <w:rFonts w:ascii="Times New Roman" w:hAnsi="Times New Roman" w:cs="Times New Roman"/>
        </w:rPr>
        <w:t xml:space="preserve"> </w:t>
      </w:r>
      <w:hyperlink r:id="rId93">
        <w:r w:rsidRPr="00E63E74">
          <w:rPr>
            <w:rStyle w:val="Hyperlink"/>
            <w:rFonts w:ascii="Times New Roman" w:hAnsi="Times New Roman" w:cs="Times New Roman"/>
          </w:rPr>
          <w:t>[33]</w:t>
        </w:r>
      </w:hyperlink>
      <w:r w:rsidRPr="00E63E74">
        <w:rPr>
          <w:rFonts w:ascii="Times New Roman" w:hAnsi="Times New Roman" w:cs="Times New Roman"/>
        </w:rPr>
        <w:t xml:space="preserve"> Efficient out‐of‐GPU memory strategies for solving matrix equation ...</w:t>
      </w:r>
    </w:p>
    <w:p w:rsidR="0090136C" w:rsidRPr="00E63E74" w:rsidRDefault="00E63E74" w:rsidP="00E63E74">
      <w:pPr>
        <w:pStyle w:val="BodyText"/>
        <w:jc w:val="both"/>
        <w:rPr>
          <w:rFonts w:ascii="Times New Roman" w:hAnsi="Times New Roman" w:cs="Times New Roman"/>
        </w:rPr>
      </w:pPr>
      <w:hyperlink r:id="rId94">
        <w:r w:rsidRPr="00E63E74">
          <w:rPr>
            <w:rStyle w:val="Hyperlink"/>
            <w:rFonts w:ascii="Times New Roman" w:hAnsi="Times New Roman" w:cs="Times New Roman"/>
          </w:rPr>
          <w:t>https://ietresearch.onlinelibrary.wiley.com/doi/abs/10.1049/el.2015.2175</w:t>
        </w:r>
      </w:hyperlink>
    </w:p>
    <w:p w:rsidR="0090136C" w:rsidRPr="00E63E74" w:rsidRDefault="00E63E74" w:rsidP="00E63E74">
      <w:pPr>
        <w:pStyle w:val="BodyText"/>
        <w:jc w:val="both"/>
        <w:rPr>
          <w:rFonts w:ascii="Times New Roman" w:hAnsi="Times New Roman" w:cs="Times New Roman"/>
        </w:rPr>
      </w:pPr>
      <w:hyperlink r:id="rId95">
        <w:r w:rsidRPr="00E63E74">
          <w:rPr>
            <w:rStyle w:val="Hyperlink"/>
            <w:rFonts w:ascii="Times New Roman" w:hAnsi="Times New Roman" w:cs="Times New Roman"/>
          </w:rPr>
          <w:t>[17]</w:t>
        </w:r>
      </w:hyperlink>
      <w:r w:rsidRPr="00E63E74">
        <w:rPr>
          <w:rFonts w:ascii="Times New Roman" w:hAnsi="Times New Roman" w:cs="Times New Roman"/>
        </w:rPr>
        <w:t xml:space="preserve"> Overview — CuPy 14.2.0 </w:t>
      </w:r>
      <w:r w:rsidRPr="00E63E74">
        <w:rPr>
          <w:rFonts w:ascii="Times New Roman" w:hAnsi="Times New Roman" w:cs="Times New Roman"/>
        </w:rPr>
        <w:t>documentation</w:t>
      </w:r>
    </w:p>
    <w:p w:rsidR="0090136C" w:rsidRPr="00E63E74" w:rsidRDefault="00E63E74" w:rsidP="00E63E74">
      <w:pPr>
        <w:pStyle w:val="BodyText"/>
        <w:jc w:val="both"/>
        <w:rPr>
          <w:rFonts w:ascii="Times New Roman" w:hAnsi="Times New Roman" w:cs="Times New Roman"/>
        </w:rPr>
      </w:pPr>
      <w:hyperlink r:id="rId96">
        <w:r w:rsidRPr="00E63E74">
          <w:rPr>
            <w:rStyle w:val="Hyperlink"/>
            <w:rFonts w:ascii="Times New Roman" w:hAnsi="Times New Roman" w:cs="Times New Roman"/>
          </w:rPr>
          <w:t>https://docs.cupy.dev/en/stable/overview.html</w:t>
        </w:r>
      </w:hyperlink>
    </w:p>
    <w:p w:rsidR="0090136C" w:rsidRPr="00E63E74" w:rsidRDefault="00E63E74" w:rsidP="00E63E74">
      <w:pPr>
        <w:pStyle w:val="BodyText"/>
        <w:jc w:val="both"/>
        <w:rPr>
          <w:rFonts w:ascii="Times New Roman" w:hAnsi="Times New Roman" w:cs="Times New Roman"/>
        </w:rPr>
      </w:pPr>
      <w:hyperlink r:id="rId97">
        <w:r w:rsidRPr="00E63E74">
          <w:rPr>
            <w:rStyle w:val="Hyperlink"/>
            <w:rFonts w:ascii="Times New Roman" w:hAnsi="Times New Roman" w:cs="Times New Roman"/>
          </w:rPr>
          <w:t>[18]</w:t>
        </w:r>
      </w:hyperlink>
      <w:r w:rsidRPr="00E63E74">
        <w:rPr>
          <w:rFonts w:ascii="Times New Roman" w:hAnsi="Times New Roman" w:cs="Times New Roman"/>
        </w:rPr>
        <w:t xml:space="preserve"> cuSOLVERMp</w:t>
      </w:r>
    </w:p>
    <w:p w:rsidR="0090136C" w:rsidRPr="00E63E74" w:rsidRDefault="00E63E74" w:rsidP="00E63E74">
      <w:pPr>
        <w:pStyle w:val="BodyText"/>
        <w:jc w:val="both"/>
        <w:rPr>
          <w:rFonts w:ascii="Times New Roman" w:hAnsi="Times New Roman" w:cs="Times New Roman"/>
        </w:rPr>
      </w:pPr>
      <w:hyperlink r:id="rId98">
        <w:r w:rsidRPr="00E63E74">
          <w:rPr>
            <w:rStyle w:val="Hyperlink"/>
            <w:rFonts w:ascii="Times New Roman" w:hAnsi="Times New Roman" w:cs="Times New Roman"/>
          </w:rPr>
          <w:t>https://docs.nvidia.com/cuda/cusolvermp/</w:t>
        </w:r>
      </w:hyperlink>
    </w:p>
    <w:p w:rsidR="0090136C" w:rsidRPr="00E63E74" w:rsidRDefault="00E63E74" w:rsidP="00E63E74">
      <w:pPr>
        <w:pStyle w:val="BodyText"/>
        <w:jc w:val="both"/>
        <w:rPr>
          <w:rFonts w:ascii="Times New Roman" w:hAnsi="Times New Roman" w:cs="Times New Roman"/>
        </w:rPr>
      </w:pPr>
      <w:hyperlink r:id="rId99">
        <w:r w:rsidRPr="00E63E74">
          <w:rPr>
            <w:rStyle w:val="Hyperlink"/>
            <w:rFonts w:ascii="Times New Roman" w:hAnsi="Times New Roman" w:cs="Times New Roman"/>
          </w:rPr>
          <w:t>[23]</w:t>
        </w:r>
      </w:hyperlink>
      <w:r w:rsidRPr="00E63E74">
        <w:rPr>
          <w:rFonts w:ascii="Times New Roman" w:hAnsi="Times New Roman" w:cs="Times New Roman"/>
        </w:rPr>
        <w:t xml:space="preserve"> </w:t>
      </w:r>
      <w:hyperlink r:id="rId100">
        <w:r w:rsidRPr="00E63E74">
          <w:rPr>
            <w:rStyle w:val="Hyperlink"/>
            <w:rFonts w:ascii="Times New Roman" w:hAnsi="Times New Roman" w:cs="Times New Roman"/>
          </w:rPr>
          <w:t>[24]</w:t>
        </w:r>
      </w:hyperlink>
      <w:r w:rsidRPr="00E63E74">
        <w:rPr>
          <w:rFonts w:ascii="Times New Roman" w:hAnsi="Times New Roman" w:cs="Times New Roman"/>
        </w:rPr>
        <w:t xml:space="preserve"> </w:t>
      </w:r>
      <w:hyperlink r:id="rId101">
        <w:r w:rsidRPr="00E63E74">
          <w:rPr>
            <w:rStyle w:val="Hyperlink"/>
            <w:rFonts w:ascii="Times New Roman" w:hAnsi="Times New Roman" w:cs="Times New Roman"/>
          </w:rPr>
          <w:t>[37]</w:t>
        </w:r>
      </w:hyperlink>
      <w:r w:rsidRPr="00E63E74">
        <w:rPr>
          <w:rFonts w:ascii="Times New Roman" w:hAnsi="Times New Roman" w:cs="Times New Roman"/>
        </w:rPr>
        <w:t xml:space="preserve"> TORCWA: GPU-accelerated Fourier modal method and ...</w:t>
      </w:r>
    </w:p>
    <w:p w:rsidR="0090136C" w:rsidRPr="00E63E74" w:rsidRDefault="00E63E74" w:rsidP="00E63E74">
      <w:pPr>
        <w:pStyle w:val="BodyText"/>
        <w:jc w:val="both"/>
        <w:rPr>
          <w:rFonts w:ascii="Times New Roman" w:hAnsi="Times New Roman" w:cs="Times New Roman"/>
        </w:rPr>
      </w:pPr>
      <w:hyperlink r:id="rId102">
        <w:r w:rsidRPr="00E63E74">
          <w:rPr>
            <w:rStyle w:val="Hyperlink"/>
            <w:rFonts w:ascii="Times New Roman" w:hAnsi="Times New Roman" w:cs="Times New Roman"/>
          </w:rPr>
          <w:t>https://www.sciencedirect.com/scie</w:t>
        </w:r>
        <w:r w:rsidRPr="00E63E74">
          <w:rPr>
            <w:rStyle w:val="Hyperlink"/>
            <w:rFonts w:ascii="Times New Roman" w:hAnsi="Times New Roman" w:cs="Times New Roman"/>
          </w:rPr>
          <w:t>nce/article/abs/pii/S0010465522002715</w:t>
        </w:r>
      </w:hyperlink>
    </w:p>
    <w:p w:rsidR="0090136C" w:rsidRPr="00E63E74" w:rsidRDefault="00E63E74" w:rsidP="00E63E74">
      <w:pPr>
        <w:pStyle w:val="BodyText"/>
        <w:jc w:val="both"/>
        <w:rPr>
          <w:rFonts w:ascii="Times New Roman" w:hAnsi="Times New Roman" w:cs="Times New Roman"/>
        </w:rPr>
      </w:pPr>
      <w:hyperlink r:id="rId103">
        <w:r w:rsidRPr="00E63E74">
          <w:rPr>
            <w:rStyle w:val="Hyperlink"/>
            <w:rFonts w:ascii="Times New Roman" w:hAnsi="Times New Roman" w:cs="Times New Roman"/>
          </w:rPr>
          <w:t>[32]</w:t>
        </w:r>
      </w:hyperlink>
      <w:r w:rsidRPr="00E63E74">
        <w:rPr>
          <w:rFonts w:ascii="Times New Roman" w:hAnsi="Times New Roman" w:cs="Times New Roman"/>
        </w:rPr>
        <w:t xml:space="preserve"> GPU-Accelerated Method of Moments by Example - IEEE Xplore</w:t>
      </w:r>
    </w:p>
    <w:p w:rsidR="0090136C" w:rsidRPr="00E63E74" w:rsidRDefault="00E63E74" w:rsidP="00E63E74">
      <w:pPr>
        <w:pStyle w:val="BodyText"/>
        <w:jc w:val="both"/>
        <w:rPr>
          <w:rFonts w:ascii="Times New Roman" w:hAnsi="Times New Roman" w:cs="Times New Roman"/>
        </w:rPr>
      </w:pPr>
      <w:hyperlink r:id="rId104">
        <w:r w:rsidRPr="00E63E74">
          <w:rPr>
            <w:rStyle w:val="Hyperlink"/>
            <w:rFonts w:ascii="Times New Roman" w:hAnsi="Times New Roman" w:cs="Times New Roman"/>
          </w:rPr>
          <w:t>https://ieeexplore.ieee.</w:t>
        </w:r>
        <w:r w:rsidRPr="00E63E74">
          <w:rPr>
            <w:rStyle w:val="Hyperlink"/>
            <w:rFonts w:ascii="Times New Roman" w:hAnsi="Times New Roman" w:cs="Times New Roman"/>
          </w:rPr>
          <w:t>org/document/5723240/</w:t>
        </w:r>
      </w:hyperlink>
    </w:p>
    <w:p w:rsidR="0090136C" w:rsidRPr="00E63E74" w:rsidRDefault="00E63E74" w:rsidP="00E63E74">
      <w:pPr>
        <w:pStyle w:val="BodyText"/>
        <w:jc w:val="both"/>
        <w:rPr>
          <w:rFonts w:ascii="Times New Roman" w:hAnsi="Times New Roman" w:cs="Times New Roman"/>
        </w:rPr>
      </w:pPr>
      <w:hyperlink r:id="rId105">
        <w:r w:rsidRPr="00E63E74">
          <w:rPr>
            <w:rStyle w:val="Hyperlink"/>
            <w:rFonts w:ascii="Times New Roman" w:hAnsi="Times New Roman" w:cs="Times New Roman"/>
          </w:rPr>
          <w:t>[34]</w:t>
        </w:r>
      </w:hyperlink>
      <w:r w:rsidRPr="00E63E74">
        <w:rPr>
          <w:rFonts w:ascii="Times New Roman" w:hAnsi="Times New Roman" w:cs="Times New Roman"/>
        </w:rPr>
        <w:t xml:space="preserve"> Adapting MoM With RWG Basis Functions to GPU Technology ...</w:t>
      </w:r>
    </w:p>
    <w:p w:rsidR="0090136C" w:rsidRPr="00E63E74" w:rsidRDefault="00E63E74" w:rsidP="00E63E74">
      <w:pPr>
        <w:pStyle w:val="BodyText"/>
        <w:jc w:val="both"/>
        <w:rPr>
          <w:rFonts w:ascii="Times New Roman" w:hAnsi="Times New Roman" w:cs="Times New Roman"/>
        </w:rPr>
      </w:pPr>
      <w:hyperlink r:id="rId106">
        <w:r w:rsidRPr="00E63E74">
          <w:rPr>
            <w:rStyle w:val="Hyperlink"/>
            <w:rFonts w:ascii="Times New Roman" w:hAnsi="Times New Roman" w:cs="Times New Roman"/>
          </w:rPr>
          <w:t>https://ieeexplore.ieee.org/document/57</w:t>
        </w:r>
        <w:r w:rsidRPr="00E63E74">
          <w:rPr>
            <w:rStyle w:val="Hyperlink"/>
            <w:rFonts w:ascii="Times New Roman" w:hAnsi="Times New Roman" w:cs="Times New Roman"/>
          </w:rPr>
          <w:t>66704/</w:t>
        </w:r>
      </w:hyperlink>
    </w:p>
    <w:p w:rsidR="0090136C" w:rsidRPr="00E63E74" w:rsidRDefault="00E63E74" w:rsidP="00E63E74">
      <w:pPr>
        <w:pStyle w:val="BodyText"/>
        <w:jc w:val="both"/>
        <w:rPr>
          <w:rFonts w:ascii="Times New Roman" w:hAnsi="Times New Roman" w:cs="Times New Roman"/>
        </w:rPr>
      </w:pPr>
      <w:hyperlink r:id="rId107">
        <w:r w:rsidRPr="00E63E74">
          <w:rPr>
            <w:rStyle w:val="Hyperlink"/>
            <w:rFonts w:ascii="Times New Roman" w:hAnsi="Times New Roman" w:cs="Times New Roman"/>
          </w:rPr>
          <w:t>[35]</w:t>
        </w:r>
      </w:hyperlink>
      <w:r w:rsidRPr="00E63E74">
        <w:rPr>
          <w:rFonts w:ascii="Times New Roman" w:hAnsi="Times New Roman" w:cs="Times New Roman"/>
        </w:rPr>
        <w:t xml:space="preserve"> GPU‐accelerated time‐domain marching‐on‐in‐degree solution</w:t>
      </w:r>
    </w:p>
    <w:p w:rsidR="0090136C" w:rsidRPr="00E63E74" w:rsidRDefault="00E63E74" w:rsidP="00E63E74">
      <w:pPr>
        <w:pStyle w:val="BodyText"/>
        <w:jc w:val="both"/>
        <w:rPr>
          <w:rFonts w:ascii="Times New Roman" w:hAnsi="Times New Roman" w:cs="Times New Roman"/>
        </w:rPr>
      </w:pPr>
      <w:hyperlink r:id="rId108">
        <w:r w:rsidRPr="00E63E74">
          <w:rPr>
            <w:rStyle w:val="Hyperlink"/>
            <w:rFonts w:ascii="Times New Roman" w:hAnsi="Times New Roman" w:cs="Times New Roman"/>
          </w:rPr>
          <w:t>https://i</w:t>
        </w:r>
        <w:r w:rsidRPr="00E63E74">
          <w:rPr>
            <w:rStyle w:val="Hyperlink"/>
            <w:rFonts w:ascii="Times New Roman" w:hAnsi="Times New Roman" w:cs="Times New Roman"/>
          </w:rPr>
          <w:t>etresearch.onlinelibrary.wiley.com/doi/10.1049/el.2012.4227</w:t>
        </w:r>
      </w:hyperlink>
    </w:p>
    <w:p w:rsidR="0090136C" w:rsidRPr="00E63E74" w:rsidRDefault="00E63E74" w:rsidP="00E63E74">
      <w:pPr>
        <w:pStyle w:val="BodyText"/>
        <w:jc w:val="both"/>
        <w:rPr>
          <w:rFonts w:ascii="Times New Roman" w:hAnsi="Times New Roman" w:cs="Times New Roman"/>
        </w:rPr>
      </w:pPr>
      <w:hyperlink r:id="rId109">
        <w:r w:rsidRPr="00E63E74">
          <w:rPr>
            <w:rStyle w:val="Hyperlink"/>
            <w:rFonts w:ascii="Times New Roman" w:hAnsi="Times New Roman" w:cs="Times New Roman"/>
          </w:rPr>
          <w:t>[39]</w:t>
        </w:r>
      </w:hyperlink>
      <w:r w:rsidRPr="00E63E74">
        <w:rPr>
          <w:rFonts w:ascii="Times New Roman" w:hAnsi="Times New Roman" w:cs="Times New Roman"/>
        </w:rPr>
        <w:t xml:space="preserve"> Generative Model for the Inverse Design of Metasurfaces</w:t>
      </w:r>
    </w:p>
    <w:p w:rsidR="0090136C" w:rsidRPr="00E63E74" w:rsidRDefault="00E63E74" w:rsidP="00E63E74">
      <w:pPr>
        <w:pStyle w:val="BodyText"/>
        <w:jc w:val="both"/>
        <w:rPr>
          <w:rFonts w:ascii="Times New Roman" w:hAnsi="Times New Roman" w:cs="Times New Roman"/>
        </w:rPr>
      </w:pPr>
      <w:hyperlink r:id="rId110">
        <w:r w:rsidRPr="00E63E74">
          <w:rPr>
            <w:rStyle w:val="Hyperlink"/>
            <w:rFonts w:ascii="Times New Roman" w:hAnsi="Times New Roman" w:cs="Times New Roman"/>
          </w:rPr>
          <w:t>https://pubs.acs.org/nalefd/article/18/10/6570/1240495/Generative-Model-for-the-Inverse-Design-of</w:t>
        </w:r>
      </w:hyperlink>
    </w:p>
    <w:p w:rsidR="0090136C" w:rsidRPr="00E63E74" w:rsidRDefault="00E63E74" w:rsidP="00E63E74">
      <w:pPr>
        <w:pStyle w:val="BodyText"/>
        <w:jc w:val="both"/>
        <w:rPr>
          <w:rFonts w:ascii="Times New Roman" w:hAnsi="Times New Roman" w:cs="Times New Roman"/>
        </w:rPr>
      </w:pPr>
      <w:hyperlink r:id="rId111">
        <w:r w:rsidRPr="00E63E74">
          <w:rPr>
            <w:rStyle w:val="Hyperlink"/>
            <w:rFonts w:ascii="Times New Roman" w:hAnsi="Times New Roman" w:cs="Times New Roman"/>
          </w:rPr>
          <w:t>[40]</w:t>
        </w:r>
      </w:hyperlink>
      <w:r w:rsidRPr="00E63E74">
        <w:rPr>
          <w:rFonts w:ascii="Times New Roman" w:hAnsi="Times New Roman" w:cs="Times New Roman"/>
        </w:rPr>
        <w:t xml:space="preserve"> Nanophotonic particle simulation and inverse design using artificial ...</w:t>
      </w:r>
    </w:p>
    <w:p w:rsidR="0090136C" w:rsidRPr="00E63E74" w:rsidRDefault="00E63E74" w:rsidP="00E63E74">
      <w:pPr>
        <w:pStyle w:val="BodyText"/>
        <w:jc w:val="both"/>
        <w:rPr>
          <w:rFonts w:ascii="Times New Roman" w:hAnsi="Times New Roman" w:cs="Times New Roman"/>
        </w:rPr>
      </w:pPr>
      <w:hyperlink r:id="rId112">
        <w:r w:rsidRPr="00E63E74">
          <w:rPr>
            <w:rStyle w:val="Hyperlink"/>
            <w:rFonts w:ascii="Times New Roman" w:hAnsi="Times New Roman" w:cs="Times New Roman"/>
          </w:rPr>
          <w:t>https://www.science.org/doi/10.1126/sciadv.aar4206</w:t>
        </w:r>
      </w:hyperlink>
      <w:bookmarkEnd w:id="19"/>
    </w:p>
    <w:sectPr w:rsidR="0090136C" w:rsidRPr="00E63E7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8168E5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90136C"/>
    <w:rsid w:val="0090136C"/>
    <w:rsid w:val="00E63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D45D6"/>
  <w15:docId w15:val="{9F46E762-ACE5-4D19-91BC-B06A1844C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cupy.dev/en/stable/overview.html" TargetMode="External"/><Relationship Id="rId21" Type="http://schemas.openxmlformats.org/officeDocument/2006/relationships/hyperlink" Target="https://ieeexplore.ieee.org/document/1143999/" TargetMode="External"/><Relationship Id="rId42" Type="http://schemas.openxmlformats.org/officeDocument/2006/relationships/hyperlink" Target="https://ieeexplore.ieee.org/abstract/document/11097789/" TargetMode="External"/><Relationship Id="rId47" Type="http://schemas.openxmlformats.org/officeDocument/2006/relationships/hyperlink" Target="https://ietresearch.onlinelibrary.wiley.com/doi/10.1049/el.2012.4227" TargetMode="External"/><Relationship Id="rId63" Type="http://schemas.openxmlformats.org/officeDocument/2006/relationships/hyperlink" Target="https://ieeexplore.ieee.org/document/1143999/" TargetMode="External"/><Relationship Id="rId68" Type="http://schemas.openxmlformats.org/officeDocument/2006/relationships/hyperlink" Target="https://ieeexplore.ieee.org/abstract/document/11097789/" TargetMode="External"/><Relationship Id="rId84" Type="http://schemas.openxmlformats.org/officeDocument/2006/relationships/hyperlink" Target="https://www.nature.com/articles/s41598-021-86588-2" TargetMode="External"/><Relationship Id="rId89" Type="http://schemas.openxmlformats.org/officeDocument/2006/relationships/hyperlink" Target="https://ieeexplore.ieee.org/document/60985/" TargetMode="External"/><Relationship Id="rId112" Type="http://schemas.openxmlformats.org/officeDocument/2006/relationships/hyperlink" Target="https://www.science.org/doi/10.1126/sciadv.aar4206" TargetMode="External"/><Relationship Id="rId16" Type="http://schemas.openxmlformats.org/officeDocument/2006/relationships/hyperlink" Target="https://ieeexplore.ieee.org/abstract/document/11097789/" TargetMode="External"/><Relationship Id="rId107" Type="http://schemas.openxmlformats.org/officeDocument/2006/relationships/hyperlink" Target="https://ietresearch.onlinelibrary.wiley.com/doi/10.1049/el.2012.4227" TargetMode="External"/><Relationship Id="rId11" Type="http://schemas.openxmlformats.org/officeDocument/2006/relationships/hyperlink" Target="https://ieeexplore.ieee.org/document/1143999/" TargetMode="External"/><Relationship Id="rId32" Type="http://schemas.openxmlformats.org/officeDocument/2006/relationships/hyperlink" Target="https://www.sciencedirect.com/science/article/abs/pii/S0010465522002715" TargetMode="External"/><Relationship Id="rId37" Type="http://schemas.openxmlformats.org/officeDocument/2006/relationships/hyperlink" Target="https://ieeexplore.ieee.org/document/1142818/" TargetMode="External"/><Relationship Id="rId53" Type="http://schemas.openxmlformats.org/officeDocument/2006/relationships/hyperlink" Target="https://www.nature.com/articles/s41598-021-86588-2" TargetMode="External"/><Relationship Id="rId58" Type="http://schemas.openxmlformats.org/officeDocument/2006/relationships/hyperlink" Target="https://ieeexplore.ieee.org/document/1143999/" TargetMode="External"/><Relationship Id="rId74" Type="http://schemas.openxmlformats.org/officeDocument/2006/relationships/hyperlink" Target="https://ieeexplore.ieee.org/document/4589094/" TargetMode="External"/><Relationship Id="rId79" Type="http://schemas.openxmlformats.org/officeDocument/2006/relationships/hyperlink" Target="https://ieeexplore.ieee.org/document/1142818/" TargetMode="External"/><Relationship Id="rId102" Type="http://schemas.openxmlformats.org/officeDocument/2006/relationships/hyperlink" Target="https://www.sciencedirect.com/science/article/abs/pii/S0010465522002715" TargetMode="External"/><Relationship Id="rId5" Type="http://schemas.openxmlformats.org/officeDocument/2006/relationships/hyperlink" Target="https://ieeexplore.ieee.org/document/4558314/" TargetMode="External"/><Relationship Id="rId90" Type="http://schemas.openxmlformats.org/officeDocument/2006/relationships/hyperlink" Target="https://ieeexplore.ieee.org/document/60985/" TargetMode="External"/><Relationship Id="rId95" Type="http://schemas.openxmlformats.org/officeDocument/2006/relationships/hyperlink" Target="https://docs.cupy.dev/en/stable/overview.html" TargetMode="External"/><Relationship Id="rId22" Type="http://schemas.openxmlformats.org/officeDocument/2006/relationships/hyperlink" Target="https://ieeexplore.ieee.org/document/4589094/" TargetMode="External"/><Relationship Id="rId27" Type="http://schemas.openxmlformats.org/officeDocument/2006/relationships/hyperlink" Target="https://docs.nvidia.com/cuda/cusolvermp/" TargetMode="External"/><Relationship Id="rId43" Type="http://schemas.openxmlformats.org/officeDocument/2006/relationships/hyperlink" Target="https://ieeexplore.ieee.org/document/4558314/" TargetMode="External"/><Relationship Id="rId48" Type="http://schemas.openxmlformats.org/officeDocument/2006/relationships/hyperlink" Target="https://joss.theoj.org/papers/10.21105/joss.02879" TargetMode="External"/><Relationship Id="rId64" Type="http://schemas.openxmlformats.org/officeDocument/2006/relationships/hyperlink" Target="https://joss.theoj.org/papers/10.21105/joss.02879" TargetMode="External"/><Relationship Id="rId69" Type="http://schemas.openxmlformats.org/officeDocument/2006/relationships/hyperlink" Target="https://ieeexplore.ieee.org/abstract/document/11097789/" TargetMode="External"/><Relationship Id="rId113" Type="http://schemas.openxmlformats.org/officeDocument/2006/relationships/fontTable" Target="fontTable.xml"/><Relationship Id="rId80" Type="http://schemas.openxmlformats.org/officeDocument/2006/relationships/hyperlink" Target="https://pubs.acs.org/apchd5/article/5/4/1365/684462/Training-Deep-Neural-Networks-for-the-Inverse" TargetMode="External"/><Relationship Id="rId85" Type="http://schemas.openxmlformats.org/officeDocument/2006/relationships/hyperlink" Target="https://ieeexplore.ieee.org/document/558666/" TargetMode="External"/><Relationship Id="rId12" Type="http://schemas.openxmlformats.org/officeDocument/2006/relationships/hyperlink" Target="https://ieeexplore.ieee.org/document/1142818/" TargetMode="External"/><Relationship Id="rId17" Type="http://schemas.openxmlformats.org/officeDocument/2006/relationships/hyperlink" Target="https://ieeexplore.ieee.org/document/1143999/" TargetMode="External"/><Relationship Id="rId33" Type="http://schemas.openxmlformats.org/officeDocument/2006/relationships/hyperlink" Target="https://www.nature.com/articles/s41598-021-86588-2" TargetMode="External"/><Relationship Id="rId38" Type="http://schemas.openxmlformats.org/officeDocument/2006/relationships/hyperlink" Target="https://ieeexplore.ieee.org/document/1143999/" TargetMode="External"/><Relationship Id="rId59" Type="http://schemas.openxmlformats.org/officeDocument/2006/relationships/hyperlink" Target="https://ieeexplore.ieee.org/document/1143999/" TargetMode="External"/><Relationship Id="rId103" Type="http://schemas.openxmlformats.org/officeDocument/2006/relationships/hyperlink" Target="https://ieeexplore.ieee.org/document/5723240/" TargetMode="External"/><Relationship Id="rId108" Type="http://schemas.openxmlformats.org/officeDocument/2006/relationships/hyperlink" Target="https://ietresearch.onlinelibrary.wiley.com/doi/10.1049/el.2012.4227" TargetMode="External"/><Relationship Id="rId54" Type="http://schemas.openxmlformats.org/officeDocument/2006/relationships/hyperlink" Target="https://ieeexplore.ieee.org/document/4558314/" TargetMode="External"/><Relationship Id="rId70" Type="http://schemas.openxmlformats.org/officeDocument/2006/relationships/hyperlink" Target="https://ieeexplore.ieee.org/abstract/document/11097789/" TargetMode="External"/><Relationship Id="rId75" Type="http://schemas.openxmlformats.org/officeDocument/2006/relationships/hyperlink" Target="https://ieeexplore.ieee.org/document/4589094/" TargetMode="External"/><Relationship Id="rId91" Type="http://schemas.openxmlformats.org/officeDocument/2006/relationships/hyperlink" Target="https://ietresearch.onlinelibrary.wiley.com/doi/abs/10.1049/el.2015.2175" TargetMode="External"/><Relationship Id="rId96" Type="http://schemas.openxmlformats.org/officeDocument/2006/relationships/hyperlink" Target="https://docs.cupy.dev/en/stable/overview.html" TargetMode="External"/><Relationship Id="rId1" Type="http://schemas.openxmlformats.org/officeDocument/2006/relationships/numbering" Target="numbering.xml"/><Relationship Id="rId6" Type="http://schemas.openxmlformats.org/officeDocument/2006/relationships/hyperlink" Target="https://ieeexplore.ieee.org/document/1143999/" TargetMode="External"/><Relationship Id="rId15" Type="http://schemas.openxmlformats.org/officeDocument/2006/relationships/hyperlink" Target="https://www.nature.com/articles/s41598-021-86588-2" TargetMode="External"/><Relationship Id="rId23" Type="http://schemas.openxmlformats.org/officeDocument/2006/relationships/hyperlink" Target="https://ieeexplore.ieee.org/document/558666/" TargetMode="External"/><Relationship Id="rId28" Type="http://schemas.openxmlformats.org/officeDocument/2006/relationships/hyperlink" Target="https://ieeexplore.ieee.org/document/1143999/" TargetMode="External"/><Relationship Id="rId36" Type="http://schemas.openxmlformats.org/officeDocument/2006/relationships/hyperlink" Target="https://ieeexplore.ieee.org/abstract/document/11097789/" TargetMode="External"/><Relationship Id="rId49" Type="http://schemas.openxmlformats.org/officeDocument/2006/relationships/hyperlink" Target="https://www.sciencedirect.com/science/article/abs/pii/S0010465522002715" TargetMode="External"/><Relationship Id="rId57" Type="http://schemas.openxmlformats.org/officeDocument/2006/relationships/hyperlink" Target="https://ieeexplore.ieee.org/document/4558314/" TargetMode="External"/><Relationship Id="rId106" Type="http://schemas.openxmlformats.org/officeDocument/2006/relationships/hyperlink" Target="https://ieeexplore.ieee.org/document/5766704/" TargetMode="External"/><Relationship Id="rId114" Type="http://schemas.openxmlformats.org/officeDocument/2006/relationships/theme" Target="theme/theme1.xml"/><Relationship Id="rId10" Type="http://schemas.openxmlformats.org/officeDocument/2006/relationships/hyperlink" Target="https://ieeexplore.ieee.org/document/4589094/" TargetMode="External"/><Relationship Id="rId31" Type="http://schemas.openxmlformats.org/officeDocument/2006/relationships/hyperlink" Target="https://pubs.acs.org/apchd5/article/5/4/1365/684462/Training-Deep-Neural-Networks-for-the-Inverse" TargetMode="External"/><Relationship Id="rId44" Type="http://schemas.openxmlformats.org/officeDocument/2006/relationships/hyperlink" Target="https://ieeexplore.ieee.org/document/5723240/" TargetMode="External"/><Relationship Id="rId52" Type="http://schemas.openxmlformats.org/officeDocument/2006/relationships/hyperlink" Target="https://www.science.org/doi/10.1126/sciadv.aar4206" TargetMode="External"/><Relationship Id="rId60" Type="http://schemas.openxmlformats.org/officeDocument/2006/relationships/hyperlink" Target="https://ieeexplore.ieee.org/document/1143999/" TargetMode="External"/><Relationship Id="rId65" Type="http://schemas.openxmlformats.org/officeDocument/2006/relationships/hyperlink" Target="https://joss.theoj.org/papers/10.21105/joss.02879" TargetMode="External"/><Relationship Id="rId73" Type="http://schemas.openxmlformats.org/officeDocument/2006/relationships/hyperlink" Target="https://discover.3ds.com/simulia-unified-licensing" TargetMode="External"/><Relationship Id="rId78" Type="http://schemas.openxmlformats.org/officeDocument/2006/relationships/hyperlink" Target="https://ieeexplore.ieee.org/document/1142818/" TargetMode="External"/><Relationship Id="rId81" Type="http://schemas.openxmlformats.org/officeDocument/2006/relationships/hyperlink" Target="https://pubs.acs.org/apchd5/article/5/4/1365/684462/Training-Deep-Neural-Networks-for-the-Inverse" TargetMode="External"/><Relationship Id="rId86" Type="http://schemas.openxmlformats.org/officeDocument/2006/relationships/hyperlink" Target="https://ieeexplore.ieee.org/document/558666/" TargetMode="External"/><Relationship Id="rId94" Type="http://schemas.openxmlformats.org/officeDocument/2006/relationships/hyperlink" Target="https://ietresearch.onlinelibrary.wiley.com/doi/abs/10.1049/el.2015.2175" TargetMode="External"/><Relationship Id="rId99" Type="http://schemas.openxmlformats.org/officeDocument/2006/relationships/hyperlink" Target="https://www.sciencedirect.com/science/article/abs/pii/S0010465522002715" TargetMode="External"/><Relationship Id="rId101" Type="http://schemas.openxmlformats.org/officeDocument/2006/relationships/hyperlink" Target="https://www.sciencedirect.com/science/article/abs/pii/S0010465522002715" TargetMode="External"/><Relationship Id="rId4" Type="http://schemas.openxmlformats.org/officeDocument/2006/relationships/webSettings" Target="webSettings.xml"/><Relationship Id="rId9" Type="http://schemas.openxmlformats.org/officeDocument/2006/relationships/hyperlink" Target="https://discover.3ds.com/simulia-unified-licensing" TargetMode="External"/><Relationship Id="rId13" Type="http://schemas.openxmlformats.org/officeDocument/2006/relationships/hyperlink" Target="https://ieeexplore.ieee.org/document/4558314/" TargetMode="External"/><Relationship Id="rId18" Type="http://schemas.openxmlformats.org/officeDocument/2006/relationships/hyperlink" Target="https://ieeexplore.ieee.org/document/558666/" TargetMode="External"/><Relationship Id="rId39" Type="http://schemas.openxmlformats.org/officeDocument/2006/relationships/hyperlink" Target="https://ieeexplore.ieee.org/document/60985/" TargetMode="External"/><Relationship Id="rId109" Type="http://schemas.openxmlformats.org/officeDocument/2006/relationships/hyperlink" Target="https://pubs.acs.org/nalefd/article/18/10/6570/1240495/Generative-Model-for-the-Inverse-Design-of" TargetMode="External"/><Relationship Id="rId34" Type="http://schemas.openxmlformats.org/officeDocument/2006/relationships/hyperlink" Target="https://www.sciencedirect.com/science/article/abs/pii/S0010465522002715" TargetMode="External"/><Relationship Id="rId50" Type="http://schemas.openxmlformats.org/officeDocument/2006/relationships/hyperlink" Target="https://pubs.acs.org/apchd5/article/5/4/1365/684462/Training-Deep-Neural-Networks-for-the-Inverse" TargetMode="External"/><Relationship Id="rId55" Type="http://schemas.openxmlformats.org/officeDocument/2006/relationships/hyperlink" Target="https://ieeexplore.ieee.org/document/4558314/" TargetMode="External"/><Relationship Id="rId76" Type="http://schemas.openxmlformats.org/officeDocument/2006/relationships/hyperlink" Target="https://ieeexplore.ieee.org/document/4589094/" TargetMode="External"/><Relationship Id="rId97" Type="http://schemas.openxmlformats.org/officeDocument/2006/relationships/hyperlink" Target="https://docs.nvidia.com/cuda/cusolvermp/" TargetMode="External"/><Relationship Id="rId104" Type="http://schemas.openxmlformats.org/officeDocument/2006/relationships/hyperlink" Target="https://ieeexplore.ieee.org/document/5723240/" TargetMode="External"/><Relationship Id="rId7" Type="http://schemas.openxmlformats.org/officeDocument/2006/relationships/hyperlink" Target="https://joss.theoj.org/papers/10.21105/joss.02879" TargetMode="External"/><Relationship Id="rId71" Type="http://schemas.openxmlformats.org/officeDocument/2006/relationships/hyperlink" Target="https://ieeexplore.ieee.org/abstract/document/11097789/" TargetMode="External"/><Relationship Id="rId92" Type="http://schemas.openxmlformats.org/officeDocument/2006/relationships/hyperlink" Target="https://ietresearch.onlinelibrary.wiley.com/doi/abs/10.1049/el.2015.2175" TargetMode="External"/><Relationship Id="rId2" Type="http://schemas.openxmlformats.org/officeDocument/2006/relationships/styles" Target="styles.xml"/><Relationship Id="rId29" Type="http://schemas.openxmlformats.org/officeDocument/2006/relationships/hyperlink" Target="https://ieeexplore.ieee.org/document/60985/" TargetMode="External"/><Relationship Id="rId24" Type="http://schemas.openxmlformats.org/officeDocument/2006/relationships/hyperlink" Target="https://ieeexplore.ieee.org/document/4558314/" TargetMode="External"/><Relationship Id="rId40" Type="http://schemas.openxmlformats.org/officeDocument/2006/relationships/hyperlink" Target="https://ieeexplore.ieee.org/document/558666/" TargetMode="External"/><Relationship Id="rId45" Type="http://schemas.openxmlformats.org/officeDocument/2006/relationships/hyperlink" Target="https://ietresearch.onlinelibrary.wiley.com/doi/abs/10.1049/el.2015.2175" TargetMode="External"/><Relationship Id="rId66" Type="http://schemas.openxmlformats.org/officeDocument/2006/relationships/hyperlink" Target="https://joss.theoj.org/papers/10.21105/joss.02879" TargetMode="External"/><Relationship Id="rId87" Type="http://schemas.openxmlformats.org/officeDocument/2006/relationships/hyperlink" Target="https://ieeexplore.ieee.org/document/60985/" TargetMode="External"/><Relationship Id="rId110" Type="http://schemas.openxmlformats.org/officeDocument/2006/relationships/hyperlink" Target="https://pubs.acs.org/nalefd/article/18/10/6570/1240495/Generative-Model-for-the-Inverse-Design-of" TargetMode="External"/><Relationship Id="rId61" Type="http://schemas.openxmlformats.org/officeDocument/2006/relationships/hyperlink" Target="https://ieeexplore.ieee.org/document/1143999/" TargetMode="External"/><Relationship Id="rId82" Type="http://schemas.openxmlformats.org/officeDocument/2006/relationships/hyperlink" Target="https://pubs.acs.org/apchd5/article/5/4/1365/684462/Training-Deep-Neural-Networks-for-the-Inverse" TargetMode="External"/><Relationship Id="rId19" Type="http://schemas.openxmlformats.org/officeDocument/2006/relationships/hyperlink" Target="https://ieeexplore.ieee.org/document/60985/" TargetMode="External"/><Relationship Id="rId14" Type="http://schemas.openxmlformats.org/officeDocument/2006/relationships/hyperlink" Target="https://pubs.acs.org/apchd5/article/5/4/1365/684462/Training-Deep-Neural-Networks-for-the-Inverse" TargetMode="External"/><Relationship Id="rId30" Type="http://schemas.openxmlformats.org/officeDocument/2006/relationships/hyperlink" Target="https://ieeexplore.ieee.org/document/4558314/" TargetMode="External"/><Relationship Id="rId35" Type="http://schemas.openxmlformats.org/officeDocument/2006/relationships/hyperlink" Target="https://ieeexplore.ieee.org/document/1143999/" TargetMode="External"/><Relationship Id="rId56" Type="http://schemas.openxmlformats.org/officeDocument/2006/relationships/hyperlink" Target="https://ieeexplore.ieee.org/document/4558314/" TargetMode="External"/><Relationship Id="rId77" Type="http://schemas.openxmlformats.org/officeDocument/2006/relationships/hyperlink" Target="https://ieeexplore.ieee.org/document/1142818/" TargetMode="External"/><Relationship Id="rId100" Type="http://schemas.openxmlformats.org/officeDocument/2006/relationships/hyperlink" Target="https://www.sciencedirect.com/science/article/abs/pii/S0010465522002715" TargetMode="External"/><Relationship Id="rId105" Type="http://schemas.openxmlformats.org/officeDocument/2006/relationships/hyperlink" Target="https://ieeexplore.ieee.org/document/5766704/" TargetMode="External"/><Relationship Id="rId8" Type="http://schemas.openxmlformats.org/officeDocument/2006/relationships/hyperlink" Target="https://ieeexplore.ieee.org/abstract/document/11097789/" TargetMode="External"/><Relationship Id="rId51" Type="http://schemas.openxmlformats.org/officeDocument/2006/relationships/hyperlink" Target="https://pubs.acs.org/nalefd/article/18/10/6570/1240495/Generative-Model-for-the-Inverse-Design-of" TargetMode="External"/><Relationship Id="rId72" Type="http://schemas.openxmlformats.org/officeDocument/2006/relationships/hyperlink" Target="https://discover.3ds.com/simulia-unified-licensing" TargetMode="External"/><Relationship Id="rId93" Type="http://schemas.openxmlformats.org/officeDocument/2006/relationships/hyperlink" Target="https://ietresearch.onlinelibrary.wiley.com/doi/abs/10.1049/el.2015.2175" TargetMode="External"/><Relationship Id="rId98" Type="http://schemas.openxmlformats.org/officeDocument/2006/relationships/hyperlink" Target="https://docs.nvidia.com/cuda/cusolvermp/" TargetMode="External"/><Relationship Id="rId3" Type="http://schemas.openxmlformats.org/officeDocument/2006/relationships/settings" Target="settings.xml"/><Relationship Id="rId25" Type="http://schemas.openxmlformats.org/officeDocument/2006/relationships/hyperlink" Target="https://ietresearch.onlinelibrary.wiley.com/doi/abs/10.1049/el.2015.2175" TargetMode="External"/><Relationship Id="rId46" Type="http://schemas.openxmlformats.org/officeDocument/2006/relationships/hyperlink" Target="https://ieeexplore.ieee.org/document/5766704/" TargetMode="External"/><Relationship Id="rId67" Type="http://schemas.openxmlformats.org/officeDocument/2006/relationships/hyperlink" Target="https://ieeexplore.ieee.org/abstract/document/11097789/" TargetMode="External"/><Relationship Id="rId20" Type="http://schemas.openxmlformats.org/officeDocument/2006/relationships/hyperlink" Target="https://ieeexplore.ieee.org/document/1142818/" TargetMode="External"/><Relationship Id="rId41" Type="http://schemas.openxmlformats.org/officeDocument/2006/relationships/hyperlink" Target="https://ieeexplore.ieee.org/document/4589094/" TargetMode="External"/><Relationship Id="rId62" Type="http://schemas.openxmlformats.org/officeDocument/2006/relationships/hyperlink" Target="https://ieeexplore.ieee.org/document/1143999/" TargetMode="External"/><Relationship Id="rId83" Type="http://schemas.openxmlformats.org/officeDocument/2006/relationships/hyperlink" Target="https://www.nature.com/articles/s41598-021-86588-2" TargetMode="External"/><Relationship Id="rId88" Type="http://schemas.openxmlformats.org/officeDocument/2006/relationships/hyperlink" Target="https://ieeexplore.ieee.org/document/60985/" TargetMode="External"/><Relationship Id="rId111" Type="http://schemas.openxmlformats.org/officeDocument/2006/relationships/hyperlink" Target="https://www.science.org/doi/10.1126/sciadv.aar42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9453</Words>
  <Characters>53888</Characters>
  <Application>Microsoft Office Word</Application>
  <DocSecurity>0</DocSecurity>
  <Lines>449</Lines>
  <Paragraphs>126</Paragraphs>
  <ScaleCrop>false</ScaleCrop>
  <Company/>
  <LinksUpToDate>false</LinksUpToDate>
  <CharactersWithSpaces>63215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Vineetha Joy 54032.</cp:lastModifiedBy>
  <cp:revision>3</cp:revision>
  <dcterms:created xsi:type="dcterms:W3CDTF">1970-01-01T00:00:00Z</dcterms:created>
  <dcterms:modified xsi:type="dcterms:W3CDTF">2026-10-05T04:14:00Z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