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70933"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Case Study Analysis: The Internet of Things (IoT)</w:t>
      </w:r>
    </w:p>
    <w:p w14:paraId="1CC8E77C"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Introduction The Internet of Things (IoT) refers to a vast and growing network of interconnected devices that communicate with one another to enhance efficiency, automation, and data collection. From smart home appliances and wearable fitness trackers to industrial automation and smart cities, IoT is revolutionizing daily life and industries. However, while the IoT presents numerous benefits, it also introduces ethical concerns and societal challenges, particularly regarding privacy, security, and data ownership.</w:t>
      </w:r>
    </w:p>
    <w:p w14:paraId="6265407C"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A primary concern surrounding IoT is the sheer volume of data being generated. IoT devices collect personal, biometric, and behavioral data, which raises the question of how this data is used and who controls it. There are also concerns about security vulnerabilities, as cybercriminals can exploit weaknesses in IoT networks to gain unauthorized access to sensitive data. Additionally, the IoT’s influence on human autonomy and decision-making presents ethical considerations, as increased reliance on automation can reduce individual control over personal information and interactions. This paper will analyze the ethical and policy implications of IoT, discuss insights from the provided materials, and propose recommendations for addressing its challenges.</w:t>
      </w:r>
    </w:p>
    <w:p w14:paraId="6167B6FA"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Analysis The Internet of Things raises significant ethical and ICT policy issues, particularly regarding data security and user privacy. IoT devices constantly collect and transmit data, often without explicit user consent or awareness. This creates concerns about who owns the data, how it is stored, and whether users have control over their personal information. A key ethical dilemma is balancing technological advancement with personal privacy rights.</w:t>
      </w:r>
    </w:p>
    <w:p w14:paraId="62E37E2B"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lastRenderedPageBreak/>
        <w:t>The Brookings Institute research article, "Alternative Perspectives on the Internet of Things," highlights varying viewpoints on IoT, including concerns about data security vulnerabilities and potential government regulations. While some argue that IoT enhances efficiency and economic growth, others emphasize the need for stronger security measures to protect consumers. The article underscores that IoT has both positive and negative implications, making it crucial for stakeholders, including policymakers, businesses, and consumers, to collaborate on ethical and regulatory solutions.</w:t>
      </w:r>
    </w:p>
    <w:p w14:paraId="4C6C204C"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Singer and Perry’s article, "Wearables: The Well-Dressed Privacy Policy," discusses the implications of wearable IoT devices, which collect biometric and personal data. The article underscores how many companies fail to provide transparent privacy policies, leaving users unaware of how their data is utilized. This lack of transparency raises ethical concerns about informed consent and potential misuse of sensitive information by corporations and third parties. Furthermore, the article highlights how wearable technology is becoming increasingly embedded in daily life, making it imperative for companies to prioritize user privacy and security.</w:t>
      </w:r>
    </w:p>
    <w:p w14:paraId="6B1FD3EE"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Another critical issue with IoT is data security. Since IoT devices often operate in interconnected ecosystems, a breach in one device can compromise an entire network. High-profile cyberattacks, such as those targeting smart home devices and industrial control systems, have demonstrated the potential risks associated with weak security protocols. Addressing these concerns requires robust encryption, regular software updates, and stronger authentication mechanisms to prevent unauthorized access and mitigate risks.</w:t>
      </w:r>
    </w:p>
    <w:p w14:paraId="3F1246E0"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 xml:space="preserve">Critical thinking requires evaluating these perspectives while considering potential solutions. One approach to addressing IoT challenges is implementing stricter regulations </w:t>
      </w:r>
      <w:r w:rsidRPr="00F76068">
        <w:rPr>
          <w:rFonts w:ascii="Times New Roman" w:hAnsi="Times New Roman" w:cs="Times New Roman"/>
          <w:b/>
          <w:bCs/>
        </w:rPr>
        <w:lastRenderedPageBreak/>
        <w:t>that mandate transparent data policies and security protocols. Organizations should adopt ethical frameworks to ensure consumer data protection, and governments should enforce accountability measures for data breaches. Additionally, public awareness campaigns can educate consumers about IoT risks and best practices for safeguarding personal information.</w:t>
      </w:r>
    </w:p>
    <w:p w14:paraId="3B35CB21"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Another solution involves designing IoT devices with privacy in mind, incorporating data protection measures from the outset. This approach, known as "privacy by design," ensures that security features are integrated into IoT products before they reach consumers. Companies should also adopt responsible data-handling practices, such as anonymizing user data and providing clear opt-in mechanisms for data collection.</w:t>
      </w:r>
    </w:p>
    <w:p w14:paraId="19BE7CF8" w14:textId="77AE3892"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 xml:space="preserve">Conclusion The Internet of Things offers transformative possibilities but also raises ethical and policy concerns that must be addressed to protect individuals and society. Through critical thinking, it becomes clear that ensuring transparency, strengthening security measures, and implementing regulatory frameworks are necessary steps to mitigate IoT risks. The analysis of the </w:t>
      </w:r>
      <w:r w:rsidRPr="00F76068">
        <w:rPr>
          <w:rFonts w:ascii="Times New Roman" w:hAnsi="Times New Roman" w:cs="Times New Roman"/>
          <w:b/>
          <w:bCs/>
        </w:rPr>
        <w:t>articles provided</w:t>
      </w:r>
      <w:r w:rsidRPr="00F76068">
        <w:rPr>
          <w:rFonts w:ascii="Times New Roman" w:hAnsi="Times New Roman" w:cs="Times New Roman"/>
          <w:b/>
          <w:bCs/>
        </w:rPr>
        <w:t xml:space="preserve"> confirms the urgency of these issues and highlights the need for continued research and policy development. By prioritizing privacy and security, IoT can be harnessed responsibly to benefit society without compromising individual rights.</w:t>
      </w:r>
    </w:p>
    <w:p w14:paraId="3BCCF09D"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 xml:space="preserve">Moving forward, stakeholders must engage in meaningful discussions about the future of IoT governance. Policymakers, industry leaders, and consumers must work collaboratively to establish ethical standards that protect privacy and security without stifling innovation. If IoT is developed and deployed responsibly, it has the potential to enhance lives and industries while maintaining ethical integrity. Future research should explore the long-term </w:t>
      </w:r>
      <w:r w:rsidRPr="00F76068">
        <w:rPr>
          <w:rFonts w:ascii="Times New Roman" w:hAnsi="Times New Roman" w:cs="Times New Roman"/>
          <w:b/>
          <w:bCs/>
        </w:rPr>
        <w:lastRenderedPageBreak/>
        <w:t>societal implications of IoT and assess how emerging technologies, such as artificial intelligence and blockchain, can contribute to more secure and ethical IoT ecosystems.</w:t>
      </w:r>
    </w:p>
    <w:p w14:paraId="7FF137CE" w14:textId="77777777" w:rsidR="00F76068" w:rsidRPr="00F76068" w:rsidRDefault="00F76068" w:rsidP="00F76068">
      <w:pPr>
        <w:spacing w:line="480" w:lineRule="auto"/>
        <w:rPr>
          <w:rFonts w:ascii="Times New Roman" w:hAnsi="Times New Roman" w:cs="Times New Roman"/>
          <w:b/>
          <w:bCs/>
        </w:rPr>
      </w:pPr>
    </w:p>
    <w:p w14:paraId="1125B73A" w14:textId="77777777" w:rsidR="00F76068" w:rsidRPr="00F76068" w:rsidRDefault="00F76068" w:rsidP="00F76068">
      <w:pPr>
        <w:spacing w:line="480" w:lineRule="auto"/>
        <w:rPr>
          <w:rFonts w:ascii="Times New Roman" w:hAnsi="Times New Roman" w:cs="Times New Roman"/>
          <w:b/>
          <w:bCs/>
        </w:rPr>
      </w:pPr>
    </w:p>
    <w:p w14:paraId="76E12ABE" w14:textId="77777777" w:rsidR="00F76068" w:rsidRPr="00F76068" w:rsidRDefault="00F76068" w:rsidP="00F76068">
      <w:pPr>
        <w:spacing w:line="480" w:lineRule="auto"/>
        <w:rPr>
          <w:rFonts w:ascii="Times New Roman" w:hAnsi="Times New Roman" w:cs="Times New Roman"/>
          <w:b/>
          <w:bCs/>
        </w:rPr>
      </w:pPr>
    </w:p>
    <w:p w14:paraId="09FF70C9" w14:textId="77777777" w:rsidR="00F76068" w:rsidRPr="00F76068" w:rsidRDefault="00F76068" w:rsidP="00F76068">
      <w:pPr>
        <w:spacing w:line="480" w:lineRule="auto"/>
        <w:rPr>
          <w:rFonts w:ascii="Times New Roman" w:hAnsi="Times New Roman" w:cs="Times New Roman"/>
          <w:b/>
          <w:bCs/>
        </w:rPr>
      </w:pPr>
    </w:p>
    <w:p w14:paraId="55E21F3F" w14:textId="77777777" w:rsidR="00F76068" w:rsidRPr="00F76068" w:rsidRDefault="00F76068" w:rsidP="00F76068">
      <w:pPr>
        <w:spacing w:line="480" w:lineRule="auto"/>
        <w:rPr>
          <w:rFonts w:ascii="Times New Roman" w:hAnsi="Times New Roman" w:cs="Times New Roman"/>
          <w:b/>
          <w:bCs/>
        </w:rPr>
      </w:pPr>
    </w:p>
    <w:p w14:paraId="4123D052" w14:textId="77777777" w:rsidR="00F76068" w:rsidRPr="00F76068" w:rsidRDefault="00F76068" w:rsidP="00F76068">
      <w:pPr>
        <w:spacing w:line="480" w:lineRule="auto"/>
        <w:rPr>
          <w:rFonts w:ascii="Times New Roman" w:hAnsi="Times New Roman" w:cs="Times New Roman"/>
          <w:b/>
          <w:bCs/>
        </w:rPr>
      </w:pPr>
    </w:p>
    <w:p w14:paraId="745D96B3" w14:textId="77777777" w:rsidR="00F76068" w:rsidRPr="00F76068" w:rsidRDefault="00F76068" w:rsidP="00F76068">
      <w:pPr>
        <w:spacing w:line="480" w:lineRule="auto"/>
        <w:rPr>
          <w:rFonts w:ascii="Times New Roman" w:hAnsi="Times New Roman" w:cs="Times New Roman"/>
          <w:b/>
          <w:bCs/>
        </w:rPr>
      </w:pPr>
    </w:p>
    <w:p w14:paraId="40CA7999" w14:textId="77777777" w:rsidR="00F76068" w:rsidRPr="00F76068" w:rsidRDefault="00F76068" w:rsidP="00F76068">
      <w:pPr>
        <w:spacing w:line="480" w:lineRule="auto"/>
        <w:rPr>
          <w:rFonts w:ascii="Times New Roman" w:hAnsi="Times New Roman" w:cs="Times New Roman"/>
          <w:b/>
          <w:bCs/>
        </w:rPr>
      </w:pPr>
    </w:p>
    <w:p w14:paraId="67507447" w14:textId="77777777" w:rsidR="00F76068" w:rsidRPr="00F76068" w:rsidRDefault="00F76068" w:rsidP="00F76068">
      <w:pPr>
        <w:spacing w:line="480" w:lineRule="auto"/>
        <w:rPr>
          <w:rFonts w:ascii="Times New Roman" w:hAnsi="Times New Roman" w:cs="Times New Roman"/>
          <w:b/>
          <w:bCs/>
        </w:rPr>
      </w:pPr>
    </w:p>
    <w:p w14:paraId="7FAE6E26" w14:textId="77777777" w:rsidR="00F76068" w:rsidRPr="00F76068" w:rsidRDefault="00F76068" w:rsidP="00F76068">
      <w:pPr>
        <w:spacing w:line="480" w:lineRule="auto"/>
        <w:rPr>
          <w:rFonts w:ascii="Times New Roman" w:hAnsi="Times New Roman" w:cs="Times New Roman"/>
          <w:b/>
          <w:bCs/>
        </w:rPr>
      </w:pPr>
    </w:p>
    <w:p w14:paraId="4FA7CF79" w14:textId="77777777" w:rsidR="00F76068" w:rsidRPr="00F76068" w:rsidRDefault="00F76068" w:rsidP="00F76068">
      <w:pPr>
        <w:spacing w:line="480" w:lineRule="auto"/>
        <w:rPr>
          <w:rFonts w:ascii="Times New Roman" w:hAnsi="Times New Roman" w:cs="Times New Roman"/>
          <w:b/>
          <w:bCs/>
        </w:rPr>
      </w:pPr>
    </w:p>
    <w:p w14:paraId="6CE7496D" w14:textId="77777777" w:rsidR="00F76068" w:rsidRPr="00F76068" w:rsidRDefault="00F76068" w:rsidP="00F76068">
      <w:pPr>
        <w:spacing w:line="480" w:lineRule="auto"/>
        <w:rPr>
          <w:rFonts w:ascii="Times New Roman" w:hAnsi="Times New Roman" w:cs="Times New Roman"/>
          <w:b/>
          <w:bCs/>
        </w:rPr>
      </w:pPr>
    </w:p>
    <w:p w14:paraId="08DD7D00" w14:textId="77777777" w:rsidR="00F76068" w:rsidRPr="00F76068" w:rsidRDefault="00F76068" w:rsidP="00F76068">
      <w:pPr>
        <w:spacing w:line="480" w:lineRule="auto"/>
        <w:rPr>
          <w:rFonts w:ascii="Times New Roman" w:hAnsi="Times New Roman" w:cs="Times New Roman"/>
          <w:b/>
          <w:bCs/>
        </w:rPr>
      </w:pPr>
    </w:p>
    <w:p w14:paraId="1EE15D02" w14:textId="77777777" w:rsidR="00F76068" w:rsidRDefault="00F76068" w:rsidP="00F76068">
      <w:pPr>
        <w:spacing w:line="480" w:lineRule="auto"/>
        <w:rPr>
          <w:rFonts w:ascii="Times New Roman" w:hAnsi="Times New Roman" w:cs="Times New Roman"/>
          <w:b/>
          <w:bCs/>
        </w:rPr>
      </w:pPr>
    </w:p>
    <w:p w14:paraId="4248134E" w14:textId="77777777" w:rsidR="00F76068" w:rsidRPr="00F76068" w:rsidRDefault="00F76068" w:rsidP="00F76068">
      <w:pPr>
        <w:spacing w:line="480" w:lineRule="auto"/>
        <w:rPr>
          <w:rFonts w:ascii="Times New Roman" w:hAnsi="Times New Roman" w:cs="Times New Roman"/>
          <w:b/>
          <w:bCs/>
        </w:rPr>
      </w:pPr>
    </w:p>
    <w:p w14:paraId="642E761B" w14:textId="77777777" w:rsidR="00F76068" w:rsidRPr="00F76068" w:rsidRDefault="00F76068" w:rsidP="00F76068">
      <w:pPr>
        <w:spacing w:line="480" w:lineRule="auto"/>
        <w:rPr>
          <w:rFonts w:ascii="Times New Roman" w:hAnsi="Times New Roman" w:cs="Times New Roman"/>
          <w:b/>
          <w:bCs/>
        </w:rPr>
      </w:pPr>
    </w:p>
    <w:p w14:paraId="77040DBE" w14:textId="77777777" w:rsidR="00F76068" w:rsidRPr="00F76068" w:rsidRDefault="00F76068" w:rsidP="00F76068">
      <w:pPr>
        <w:spacing w:line="480" w:lineRule="auto"/>
        <w:rPr>
          <w:rFonts w:ascii="Times New Roman" w:hAnsi="Times New Roman" w:cs="Times New Roman"/>
          <w:b/>
          <w:bCs/>
        </w:rPr>
      </w:pPr>
    </w:p>
    <w:p w14:paraId="42AD3AC9" w14:textId="0AB5022C" w:rsidR="00F76068" w:rsidRPr="00F76068" w:rsidRDefault="00F76068" w:rsidP="00F76068">
      <w:pPr>
        <w:spacing w:line="480" w:lineRule="auto"/>
        <w:jc w:val="center"/>
        <w:rPr>
          <w:rFonts w:ascii="Times New Roman" w:hAnsi="Times New Roman" w:cs="Times New Roman"/>
          <w:b/>
          <w:bCs/>
        </w:rPr>
      </w:pPr>
      <w:r w:rsidRPr="00F76068">
        <w:rPr>
          <w:rFonts w:ascii="Times New Roman" w:hAnsi="Times New Roman" w:cs="Times New Roman"/>
          <w:b/>
          <w:bCs/>
        </w:rPr>
        <w:lastRenderedPageBreak/>
        <w:t>References</w:t>
      </w:r>
    </w:p>
    <w:p w14:paraId="40378B8E" w14:textId="71902A21"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 xml:space="preserve">Brookings Institute. (2016). Alternative perspectives on the Internet of Things. Retrieved from </w:t>
      </w:r>
      <w:hyperlink r:id="rId5" w:history="1">
        <w:r w:rsidRPr="00F76068">
          <w:rPr>
            <w:rStyle w:val="Hyperlink"/>
            <w:rFonts w:ascii="Times New Roman" w:hAnsi="Times New Roman" w:cs="Times New Roman"/>
            <w:b/>
            <w:bCs/>
          </w:rPr>
          <w:t>https://www.brookings.edu/blog/techtank/2016/03/25/alternative-perspectives-on-the-internet-of-things/</w:t>
        </w:r>
      </w:hyperlink>
    </w:p>
    <w:p w14:paraId="2DF19C3B" w14:textId="77777777" w:rsidR="00F76068" w:rsidRPr="00F76068" w:rsidRDefault="00F76068" w:rsidP="00F76068">
      <w:pPr>
        <w:spacing w:line="480" w:lineRule="auto"/>
        <w:rPr>
          <w:rFonts w:ascii="Times New Roman" w:hAnsi="Times New Roman" w:cs="Times New Roman"/>
          <w:b/>
          <w:bCs/>
        </w:rPr>
      </w:pPr>
      <w:r w:rsidRPr="00F76068">
        <w:rPr>
          <w:rFonts w:ascii="Times New Roman" w:hAnsi="Times New Roman" w:cs="Times New Roman"/>
          <w:b/>
          <w:bCs/>
        </w:rPr>
        <w:t xml:space="preserve">Singer, R. W., &amp; Perry, A. J. (2015). Wearables: The well-dressed privacy policy. </w:t>
      </w:r>
      <w:r w:rsidRPr="00F76068">
        <w:rPr>
          <w:rFonts w:ascii="Times New Roman" w:hAnsi="Times New Roman" w:cs="Times New Roman"/>
          <w:b/>
          <w:bCs/>
          <w:i/>
          <w:iCs/>
        </w:rPr>
        <w:t>Intellectual Property &amp; Technology Law Journal, 27(7),</w:t>
      </w:r>
      <w:r w:rsidRPr="00F76068">
        <w:rPr>
          <w:rFonts w:ascii="Times New Roman" w:hAnsi="Times New Roman" w:cs="Times New Roman"/>
          <w:b/>
          <w:bCs/>
        </w:rPr>
        <w:t xml:space="preserve"> 24-27. Retrieved from </w:t>
      </w:r>
      <w:hyperlink r:id="rId6" w:history="1">
        <w:r w:rsidRPr="00F76068">
          <w:rPr>
            <w:rStyle w:val="Hyperlink"/>
            <w:rFonts w:ascii="Times New Roman" w:hAnsi="Times New Roman" w:cs="Times New Roman"/>
            <w:b/>
            <w:bCs/>
          </w:rPr>
          <w:t>https://link.gale.com/apps/doc/A420929651/AONE?u=tamp44898&amp;sid=bookmark-AONE&amp;xid=74b7983c</w:t>
        </w:r>
      </w:hyperlink>
    </w:p>
    <w:p w14:paraId="3FA7F760" w14:textId="77777777" w:rsidR="00B9070F" w:rsidRPr="00F76068" w:rsidRDefault="00B9070F" w:rsidP="00F76068">
      <w:pPr>
        <w:spacing w:line="480" w:lineRule="auto"/>
        <w:rPr>
          <w:rFonts w:ascii="Times New Roman" w:hAnsi="Times New Roman" w:cs="Times New Roman"/>
        </w:rPr>
      </w:pPr>
    </w:p>
    <w:sectPr w:rsidR="00B9070F" w:rsidRPr="00F7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CB7"/>
    <w:multiLevelType w:val="multilevel"/>
    <w:tmpl w:val="097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2829"/>
    <w:multiLevelType w:val="multilevel"/>
    <w:tmpl w:val="F31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222D"/>
    <w:multiLevelType w:val="multilevel"/>
    <w:tmpl w:val="89EE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F4B6D"/>
    <w:multiLevelType w:val="multilevel"/>
    <w:tmpl w:val="98E4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4626"/>
    <w:multiLevelType w:val="multilevel"/>
    <w:tmpl w:val="B0F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847DA"/>
    <w:multiLevelType w:val="multilevel"/>
    <w:tmpl w:val="7AEA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E59D7"/>
    <w:multiLevelType w:val="multilevel"/>
    <w:tmpl w:val="CF08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63597"/>
    <w:multiLevelType w:val="multilevel"/>
    <w:tmpl w:val="3B5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F02AF"/>
    <w:multiLevelType w:val="multilevel"/>
    <w:tmpl w:val="5A5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F46E0"/>
    <w:multiLevelType w:val="hybridMultilevel"/>
    <w:tmpl w:val="AC0E1DF2"/>
    <w:lvl w:ilvl="0" w:tplc="80CC72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54BCD"/>
    <w:multiLevelType w:val="multilevel"/>
    <w:tmpl w:val="5716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186737">
    <w:abstractNumId w:val="7"/>
  </w:num>
  <w:num w:numId="2" w16cid:durableId="1548906534">
    <w:abstractNumId w:val="6"/>
  </w:num>
  <w:num w:numId="3" w16cid:durableId="2105686906">
    <w:abstractNumId w:val="5"/>
  </w:num>
  <w:num w:numId="4" w16cid:durableId="1805002070">
    <w:abstractNumId w:val="2"/>
  </w:num>
  <w:num w:numId="5" w16cid:durableId="161163789">
    <w:abstractNumId w:val="3"/>
  </w:num>
  <w:num w:numId="6" w16cid:durableId="715741613">
    <w:abstractNumId w:val="10"/>
  </w:num>
  <w:num w:numId="7" w16cid:durableId="417140762">
    <w:abstractNumId w:val="4"/>
  </w:num>
  <w:num w:numId="8" w16cid:durableId="1732271843">
    <w:abstractNumId w:val="8"/>
  </w:num>
  <w:num w:numId="9" w16cid:durableId="356273538">
    <w:abstractNumId w:val="1"/>
  </w:num>
  <w:num w:numId="10" w16cid:durableId="256448469">
    <w:abstractNumId w:val="0"/>
  </w:num>
  <w:num w:numId="11" w16cid:durableId="503013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68"/>
    <w:rsid w:val="000411C3"/>
    <w:rsid w:val="007914F2"/>
    <w:rsid w:val="00B8187F"/>
    <w:rsid w:val="00B9070F"/>
    <w:rsid w:val="00F7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68E9"/>
  <w15:chartTrackingRefBased/>
  <w15:docId w15:val="{67553459-44F4-4381-AD12-4C435EB5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068"/>
    <w:rPr>
      <w:rFonts w:eastAsiaTheme="majorEastAsia" w:cstheme="majorBidi"/>
      <w:color w:val="272727" w:themeColor="text1" w:themeTint="D8"/>
    </w:rPr>
  </w:style>
  <w:style w:type="paragraph" w:styleId="Title">
    <w:name w:val="Title"/>
    <w:basedOn w:val="Normal"/>
    <w:next w:val="Normal"/>
    <w:link w:val="TitleChar"/>
    <w:uiPriority w:val="10"/>
    <w:qFormat/>
    <w:rsid w:val="00F76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068"/>
    <w:pPr>
      <w:spacing w:before="160"/>
      <w:jc w:val="center"/>
    </w:pPr>
    <w:rPr>
      <w:i/>
      <w:iCs/>
      <w:color w:val="404040" w:themeColor="text1" w:themeTint="BF"/>
    </w:rPr>
  </w:style>
  <w:style w:type="character" w:customStyle="1" w:styleId="QuoteChar">
    <w:name w:val="Quote Char"/>
    <w:basedOn w:val="DefaultParagraphFont"/>
    <w:link w:val="Quote"/>
    <w:uiPriority w:val="29"/>
    <w:rsid w:val="00F76068"/>
    <w:rPr>
      <w:i/>
      <w:iCs/>
      <w:color w:val="404040" w:themeColor="text1" w:themeTint="BF"/>
    </w:rPr>
  </w:style>
  <w:style w:type="paragraph" w:styleId="ListParagraph">
    <w:name w:val="List Paragraph"/>
    <w:basedOn w:val="Normal"/>
    <w:uiPriority w:val="34"/>
    <w:qFormat/>
    <w:rsid w:val="00F76068"/>
    <w:pPr>
      <w:ind w:left="720"/>
      <w:contextualSpacing/>
    </w:pPr>
  </w:style>
  <w:style w:type="character" w:styleId="IntenseEmphasis">
    <w:name w:val="Intense Emphasis"/>
    <w:basedOn w:val="DefaultParagraphFont"/>
    <w:uiPriority w:val="21"/>
    <w:qFormat/>
    <w:rsid w:val="00F76068"/>
    <w:rPr>
      <w:i/>
      <w:iCs/>
      <w:color w:val="0F4761" w:themeColor="accent1" w:themeShade="BF"/>
    </w:rPr>
  </w:style>
  <w:style w:type="paragraph" w:styleId="IntenseQuote">
    <w:name w:val="Intense Quote"/>
    <w:basedOn w:val="Normal"/>
    <w:next w:val="Normal"/>
    <w:link w:val="IntenseQuoteChar"/>
    <w:uiPriority w:val="30"/>
    <w:qFormat/>
    <w:rsid w:val="00F76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068"/>
    <w:rPr>
      <w:i/>
      <w:iCs/>
      <w:color w:val="0F4761" w:themeColor="accent1" w:themeShade="BF"/>
    </w:rPr>
  </w:style>
  <w:style w:type="character" w:styleId="IntenseReference">
    <w:name w:val="Intense Reference"/>
    <w:basedOn w:val="DefaultParagraphFont"/>
    <w:uiPriority w:val="32"/>
    <w:qFormat/>
    <w:rsid w:val="00F76068"/>
    <w:rPr>
      <w:b/>
      <w:bCs/>
      <w:smallCaps/>
      <w:color w:val="0F4761" w:themeColor="accent1" w:themeShade="BF"/>
      <w:spacing w:val="5"/>
    </w:rPr>
  </w:style>
  <w:style w:type="character" w:styleId="Hyperlink">
    <w:name w:val="Hyperlink"/>
    <w:basedOn w:val="DefaultParagraphFont"/>
    <w:uiPriority w:val="99"/>
    <w:unhideWhenUsed/>
    <w:rsid w:val="00F76068"/>
    <w:rPr>
      <w:color w:val="467886" w:themeColor="hyperlink"/>
      <w:u w:val="single"/>
    </w:rPr>
  </w:style>
  <w:style w:type="character" w:styleId="UnresolvedMention">
    <w:name w:val="Unresolved Mention"/>
    <w:basedOn w:val="DefaultParagraphFont"/>
    <w:uiPriority w:val="99"/>
    <w:semiHidden/>
    <w:unhideWhenUsed/>
    <w:rsid w:val="00F76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3655">
      <w:bodyDiv w:val="1"/>
      <w:marLeft w:val="0"/>
      <w:marRight w:val="0"/>
      <w:marTop w:val="0"/>
      <w:marBottom w:val="0"/>
      <w:divBdr>
        <w:top w:val="none" w:sz="0" w:space="0" w:color="auto"/>
        <w:left w:val="none" w:sz="0" w:space="0" w:color="auto"/>
        <w:bottom w:val="none" w:sz="0" w:space="0" w:color="auto"/>
        <w:right w:val="none" w:sz="0" w:space="0" w:color="auto"/>
      </w:divBdr>
    </w:div>
    <w:div w:id="215287154">
      <w:bodyDiv w:val="1"/>
      <w:marLeft w:val="0"/>
      <w:marRight w:val="0"/>
      <w:marTop w:val="0"/>
      <w:marBottom w:val="0"/>
      <w:divBdr>
        <w:top w:val="none" w:sz="0" w:space="0" w:color="auto"/>
        <w:left w:val="none" w:sz="0" w:space="0" w:color="auto"/>
        <w:bottom w:val="none" w:sz="0" w:space="0" w:color="auto"/>
        <w:right w:val="none" w:sz="0" w:space="0" w:color="auto"/>
      </w:divBdr>
    </w:div>
    <w:div w:id="219175917">
      <w:bodyDiv w:val="1"/>
      <w:marLeft w:val="0"/>
      <w:marRight w:val="0"/>
      <w:marTop w:val="0"/>
      <w:marBottom w:val="0"/>
      <w:divBdr>
        <w:top w:val="none" w:sz="0" w:space="0" w:color="auto"/>
        <w:left w:val="none" w:sz="0" w:space="0" w:color="auto"/>
        <w:bottom w:val="none" w:sz="0" w:space="0" w:color="auto"/>
        <w:right w:val="none" w:sz="0" w:space="0" w:color="auto"/>
      </w:divBdr>
    </w:div>
    <w:div w:id="359596306">
      <w:bodyDiv w:val="1"/>
      <w:marLeft w:val="0"/>
      <w:marRight w:val="0"/>
      <w:marTop w:val="0"/>
      <w:marBottom w:val="0"/>
      <w:divBdr>
        <w:top w:val="none" w:sz="0" w:space="0" w:color="auto"/>
        <w:left w:val="none" w:sz="0" w:space="0" w:color="auto"/>
        <w:bottom w:val="none" w:sz="0" w:space="0" w:color="auto"/>
        <w:right w:val="none" w:sz="0" w:space="0" w:color="auto"/>
      </w:divBdr>
    </w:div>
    <w:div w:id="1174104459">
      <w:bodyDiv w:val="1"/>
      <w:marLeft w:val="0"/>
      <w:marRight w:val="0"/>
      <w:marTop w:val="0"/>
      <w:marBottom w:val="0"/>
      <w:divBdr>
        <w:top w:val="none" w:sz="0" w:space="0" w:color="auto"/>
        <w:left w:val="none" w:sz="0" w:space="0" w:color="auto"/>
        <w:bottom w:val="none" w:sz="0" w:space="0" w:color="auto"/>
        <w:right w:val="none" w:sz="0" w:space="0" w:color="auto"/>
      </w:divBdr>
    </w:div>
    <w:div w:id="1396052922">
      <w:bodyDiv w:val="1"/>
      <w:marLeft w:val="0"/>
      <w:marRight w:val="0"/>
      <w:marTop w:val="0"/>
      <w:marBottom w:val="0"/>
      <w:divBdr>
        <w:top w:val="none" w:sz="0" w:space="0" w:color="auto"/>
        <w:left w:val="none" w:sz="0" w:space="0" w:color="auto"/>
        <w:bottom w:val="none" w:sz="0" w:space="0" w:color="auto"/>
        <w:right w:val="none" w:sz="0" w:space="0" w:color="auto"/>
      </w:divBdr>
    </w:div>
    <w:div w:id="1475218196">
      <w:bodyDiv w:val="1"/>
      <w:marLeft w:val="0"/>
      <w:marRight w:val="0"/>
      <w:marTop w:val="0"/>
      <w:marBottom w:val="0"/>
      <w:divBdr>
        <w:top w:val="none" w:sz="0" w:space="0" w:color="auto"/>
        <w:left w:val="none" w:sz="0" w:space="0" w:color="auto"/>
        <w:bottom w:val="none" w:sz="0" w:space="0" w:color="auto"/>
        <w:right w:val="none" w:sz="0" w:space="0" w:color="auto"/>
      </w:divBdr>
    </w:div>
    <w:div w:id="1939829774">
      <w:bodyDiv w:val="1"/>
      <w:marLeft w:val="0"/>
      <w:marRight w:val="0"/>
      <w:marTop w:val="0"/>
      <w:marBottom w:val="0"/>
      <w:divBdr>
        <w:top w:val="none" w:sz="0" w:space="0" w:color="auto"/>
        <w:left w:val="none" w:sz="0" w:space="0" w:color="auto"/>
        <w:bottom w:val="none" w:sz="0" w:space="0" w:color="auto"/>
        <w:right w:val="none" w:sz="0" w:space="0" w:color="auto"/>
      </w:divBdr>
    </w:div>
    <w:div w:id="2025085826">
      <w:bodyDiv w:val="1"/>
      <w:marLeft w:val="0"/>
      <w:marRight w:val="0"/>
      <w:marTop w:val="0"/>
      <w:marBottom w:val="0"/>
      <w:divBdr>
        <w:top w:val="none" w:sz="0" w:space="0" w:color="auto"/>
        <w:left w:val="none" w:sz="0" w:space="0" w:color="auto"/>
        <w:bottom w:val="none" w:sz="0" w:space="0" w:color="auto"/>
        <w:right w:val="none" w:sz="0" w:space="0" w:color="auto"/>
      </w:divBdr>
    </w:div>
    <w:div w:id="214624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gale.com/apps/doc/A420929651/AONE?u=tamp44898&amp;sid=bookmark-AONE&amp;xid=74b7983c" TargetMode="External"/><Relationship Id="rId5" Type="http://schemas.openxmlformats.org/officeDocument/2006/relationships/hyperlink" Target="https://www.brookings.edu/blog/techtank/2016/03/25/alternative-perspectives-on-the-internet-of-th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2025-03-08T00:07:00Z</dcterms:created>
  <dcterms:modified xsi:type="dcterms:W3CDTF">2025-03-08T00:19:00Z</dcterms:modified>
</cp:coreProperties>
</file>