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Detection of Alphanumeric Handwritten Values using Fuzzy Logic</w:t>
      </w:r>
    </w:p>
    <w:p>
      <w:r>
        <w:rPr>
          <w:b/>
          <w:i w:val="0"/>
        </w:rPr>
        <w:t>INT3141 – Soft Computing Techniques  |  Project Submission (Intermediate)</w:t>
      </w:r>
    </w:p>
    <w:p>
      <w:r>
        <w:rPr>
          <w:b w:val="0"/>
          <w:i w:val="0"/>
        </w:rPr>
        <w:t>Manipal University Jaipur, Department of Information Technology, B.Tech IT, V Sem, 2026-27</w:t>
      </w:r>
    </w:p>
    <w:p>
      <w:r>
        <w:rPr>
          <w:b w:val="0"/>
          <w:i w:val="0"/>
        </w:rPr>
        <w:t>Team members: Abhijay Shrivastava (2430030333), Aarush Dayal (2430030303)</w:t>
      </w:r>
    </w:p>
    <w:p>
      <w:r>
        <w:rPr>
          <w:b w:val="0"/>
          <w:i w:val="0"/>
        </w:rPr>
        <w:t>Section: Soft Computing D</w:t>
      </w:r>
    </w:p>
    <w:p>
      <w:r>
        <w:t xml:space="preserve">Code repository: </w:t>
      </w:r>
      <w:hyperlink r:id="rId9">
        <w:r>
          <w:rPr>
            <w:color w:val="0563C1"/>
            <w:u w:val="single"/>
          </w:rPr>
          <w:t>https://github.com/Abhijay09/Softcomputing-project</w:t>
        </w:r>
      </w:hyperlink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4),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62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62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EMNIST samples. Each row is one character class written by different people, so the same character varies a lot in shape and thickness.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idea behind several rules per class is that one letter has several writing styles (e.g. 4 vs. open-top 4, 7 with or without a bar). Section 4.2 measures how much this actually helps.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the four fuzzy rules learned for the letter A (ink-zone part of each rule centre). The four rules turn out to be very similar to each other, which matches the experiment in Section 4.2 where extra rules help only a little.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2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wind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the Tkinter application reading a still image (Open image… mode). In camera mode the left panel shows the live feed instead. Box colour = reliability level; the panel on the right lists the three best classes and their membership for each character.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p>
      <w:pPr>
        <w:pStyle w:val="Heading2"/>
      </w:pPr>
      <w:r>
        <w:t>4.1 Accuracy and reliability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Top-1 accuracy (18,800 test images, 47 classes)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Top-3 accuracy</w:t>
            </w:r>
          </w:p>
        </w:tc>
        <w:tc>
          <w:tcPr>
            <w:tcW w:type="dxa" w:w="4320"/>
          </w:tcPr>
          <w:p>
            <w:r>
              <w:t>86.8%</w:t>
            </w:r>
          </w:p>
        </w:tc>
      </w:tr>
      <w:tr>
        <w:tc>
          <w:tcPr>
            <w:tcW w:type="dxa" w:w="4320"/>
          </w:tcPr>
          <w:p>
            <w:r>
              <w:t>Number of fuzzy rules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Random-guess baseline</w:t>
            </w:r>
          </w:p>
        </w:tc>
        <w:tc>
          <w:tcPr>
            <w:tcW w:type="dxa" w:w="4320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880"/>
          </w:tcPr>
          <w:p>
            <w:r>
              <w:t>LOW (&lt;35)</w:t>
            </w:r>
          </w:p>
        </w:tc>
        <w:tc>
          <w:tcPr>
            <w:tcW w:type="dxa" w:w="2880"/>
          </w:tcPr>
          <w:p>
            <w:r>
              <w:t>1096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  <w:tr>
        <w:tc>
          <w:tcPr>
            <w:tcW w:type="dxa" w:w="2880"/>
          </w:tcPr>
          <w:p>
            <w:r>
              <w:t>MEDIUM (35-65)</w:t>
            </w:r>
          </w:p>
        </w:tc>
        <w:tc>
          <w:tcPr>
            <w:tcW w:type="dxa" w:w="2880"/>
          </w:tcPr>
          <w:p>
            <w:r>
              <w:t>9661</w:t>
            </w:r>
          </w:p>
        </w:tc>
        <w:tc>
          <w:tcPr>
            <w:tcW w:type="dxa" w:w="2880"/>
          </w:tcPr>
          <w:p>
            <w:r>
              <w:t>51.5%</w:t>
            </w:r>
          </w:p>
        </w:tc>
      </w:tr>
      <w:tr>
        <w:tc>
          <w:tcPr>
            <w:tcW w:type="dxa" w:w="2880"/>
          </w:tcPr>
          <w:p>
            <w:r>
              <w:t>HIGH (&gt;=65)</w:t>
            </w:r>
          </w:p>
        </w:tc>
        <w:tc>
          <w:tcPr>
            <w:tcW w:type="dxa" w:w="2880"/>
          </w:tcPr>
          <w:p>
            <w:r>
              <w:t>8043</w:t>
            </w:r>
          </w:p>
        </w:tc>
        <w:tc>
          <w:tcPr>
            <w:tcW w:type="dxa" w:w="288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2"/>
      </w:pPr>
      <w:r>
        <w:t>4.2 Experiments: what actually matters?</w:t>
      </w:r>
    </w:p>
    <w:p>
      <w:r>
        <w:rPr>
          <w:b w:val="0"/>
          <w:i w:val="0"/>
        </w:rPr>
        <w:t>To understand which design choices matter, we changed one thing at a time and measured test accuracy.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Rules per class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65.9%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66.2%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66.5%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Features used (4 rules per class)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320"/>
          </w:tcPr>
          <w:p>
            <w:r>
              <w:t>ink zones only (49)</w:t>
            </w:r>
          </w:p>
        </w:tc>
        <w:tc>
          <w:tcPr>
            <w:tcW w:type="dxa" w:w="4320"/>
          </w:tcPr>
          <w:p>
            <w:r>
              <w:t>50.2%</w:t>
            </w:r>
          </w:p>
        </w:tc>
      </w:tr>
      <w:tr>
        <w:tc>
          <w:tcPr>
            <w:tcW w:type="dxa" w:w="4320"/>
          </w:tcPr>
          <w:p>
            <w:r>
              <w:t>stroke directions only (128)</w:t>
            </w:r>
          </w:p>
        </w:tc>
        <w:tc>
          <w:tcPr>
            <w:tcW w:type="dxa" w:w="4320"/>
          </w:tcPr>
          <w:p>
            <w:r>
              <w:t>65.5%</w:t>
            </w:r>
          </w:p>
        </w:tc>
      </w:tr>
      <w:tr>
        <w:tc>
          <w:tcPr>
            <w:tcW w:type="dxa" w:w="4320"/>
          </w:tcPr>
          <w:p>
            <w:r>
              <w:t>both (177)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34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9: effect of the number of rules and of the feature type</w:t>
      </w:r>
    </w:p>
    <w:p>
      <w:r>
        <w:rPr>
          <w:b w:val="0"/>
          <w:i w:val="0"/>
        </w:rPr>
        <w:t>Findings. (1) The stroke-direction features carry most of the information: using them alone gives 65.5%, while the ink zones alone give only 50.2%. Adding the ink zones to the directions improves the result slightly. (2) More rules per class helps only a little (65.9% with one rule, 66.5% with eight), so the limit is the feature description and the simple Gaussian membership form, not the number of writing styles. We kept 4 rules per class as a compromise between accuracy and the size of the rule base. These findings point to where improvement should come from next (better features, tuned membership widths).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bhijay09/Softcomputing-project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