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280"/>
        <w:jc w:val="center"/>
      </w:pPr>
      <w:r>
        <w:rPr>
          <w:rFonts w:ascii="Arial" w:hAnsi="Arial" w:eastAsia="Arial"/>
          <w:b/>
          <w:i w:val="0"/>
          <w:sz w:val="28"/>
        </w:rPr>
        <w:t>A Project Report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>on</w:t>
      </w:r>
    </w:p>
    <w:p>
      <w:pPr>
        <w:spacing w:before="0" w:after="320"/>
        <w:jc w:val="center"/>
      </w:pPr>
      <w:r>
        <w:rPr>
          <w:rFonts w:ascii="Arial" w:hAnsi="Arial" w:eastAsia="Arial"/>
          <w:b/>
          <w:i w:val="0"/>
          <w:sz w:val="32"/>
        </w:rPr>
        <w:t>Detection of Alphanumeric Handwritten Values using Fuzzy Logic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 xml:space="preserve">carried out as part of the </w:t>
      </w:r>
      <w:r>
        <w:rPr>
          <w:rFonts w:ascii="Calibri" w:hAnsi="Calibri"/>
          <w:b/>
          <w:i/>
          <w:sz w:val="22"/>
        </w:rPr>
        <w:t>Soft Computing Techniques (INT3141)</w:t>
      </w:r>
      <w:r>
        <w:rPr>
          <w:rFonts w:ascii="Calibri" w:hAnsi="Calibri"/>
          <w:b w:val="0"/>
          <w:i/>
          <w:sz w:val="22"/>
        </w:rPr>
        <w:t xml:space="preserve"> Submitted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 w:val="0"/>
          <w:sz w:val="22"/>
        </w:rPr>
        <w:t>by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Abhijay Shrivastava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2430030333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Aarush Dayal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2430030303</w:t>
      </w:r>
    </w:p>
    <w:p>
      <w:pPr>
        <w:spacing w:before="0" w:after="7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Section: Soft Computing D</w:t>
      </w:r>
    </w:p>
    <w:p>
      <w:pPr>
        <w:spacing w:before="0" w:after="480"/>
        <w:jc w:val="center"/>
      </w:pPr>
      <w:r>
        <w:rPr>
          <w:rFonts w:ascii="Calibri" w:hAnsi="Calibri" w:eastAsia="Calibri"/>
          <w:b w:val="0"/>
          <w:i/>
          <w:sz w:val="22"/>
        </w:rPr>
        <w:t>in partial fulfilment for the award of the degree of</w:t>
      </w:r>
    </w:p>
    <w:p>
      <w:pPr>
        <w:spacing w:before="0" w:after="280"/>
        <w:jc w:val="center"/>
      </w:pPr>
      <w:r>
        <w:rPr>
          <w:rFonts w:ascii="Calibri" w:hAnsi="Calibri" w:eastAsia="Calibri"/>
          <w:b/>
          <w:i w:val="0"/>
          <w:sz w:val="24"/>
        </w:rPr>
        <w:t>Bachelor of Technology</w:t>
      </w:r>
    </w:p>
    <w:p>
      <w:pPr>
        <w:spacing w:before="0" w:after="200"/>
        <w:jc w:val="center"/>
      </w:pPr>
      <w:r>
        <w:rPr>
          <w:rFonts w:ascii="Calibri" w:hAnsi="Calibri" w:eastAsia="Calibri"/>
          <w:b w:val="0"/>
          <w:i w:val="0"/>
          <w:sz w:val="22"/>
        </w:rPr>
        <w:t>in</w:t>
      </w:r>
    </w:p>
    <w:p>
      <w:pPr>
        <w:spacing w:before="0" w:after="200"/>
        <w:jc w:val="center"/>
      </w:pPr>
      <w:r>
        <w:rPr>
          <w:rFonts w:ascii="Calibri" w:hAnsi="Calibri" w:eastAsia="Calibri"/>
          <w:b/>
          <w:i w:val="0"/>
          <w:sz w:val="24"/>
        </w:rPr>
        <w:t>Information Technology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89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95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2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Department of Information Technology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MANIPAL UNIVERSITY JAIPUR</w:t>
      </w:r>
    </w:p>
    <w:p>
      <w:pPr>
        <w:spacing w:before="0" w:after="36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RAJASTHAN, INDIA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Oct 2026</w:t>
      </w:r>
    </w:p>
    <w:p>
      <w:pPr>
        <w:pageBreakBefore/>
      </w:pPr>
      <w:r>
        <w:t xml:space="preserve">Code repository: </w:t>
      </w:r>
      <w:hyperlink r:id="rId10">
        <w:r>
          <w:rPr>
            <w:color w:val="0563C1"/>
            <w:u w:val="single"/>
          </w:rPr>
          <w:t>https://github.com/Abhijay09/Softcomputing-project</w:t>
        </w:r>
      </w:hyperlink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>A video frame is a function I : {0,…,H−1} × {0,…,W−1} → {0,…,255}³ (colour image, H×W pixels; 480×640 for the laptop camera). The frame contains n ≥ 0 handwritten characters written in dark ink on a light background. Training data: a labelled set D = {(g_i, y_i)}, where g_i ∈ [0,1]^{28×28} is a grey-scale character image and y_i ∈ A is its label.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 ((c₁, ρ₁), …, (c_n, ρ_n)) where c_k ∈ A is the recognised character at position k (reading order: left to right, top to bottom) and ρ_k ∈ [0,100] is its fuzzy reliability in percent. The text output is the string s = c₁c₂…c_n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 M(x,y) ∈ {0,1}. Each 8-connected component of M whose area and height are within limits is a character candidate with bounding box b_k. Each candidate is resized to fit a 20×20 box (aspect ratio kept) and centred in a 28×28 image g_k – the same format as the training data.</w:t>
      </w:r>
    </w:p>
    <w:p>
      <w:r>
        <w:rPr>
          <w:b w:val="0"/>
          <w:i w:val="0"/>
        </w:rPr>
        <w:t>Step 2 – Feature vector. A feature map φ : [0,1]^{28×28} → [0,1]^{177} gives x = φ(g). The first 49 numbers are the average ink in each 4×4 block (ink-density zones); the other 128 are stroke-direction values: the image is cut into 4×4 cells and in each cell the gradient strength is added up in 8 orientation bins (0°–180°), then the whole vector is scaled to unit length.</w:t>
      </w:r>
    </w:p>
    <w:p>
      <w:r>
        <w:rPr>
          <w:b w:val="0"/>
          <w:i w:val="0"/>
        </w:rPr>
        <w:t>Step 3 – Fuzzy rule base. For every class k there are m = 4 fuzzy rules R_{k,r} (188 rules in total):</w:t>
      </w:r>
    </w:p>
    <w:p>
      <w:pPr>
        <w:jc w:val="center"/>
      </w:pPr>
      <w:r>
        <w:rPr>
          <w:rFonts w:ascii="Cambria Math" w:hAnsi="Cambria Math"/>
          <w:i/>
        </w:rPr>
        <w:t>R_{k,r}:  IF x₁ is ~c₁ AND x₂ is ~c₂ AND … AND x₁₇₇ is ~c₁₇₇  THEN class = k</w:t>
      </w:r>
    </w:p>
    <w:p>
      <w:r>
        <w:rPr>
          <w:b w:val="0"/>
          <w:i w:val="0"/>
        </w:rPr>
        <w:t>Each antecedent “x_j is ~c_j” is a Gaussian membership function μ_j(x_j) = exp(−(x_j − c_j)² / (2σ_j²)). 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rPr>
          <w:rFonts w:ascii="Cambria Math" w:hAnsi="Cambria Math"/>
          <w:i/>
        </w:rPr>
        <w:t>f_{k,r}(x) = ( Π_j μ_j(x_j) )^{1/177} = exp( −(1/177) Σ_j (x_j − c_j)² / (2σ_j²) )</w:t>
      </w:r>
    </w:p>
    <w:p>
      <w:r>
        <w:rPr>
          <w:b w:val="0"/>
          <w:i w:val="0"/>
        </w:rPr>
        <w:t>Rules of the same class are combined with OR = max, and the class membership is μ_k(x) = max_r f_{k,r}(x). Defuzzification (maximum-membership): ĉ = argmax_k μ_k(x). Strength s = μ_ĉ(x); gap γ = μ_ĉ(x) − (second largest μ_k(x)).</w:t>
      </w:r>
    </w:p>
    <w:p>
      <w:r>
        <w:rPr>
          <w:b w:val="0"/>
          <w:i w:val="0"/>
        </w:rPr>
        <w:t>Step 4 – Reliability controller (Mamdani). Inputs s ∈ [0,1] and γ ∈ [0,1] are fuzzified with triangular sets (Figure 4), nine IF-THEN rules (e.g. IF strength is HIGH AND gap is LARGE THEN reliability is HIGH) are evaluated with AND = min, clipped outputs are joined with max, and the centroid of the result gives ρ ∈ [0,100].</w:t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top-1 accuracy Acc = (1/N) Σ [ĉ(x_i) = y_i] on a held-out test set, and make ρ meaningful: samples with higher ρ should be recognised correctly more often. Secondary measure: top-3 accuracy (true class among the three largest μ_k).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62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62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EMNIST samples. Each row is one character class written by different people, so the same character varies a lot in shape and thickness.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u_{ik} ∈ [0,1], Σ_k u_{ik} = 1. FCM repeats two steps: (a) c_k = Σ u_{ik}² x_i / Σ u_{ik}²; (b) u_{ik} = 1 / Σ_l (d_{ik}/d_{il})². Each cluster becomes one rule: its centre gives c_j and the membership-weighted standard deviation gives σ_j. A floor of 0.3 × the overall standard deviation of feature j is applied, so a rule is never unrealistically narrow. The idea behind several rules per class is that one letter has several writing styles (e.g. 4 vs. open-top 4, 7 with or without a bar). Section 4.2 measures how much this actually helps.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37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the four fuzzy rules learned for the letter A (ink-zone part of each rule centre). The four rules turn out to be very similar to each other, which matches the experiment in Section 4.2 where extra rules help only a little.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077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077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077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</w:tr>
      <w:tr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  <w:tr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27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wind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the Tkinter application reading a still image (Open image… mode). In camera mode the left panel shows the live feed instead. Box colour = reliability level; the panel on the right lists the three best classes and their membership for each character.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pipeline on a sample image (characters taken from the EMNIST test set and placed on a paper-like background)</w:t>
      </w:r>
    </w:p>
    <w:p>
      <w:pPr>
        <w:pStyle w:val="Heading1"/>
      </w:pPr>
      <w:r>
        <w:t>4. Results (progress till date)</w:t>
      </w:r>
    </w:p>
    <w:p>
      <w:pPr>
        <w:pStyle w:val="Heading2"/>
      </w:pPr>
      <w:r>
        <w:t>4.1 Accuracy and reliability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154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154"/>
          </w:tcPr>
          <w:p>
            <w:r>
              <w:t>Top-1 accuracy (18,800 test images, 47 classes)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Top-3 accuracy</w:t>
            </w:r>
          </w:p>
        </w:tc>
        <w:tc>
          <w:tcPr>
            <w:tcW w:type="dxa" w:w="4154"/>
          </w:tcPr>
          <w:p>
            <w:r>
              <w:t>86.8%</w:t>
            </w:r>
          </w:p>
        </w:tc>
      </w:tr>
      <w:tr>
        <w:tc>
          <w:tcPr>
            <w:tcW w:type="dxa" w:w="4154"/>
          </w:tcPr>
          <w:p>
            <w:r>
              <w:t>Number of fuzzy rules</w:t>
            </w:r>
          </w:p>
        </w:tc>
        <w:tc>
          <w:tcPr>
            <w:tcW w:type="dxa" w:w="4154"/>
          </w:tcPr>
          <w:p>
            <w:r>
              <w:t>188</w:t>
            </w:r>
          </w:p>
        </w:tc>
      </w:tr>
      <w:tr>
        <w:tc>
          <w:tcPr>
            <w:tcW w:type="dxa" w:w="4154"/>
          </w:tcPr>
          <w:p>
            <w:r>
              <w:t>Random-guess baseline</w:t>
            </w:r>
          </w:p>
        </w:tc>
        <w:tc>
          <w:tcPr>
            <w:tcW w:type="dxa" w:w="4154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c>
          <w:tcPr>
            <w:tcW w:type="dxa" w:w="277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77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77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770"/>
          </w:tcPr>
          <w:p>
            <w:r>
              <w:t>LOW (&lt;35)</w:t>
            </w:r>
          </w:p>
        </w:tc>
        <w:tc>
          <w:tcPr>
            <w:tcW w:type="dxa" w:w="2770"/>
          </w:tcPr>
          <w:p>
            <w:r>
              <w:t>1096</w:t>
            </w:r>
          </w:p>
        </w:tc>
        <w:tc>
          <w:tcPr>
            <w:tcW w:type="dxa" w:w="2770"/>
          </w:tcPr>
          <w:p>
            <w:r>
              <w:t>28.6%</w:t>
            </w:r>
          </w:p>
        </w:tc>
      </w:tr>
      <w:tr>
        <w:tc>
          <w:tcPr>
            <w:tcW w:type="dxa" w:w="2770"/>
          </w:tcPr>
          <w:p>
            <w:r>
              <w:t>MEDIUM (35-65)</w:t>
            </w:r>
          </w:p>
        </w:tc>
        <w:tc>
          <w:tcPr>
            <w:tcW w:type="dxa" w:w="2770"/>
          </w:tcPr>
          <w:p>
            <w:r>
              <w:t>9661</w:t>
            </w:r>
          </w:p>
        </w:tc>
        <w:tc>
          <w:tcPr>
            <w:tcW w:type="dxa" w:w="2770"/>
          </w:tcPr>
          <w:p>
            <w:r>
              <w:t>51.5%</w:t>
            </w:r>
          </w:p>
        </w:tc>
      </w:tr>
      <w:tr>
        <w:tc>
          <w:tcPr>
            <w:tcW w:type="dxa" w:w="2770"/>
          </w:tcPr>
          <w:p>
            <w:r>
              <w:t>HIGH (&gt;=65)</w:t>
            </w:r>
          </w:p>
        </w:tc>
        <w:tc>
          <w:tcPr>
            <w:tcW w:type="dxa" w:w="2770"/>
          </w:tcPr>
          <w:p>
            <w:r>
              <w:t>8043</w:t>
            </w:r>
          </w:p>
        </w:tc>
        <w:tc>
          <w:tcPr>
            <w:tcW w:type="dxa" w:w="277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2"/>
      </w:pPr>
      <w:r>
        <w:t>4.2 Experiments: what actually matters?</w:t>
      </w:r>
    </w:p>
    <w:p>
      <w:r>
        <w:rPr>
          <w:b w:val="0"/>
          <w:i w:val="0"/>
        </w:rPr>
        <w:t>To understand which design choices matter, we changed one thing at a time and measured test accuracy.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Rules per class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1</w:t>
            </w:r>
          </w:p>
        </w:tc>
        <w:tc>
          <w:tcPr>
            <w:tcW w:type="dxa" w:w="4154"/>
          </w:tcPr>
          <w:p>
            <w:r>
              <w:t>65.9%</w:t>
            </w:r>
          </w:p>
        </w:tc>
      </w:tr>
      <w:tr>
        <w:tc>
          <w:tcPr>
            <w:tcW w:type="dxa" w:w="4154"/>
          </w:tcPr>
          <w:p>
            <w:r>
              <w:t>2</w:t>
            </w:r>
          </w:p>
        </w:tc>
        <w:tc>
          <w:tcPr>
            <w:tcW w:type="dxa" w:w="4154"/>
          </w:tcPr>
          <w:p>
            <w:r>
              <w:t>66.2%</w:t>
            </w:r>
          </w:p>
        </w:tc>
      </w:tr>
      <w:tr>
        <w:tc>
          <w:tcPr>
            <w:tcW w:type="dxa" w:w="4154"/>
          </w:tcPr>
          <w:p>
            <w:r>
              <w:t>4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8</w:t>
            </w:r>
          </w:p>
        </w:tc>
        <w:tc>
          <w:tcPr>
            <w:tcW w:type="dxa" w:w="4154"/>
          </w:tcPr>
          <w:p>
            <w:r>
              <w:t>66.5%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Features used (4 rules per class)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ink zones only (49)</w:t>
            </w:r>
          </w:p>
        </w:tc>
        <w:tc>
          <w:tcPr>
            <w:tcW w:type="dxa" w:w="4154"/>
          </w:tcPr>
          <w:p>
            <w:r>
              <w:t>50.2%</w:t>
            </w:r>
          </w:p>
        </w:tc>
      </w:tr>
      <w:tr>
        <w:tc>
          <w:tcPr>
            <w:tcW w:type="dxa" w:w="4154"/>
          </w:tcPr>
          <w:p>
            <w:r>
              <w:t>stroke directions only (128)</w:t>
            </w:r>
          </w:p>
        </w:tc>
        <w:tc>
          <w:tcPr>
            <w:tcW w:type="dxa" w:w="4154"/>
          </w:tcPr>
          <w:p>
            <w:r>
              <w:t>65.5%</w:t>
            </w:r>
          </w:p>
        </w:tc>
      </w:tr>
      <w:tr>
        <w:tc>
          <w:tcPr>
            <w:tcW w:type="dxa" w:w="4154"/>
          </w:tcPr>
          <w:p>
            <w:r>
              <w:t>both (177)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3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9: effect of the number of rules and of the feature type</w:t>
      </w:r>
    </w:p>
    <w:p>
      <w:r>
        <w:rPr>
          <w:b w:val="0"/>
          <w:i w:val="0"/>
        </w:rPr>
        <w:t>Findings. (1) The stroke-direction features carry most of the information: using them alone gives 65.5%, while the ink zones alone give only 50.2%. Adding the ink zones to the directions improves the result slightly. (2) More rules per class helps only a little (65.9% with one rule, 66.5% with eight), so the limit is the feature description and the simple Gaussian membership form, not the number of writing styles. We kept 4 rules per class as a compromise between accuracy and the size of the rule base. These findings point to where improvement should come from next (better features, tuned membership widths).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Abhijay09/Softcomputing-project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