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97656" w14:textId="77777777" w:rsidR="002842BE" w:rsidRDefault="00000000">
      <w:pPr>
        <w:jc w:val="center"/>
        <w:rPr>
          <w:rFonts w:hint="eastAsia"/>
        </w:rPr>
      </w:pPr>
      <w:r>
        <w:rPr>
          <w:b/>
          <w:color w:val="17365D"/>
          <w:sz w:val="44"/>
        </w:rPr>
        <w:t>FLATKART</w:t>
      </w:r>
    </w:p>
    <w:p w14:paraId="3D8D8025" w14:textId="77777777" w:rsidR="002842BE" w:rsidRDefault="00000000">
      <w:pPr>
        <w:jc w:val="center"/>
        <w:rPr>
          <w:rFonts w:hint="eastAsia"/>
        </w:rPr>
      </w:pPr>
      <w:r>
        <w:rPr>
          <w:b/>
          <w:color w:val="44546A"/>
          <w:sz w:val="30"/>
        </w:rPr>
        <w:t>Return, Refund &amp; Cancellation Policy</w:t>
      </w:r>
    </w:p>
    <w:tbl>
      <w:tblPr>
        <w:tblStyle w:val="TableGrid"/>
        <w:tblW w:w="0" w:type="auto"/>
        <w:jc w:val="center"/>
        <w:tblLook w:val="04A0" w:firstRow="1" w:lastRow="0" w:firstColumn="1" w:lastColumn="0" w:noHBand="0" w:noVBand="1"/>
      </w:tblPr>
      <w:tblGrid>
        <w:gridCol w:w="4939"/>
        <w:gridCol w:w="4939"/>
      </w:tblGrid>
      <w:tr w:rsidR="002842BE" w14:paraId="17BF7A34" w14:textId="77777777">
        <w:trPr>
          <w:jc w:val="center"/>
        </w:trPr>
        <w:tc>
          <w:tcPr>
            <w:tcW w:w="4939" w:type="dxa"/>
            <w:shd w:val="clear" w:color="auto" w:fill="EAF0F8"/>
            <w:vAlign w:val="center"/>
          </w:tcPr>
          <w:p w14:paraId="7879E4CA" w14:textId="77777777" w:rsidR="002842BE" w:rsidRDefault="00000000">
            <w:pPr>
              <w:spacing w:after="20"/>
              <w:rPr>
                <w:rFonts w:hint="eastAsia"/>
              </w:rPr>
            </w:pPr>
            <w:r>
              <w:rPr>
                <w:b/>
                <w:color w:val="17365D"/>
                <w:sz w:val="18"/>
              </w:rPr>
              <w:t>Document ID</w:t>
            </w:r>
          </w:p>
        </w:tc>
        <w:tc>
          <w:tcPr>
            <w:tcW w:w="4939" w:type="dxa"/>
            <w:vAlign w:val="center"/>
          </w:tcPr>
          <w:p w14:paraId="774B1DB4" w14:textId="77777777" w:rsidR="002842BE" w:rsidRDefault="00000000">
            <w:pPr>
              <w:spacing w:after="20"/>
              <w:rPr>
                <w:rFonts w:hint="eastAsia"/>
              </w:rPr>
            </w:pPr>
            <w:r>
              <w:rPr>
                <w:sz w:val="18"/>
              </w:rPr>
              <w:t>FK-CX-RFD-002</w:t>
            </w:r>
          </w:p>
        </w:tc>
      </w:tr>
      <w:tr w:rsidR="002842BE" w14:paraId="2B1CDBC0" w14:textId="77777777">
        <w:trPr>
          <w:jc w:val="center"/>
        </w:trPr>
        <w:tc>
          <w:tcPr>
            <w:tcW w:w="4939" w:type="dxa"/>
            <w:shd w:val="clear" w:color="auto" w:fill="EAF0F8"/>
            <w:vAlign w:val="center"/>
          </w:tcPr>
          <w:p w14:paraId="27BFE174" w14:textId="77777777" w:rsidR="002842BE" w:rsidRDefault="00000000">
            <w:pPr>
              <w:spacing w:after="20"/>
              <w:rPr>
                <w:rFonts w:hint="eastAsia"/>
              </w:rPr>
            </w:pPr>
            <w:r>
              <w:rPr>
                <w:b/>
                <w:color w:val="17365D"/>
                <w:sz w:val="18"/>
              </w:rPr>
              <w:t>Version</w:t>
            </w:r>
          </w:p>
        </w:tc>
        <w:tc>
          <w:tcPr>
            <w:tcW w:w="4939" w:type="dxa"/>
            <w:vAlign w:val="center"/>
          </w:tcPr>
          <w:p w14:paraId="0738DA56" w14:textId="77777777" w:rsidR="002842BE" w:rsidRDefault="00000000">
            <w:pPr>
              <w:spacing w:after="20"/>
              <w:rPr>
                <w:rFonts w:hint="eastAsia"/>
              </w:rPr>
            </w:pPr>
            <w:r>
              <w:rPr>
                <w:sz w:val="18"/>
              </w:rPr>
              <w:t>1.0</w:t>
            </w:r>
          </w:p>
        </w:tc>
      </w:tr>
      <w:tr w:rsidR="002842BE" w14:paraId="7FEC7AB1" w14:textId="77777777">
        <w:trPr>
          <w:jc w:val="center"/>
        </w:trPr>
        <w:tc>
          <w:tcPr>
            <w:tcW w:w="4939" w:type="dxa"/>
            <w:shd w:val="clear" w:color="auto" w:fill="EAF0F8"/>
            <w:vAlign w:val="center"/>
          </w:tcPr>
          <w:p w14:paraId="0D272BAC" w14:textId="77777777" w:rsidR="002842BE" w:rsidRDefault="00000000">
            <w:pPr>
              <w:spacing w:after="20"/>
              <w:rPr>
                <w:rFonts w:hint="eastAsia"/>
              </w:rPr>
            </w:pPr>
            <w:r>
              <w:rPr>
                <w:b/>
                <w:color w:val="17365D"/>
                <w:sz w:val="18"/>
              </w:rPr>
              <w:t>Owner</w:t>
            </w:r>
          </w:p>
        </w:tc>
        <w:tc>
          <w:tcPr>
            <w:tcW w:w="4939" w:type="dxa"/>
            <w:vAlign w:val="center"/>
          </w:tcPr>
          <w:p w14:paraId="32C30D92" w14:textId="77777777" w:rsidR="002842BE" w:rsidRDefault="00000000">
            <w:pPr>
              <w:spacing w:after="20"/>
              <w:rPr>
                <w:rFonts w:hint="eastAsia"/>
              </w:rPr>
            </w:pPr>
            <w:r>
              <w:rPr>
                <w:sz w:val="18"/>
              </w:rPr>
              <w:t>Customer Experience Operations</w:t>
            </w:r>
          </w:p>
        </w:tc>
      </w:tr>
      <w:tr w:rsidR="002842BE" w14:paraId="4AE9A951" w14:textId="77777777">
        <w:trPr>
          <w:jc w:val="center"/>
        </w:trPr>
        <w:tc>
          <w:tcPr>
            <w:tcW w:w="4939" w:type="dxa"/>
            <w:shd w:val="clear" w:color="auto" w:fill="EAF0F8"/>
            <w:vAlign w:val="center"/>
          </w:tcPr>
          <w:p w14:paraId="2E2BE4A5" w14:textId="77777777" w:rsidR="002842BE" w:rsidRDefault="00000000">
            <w:pPr>
              <w:spacing w:after="20"/>
              <w:rPr>
                <w:rFonts w:hint="eastAsia"/>
              </w:rPr>
            </w:pPr>
            <w:r>
              <w:rPr>
                <w:b/>
                <w:color w:val="17365D"/>
                <w:sz w:val="18"/>
              </w:rPr>
              <w:t>Effective date</w:t>
            </w:r>
          </w:p>
        </w:tc>
        <w:tc>
          <w:tcPr>
            <w:tcW w:w="4939" w:type="dxa"/>
            <w:vAlign w:val="center"/>
          </w:tcPr>
          <w:p w14:paraId="64EF49A8" w14:textId="77777777" w:rsidR="002842BE" w:rsidRDefault="00000000">
            <w:pPr>
              <w:spacing w:after="20"/>
              <w:rPr>
                <w:rFonts w:hint="eastAsia"/>
              </w:rPr>
            </w:pPr>
            <w:r>
              <w:rPr>
                <w:sz w:val="18"/>
              </w:rPr>
              <w:t>12 October 2026</w:t>
            </w:r>
          </w:p>
        </w:tc>
      </w:tr>
      <w:tr w:rsidR="002842BE" w14:paraId="0EF74EA6" w14:textId="77777777">
        <w:trPr>
          <w:jc w:val="center"/>
        </w:trPr>
        <w:tc>
          <w:tcPr>
            <w:tcW w:w="4939" w:type="dxa"/>
            <w:shd w:val="clear" w:color="auto" w:fill="EAF0F8"/>
            <w:vAlign w:val="center"/>
          </w:tcPr>
          <w:p w14:paraId="011168DD" w14:textId="77777777" w:rsidR="002842BE" w:rsidRDefault="00000000">
            <w:pPr>
              <w:spacing w:after="20"/>
              <w:rPr>
                <w:rFonts w:hint="eastAsia"/>
              </w:rPr>
            </w:pPr>
            <w:r>
              <w:rPr>
                <w:b/>
                <w:color w:val="17365D"/>
                <w:sz w:val="18"/>
              </w:rPr>
              <w:t>Review date</w:t>
            </w:r>
          </w:p>
        </w:tc>
        <w:tc>
          <w:tcPr>
            <w:tcW w:w="4939" w:type="dxa"/>
            <w:vAlign w:val="center"/>
          </w:tcPr>
          <w:p w14:paraId="13F090FF" w14:textId="77777777" w:rsidR="002842BE" w:rsidRDefault="00000000">
            <w:pPr>
              <w:spacing w:after="20"/>
              <w:rPr>
                <w:rFonts w:hint="eastAsia"/>
              </w:rPr>
            </w:pPr>
            <w:r>
              <w:rPr>
                <w:sz w:val="18"/>
              </w:rPr>
              <w:t>12 April 2027</w:t>
            </w:r>
          </w:p>
        </w:tc>
      </w:tr>
      <w:tr w:rsidR="002842BE" w14:paraId="2F355BFB" w14:textId="77777777">
        <w:trPr>
          <w:jc w:val="center"/>
        </w:trPr>
        <w:tc>
          <w:tcPr>
            <w:tcW w:w="4939" w:type="dxa"/>
            <w:shd w:val="clear" w:color="auto" w:fill="EAF0F8"/>
            <w:vAlign w:val="center"/>
          </w:tcPr>
          <w:p w14:paraId="4090E446" w14:textId="77777777" w:rsidR="002842BE" w:rsidRDefault="00000000">
            <w:pPr>
              <w:spacing w:after="20"/>
              <w:rPr>
                <w:rFonts w:hint="eastAsia"/>
              </w:rPr>
            </w:pPr>
            <w:r>
              <w:rPr>
                <w:b/>
                <w:color w:val="17365D"/>
                <w:sz w:val="18"/>
              </w:rPr>
              <w:t>Classification</w:t>
            </w:r>
          </w:p>
        </w:tc>
        <w:tc>
          <w:tcPr>
            <w:tcW w:w="4939" w:type="dxa"/>
            <w:vAlign w:val="center"/>
          </w:tcPr>
          <w:p w14:paraId="119228D6" w14:textId="77777777" w:rsidR="002842BE" w:rsidRDefault="00000000">
            <w:pPr>
              <w:spacing w:after="20"/>
              <w:rPr>
                <w:rFonts w:hint="eastAsia"/>
              </w:rPr>
            </w:pPr>
            <w:r>
              <w:rPr>
                <w:sz w:val="18"/>
              </w:rPr>
              <w:t>Customer-facing policy draft</w:t>
            </w:r>
          </w:p>
        </w:tc>
      </w:tr>
    </w:tbl>
    <w:p w14:paraId="2D16758A" w14:textId="77777777" w:rsidR="002842BE" w:rsidRDefault="002842BE">
      <w:pPr>
        <w:rPr>
          <w:rFonts w:hint="eastAsia"/>
        </w:rPr>
      </w:pPr>
    </w:p>
    <w:p w14:paraId="51A8024D" w14:textId="77777777" w:rsidR="002842BE" w:rsidRDefault="00000000">
      <w:pPr>
        <w:spacing w:after="200"/>
        <w:rPr>
          <w:rFonts w:hint="eastAsia"/>
        </w:rPr>
      </w:pPr>
      <w:r>
        <w:rPr>
          <w:b/>
          <w:color w:val="8A3B12"/>
          <w:sz w:val="17"/>
        </w:rPr>
        <w:t>SIMULATION DOCUMENT — Fictional company, policies, contacts, timelines, and examples created for RAG-system testing. Not an actual company policy or legal advice.</w:t>
      </w:r>
    </w:p>
    <w:p w14:paraId="356D35A4" w14:textId="77777777" w:rsidR="002842BE" w:rsidRDefault="00000000">
      <w:pPr>
        <w:pStyle w:val="Heading1"/>
      </w:pPr>
      <w:r>
        <w:t>1. Policy summary</w:t>
      </w:r>
    </w:p>
    <w:p w14:paraId="39AF9D1C" w14:textId="77777777" w:rsidR="002842BE" w:rsidRDefault="00000000">
      <w:pPr>
        <w:rPr>
          <w:rFonts w:hint="eastAsia"/>
        </w:rPr>
      </w:pPr>
      <w:r>
        <w:t>Flatkart aims to make eligible returns and refunds predictable. This document is a fictional policy for a RAG demonstration. The rules below should be treated as the single source of truth for this simulated knowledge base.</w:t>
      </w:r>
    </w:p>
    <w:p w14:paraId="212B0E6B" w14:textId="77777777" w:rsidR="002842BE" w:rsidRDefault="00000000">
      <w:pPr>
        <w:rPr>
          <w:rFonts w:hint="eastAsia"/>
        </w:rPr>
      </w:pPr>
      <w:r>
        <w:t>Standard return window: 7 calendar days from carrier-confirmed delivery, unless a product page states a different eligible window or applicable law provides otherwise. Refund processing target: 5–7 business days after the returned item is received and the refund is approved. Banks, card issuers, wallets, and payment providers may take additional time to post the credit.</w:t>
      </w:r>
    </w:p>
    <w:p w14:paraId="0BD4F125" w14:textId="77777777" w:rsidR="002842BE" w:rsidRDefault="00000000">
      <w:pPr>
        <w:pStyle w:val="Heading1"/>
      </w:pPr>
      <w:r>
        <w:t>2. When a return may be requested</w:t>
      </w:r>
    </w:p>
    <w:p w14:paraId="0333DCDB" w14:textId="77777777" w:rsidR="002842BE" w:rsidRDefault="00000000">
      <w:pPr>
        <w:rPr>
          <w:rFonts w:hint="eastAsia"/>
        </w:rPr>
      </w:pPr>
      <w:r>
        <w:t>A return may be requested for an item that is damaged on arrival, materially defective, incorrect, missing an essential component, or otherwise eligible under the product page's stated terms. Change-of-mind returns are available only for categories and products explicitly marked eligible at the time of purchase.</w:t>
      </w:r>
    </w:p>
    <w:p w14:paraId="77AC6AD0" w14:textId="77777777" w:rsidR="002842BE" w:rsidRDefault="00000000">
      <w:pPr>
        <w:rPr>
          <w:rFonts w:hint="eastAsia"/>
        </w:rPr>
      </w:pPr>
      <w:r>
        <w:t>Items generally must be returned in a condition consistent with the approved reason, with accessories, manuals, tags, and packaging where reasonably available. Customers should not return a different item, an item with altered serial identifiers, or an item that has been repaired or modified without authorization.</w:t>
      </w:r>
    </w:p>
    <w:p w14:paraId="2C8AA2AE" w14:textId="77777777" w:rsidR="002842BE" w:rsidRDefault="00000000">
      <w:pPr>
        <w:rPr>
          <w:rFonts w:hint="eastAsia"/>
        </w:rPr>
      </w:pPr>
      <w:r>
        <w:t>Opened hygiene-sealed goods, perishable goods, activated digital products, gift cards, and made-to-order items are normally excluded from change-of-mind returns. A wrong, damaged, defective, or legally protected claim may still be reviewed.</w:t>
      </w:r>
    </w:p>
    <w:p w14:paraId="5D8FB404" w14:textId="77777777" w:rsidR="002842BE" w:rsidRDefault="00000000">
      <w:pPr>
        <w:pStyle w:val="Heading1"/>
      </w:pPr>
      <w:r>
        <w:t>3. How to request a return</w:t>
      </w:r>
    </w:p>
    <w:p w14:paraId="6CF9F03E" w14:textId="77777777" w:rsidR="002842BE" w:rsidRDefault="00000000">
      <w:pPr>
        <w:rPr>
          <w:rFonts w:hint="eastAsia"/>
        </w:rPr>
      </w:pPr>
      <w:r>
        <w:t>Step 1: Open the order in the Flatkart account or contact support using the contact details shown on the official website/order confirmation.</w:t>
      </w:r>
    </w:p>
    <w:p w14:paraId="4B825EDA" w14:textId="77777777" w:rsidR="002842BE" w:rsidRDefault="00000000">
      <w:pPr>
        <w:rPr>
          <w:rFonts w:hint="eastAsia"/>
        </w:rPr>
      </w:pPr>
      <w:r>
        <w:t>Step 2: Select the item, choose the closest reason, and provide a short description. Attach clear photos when the issue is visible or support reasonably needs evidence.</w:t>
      </w:r>
    </w:p>
    <w:p w14:paraId="637DB36D" w14:textId="77777777" w:rsidR="002842BE" w:rsidRDefault="00000000">
      <w:pPr>
        <w:rPr>
          <w:rFonts w:hint="eastAsia"/>
        </w:rPr>
      </w:pPr>
      <w:r>
        <w:t>Step 3: Wait for an authorization and instructions. Do not dispatch the item before receiving return instructions unless support expressly advises otherwise.</w:t>
      </w:r>
    </w:p>
    <w:p w14:paraId="68593B74" w14:textId="77777777" w:rsidR="002842BE" w:rsidRDefault="00000000">
      <w:pPr>
        <w:rPr>
          <w:rFonts w:hint="eastAsia"/>
        </w:rPr>
      </w:pPr>
      <w:r>
        <w:t>Step 4: Pack the approved item securely and use the pickup or return method provided. Keep the pickup receipt or tracking number until the case is closed.</w:t>
      </w:r>
    </w:p>
    <w:p w14:paraId="424ACFB2" w14:textId="77777777" w:rsidR="002842BE" w:rsidRDefault="00000000">
      <w:pPr>
        <w:rPr>
          <w:rFonts w:hint="eastAsia"/>
        </w:rPr>
      </w:pPr>
      <w:r>
        <w:t>Step 5: Flatkart checks the received item against the approved reason and sends a status update.</w:t>
      </w:r>
    </w:p>
    <w:p w14:paraId="4B0EB17C" w14:textId="77777777" w:rsidR="002842BE" w:rsidRDefault="00000000">
      <w:pPr>
        <w:pStyle w:val="Heading1"/>
      </w:pPr>
      <w:r>
        <w:lastRenderedPageBreak/>
        <w:t>4. Refund timelines and methods</w:t>
      </w:r>
    </w:p>
    <w:p w14:paraId="0DBBC960" w14:textId="08C8DC38" w:rsidR="002842BE" w:rsidRDefault="00000000">
      <w:pPr>
        <w:rPr>
          <w:rFonts w:hint="eastAsia"/>
        </w:rPr>
      </w:pPr>
      <w:r>
        <w:t xml:space="preserve">Once a return is received and the refund is approved, Flatkart's processing target is </w:t>
      </w:r>
      <w:r w:rsidR="00DA16F6">
        <w:t>10</w:t>
      </w:r>
      <w:r>
        <w:t>–</w:t>
      </w:r>
      <w:r w:rsidR="00DA16F6">
        <w:t>12</w:t>
      </w:r>
      <w:r>
        <w:t xml:space="preserve"> business days. Business days exclude Sundays and public holidays observed by the relevant processing team. This is a processing target, not a guarantee of the time a bank or payment provider will display the funds.</w:t>
      </w:r>
    </w:p>
    <w:p w14:paraId="78292DDB" w14:textId="77777777" w:rsidR="002842BE" w:rsidRDefault="00000000">
      <w:pPr>
        <w:rPr>
          <w:rFonts w:hint="eastAsia"/>
        </w:rPr>
      </w:pPr>
      <w:r>
        <w:t>Refunds are normally sent to the original payment method. Cash-on-delivery orders may be refunded through a verified bank account or another method supported by the refund workflow. Support must never ask a customer to disclose a UPI PIN, banking password, card PIN, CVV, or one-time password to issue a refund.</w:t>
      </w:r>
    </w:p>
    <w:p w14:paraId="5ED11D6C" w14:textId="77777777" w:rsidR="002842BE" w:rsidRDefault="00000000">
      <w:pPr>
        <w:rPr>
          <w:rFonts w:hint="eastAsia"/>
        </w:rPr>
      </w:pPr>
      <w:r>
        <w:t>If a refund has not appeared after 7 business days from the approval notice, support should verify the refund reference and processing status. If Flatkart confirms that the payment provider has accepted the refund, the customer may be advised to contact the bank or provider with the reference number.</w:t>
      </w:r>
    </w:p>
    <w:p w14:paraId="1762A39C" w14:textId="77777777" w:rsidR="002842BE" w:rsidRDefault="00000000">
      <w:pPr>
        <w:pStyle w:val="Heading1"/>
      </w:pPr>
      <w:r>
        <w:t>5. Cancellation rules</w:t>
      </w:r>
    </w:p>
    <w:p w14:paraId="3E2B5650" w14:textId="77777777" w:rsidR="002842BE" w:rsidRDefault="00000000">
      <w:pPr>
        <w:rPr>
          <w:rFonts w:hint="eastAsia"/>
        </w:rPr>
      </w:pPr>
      <w:r>
        <w:t>An order may be cancelled before it enters dispatch processing, subject to the order status. Once handed to the carrier, cancellation may no longer be possible; the customer may need to use the return process after delivery.</w:t>
      </w:r>
    </w:p>
    <w:p w14:paraId="1F9B0F36" w14:textId="77777777" w:rsidR="002842BE" w:rsidRDefault="00000000">
      <w:pPr>
        <w:rPr>
          <w:rFonts w:hint="eastAsia"/>
        </w:rPr>
      </w:pPr>
      <w:r>
        <w:t>If payment was captured for an order cancelled before dispatch, the refund follows the same 5–7 business-day Flatkart processing target after cancellation confirmation. A pending authorization that was never captured may simply expire according to the payment provider's rules.</w:t>
      </w:r>
    </w:p>
    <w:p w14:paraId="1AA33D6C" w14:textId="77777777" w:rsidR="002842BE" w:rsidRDefault="00000000">
      <w:pPr>
        <w:rPr>
          <w:rFonts w:hint="eastAsia"/>
        </w:rPr>
      </w:pPr>
      <w:r>
        <w:t>Promotional discounts, coupon usage, shipping charges, and partial cancellations are recalculated according to the offer terms displayed at checkout. Support should explain the calculation rather than promise a fixed refund amount without checking the order.</w:t>
      </w:r>
    </w:p>
    <w:p w14:paraId="0378118F" w14:textId="77777777" w:rsidR="002842BE" w:rsidRDefault="00000000">
      <w:pPr>
        <w:pStyle w:val="Heading1"/>
      </w:pPr>
      <w:r>
        <w:t>6. Return shipping and inspection</w:t>
      </w:r>
    </w:p>
    <w:p w14:paraId="30464CB4" w14:textId="77777777" w:rsidR="002842BE" w:rsidRDefault="00000000">
      <w:pPr>
        <w:rPr>
          <w:rFonts w:hint="eastAsia"/>
        </w:rPr>
      </w:pPr>
      <w:r>
        <w:t>For an approved damaged, defective, or incorrect-item claim, Flatkart normally arranges or reimburses the standard return method specified in the case instructions. For an eligible change-of-mind return, any return fee must be disclosed before the customer confirms the return.</w:t>
      </w:r>
    </w:p>
    <w:p w14:paraId="13F9603F" w14:textId="77777777" w:rsidR="002842BE" w:rsidRDefault="00000000">
      <w:pPr>
        <w:rPr>
          <w:rFonts w:hint="eastAsia"/>
        </w:rPr>
      </w:pPr>
      <w:r>
        <w:t>Inspection may result in approval, an alternative remedy, or rejection with a recorded reason. If an item is rejected, support must provide the reason and explain how the customer can request a review. Items must not be disposed of or resold while a complaint or required review is active.</w:t>
      </w:r>
    </w:p>
    <w:p w14:paraId="60EE15F8" w14:textId="77777777" w:rsidR="002842BE" w:rsidRDefault="00000000">
      <w:pPr>
        <w:pStyle w:val="Heading1"/>
      </w:pPr>
      <w:r>
        <w:t>7. Escalations and exceptions</w:t>
      </w:r>
    </w:p>
    <w:p w14:paraId="28CDB711" w14:textId="77777777" w:rsidR="002842BE" w:rsidRDefault="00000000">
      <w:pPr>
        <w:rPr>
          <w:rFonts w:hint="eastAsia"/>
        </w:rPr>
      </w:pPr>
      <w:r>
        <w:t>Customers who disagree with a return decision may ask for a supervisor review through the complaint channel. The reviewer should examine the order status, delivery record, photos, product-page terms, prior communication, and applicable law.</w:t>
      </w:r>
    </w:p>
    <w:p w14:paraId="76F4D732" w14:textId="77777777" w:rsidR="002842BE" w:rsidRDefault="00000000">
      <w:pPr>
        <w:rPr>
          <w:rFonts w:hint="eastAsia"/>
        </w:rPr>
      </w:pPr>
      <w:r>
        <w:t>Nothing in this sample policy removes a right that cannot lawfully be excluded. Where a mandatory legal requirement conflicts with this draft, the legal requirement takes precedence.</w:t>
      </w:r>
    </w:p>
    <w:p w14:paraId="29F09911" w14:textId="77777777" w:rsidR="002842BE" w:rsidRDefault="00000000">
      <w:pPr>
        <w:pStyle w:val="Heading1"/>
      </w:pPr>
      <w:r>
        <w:t>8. Worked examples</w:t>
      </w:r>
    </w:p>
    <w:p w14:paraId="0E2CFD6A" w14:textId="77777777" w:rsidR="002842BE" w:rsidRDefault="00000000">
      <w:pPr>
        <w:rPr>
          <w:rFonts w:hint="eastAsia"/>
        </w:rPr>
      </w:pPr>
      <w:r>
        <w:t>Example A: A defective item is returned, received, and approved on Monday. Flatkart's 5–7 business-day processing target starts after approval; the customer's bank may post the credit later.</w:t>
      </w:r>
    </w:p>
    <w:p w14:paraId="6F0295FC" w14:textId="77777777" w:rsidR="002842BE" w:rsidRDefault="00000000">
      <w:pPr>
        <w:rPr>
          <w:rFonts w:hint="eastAsia"/>
        </w:rPr>
      </w:pPr>
      <w:r>
        <w:t>Example B: A customer requests cancellation after the package has been handed to the carrier. Support explains that cancellation may no longer be available and provides the post-delivery return route.</w:t>
      </w:r>
    </w:p>
    <w:p w14:paraId="5140D384" w14:textId="77777777" w:rsidR="002842BE" w:rsidRDefault="00000000">
      <w:pPr>
        <w:rPr>
          <w:rFonts w:hint="eastAsia"/>
        </w:rPr>
      </w:pPr>
      <w:r>
        <w:t>Example C: A customer requests a change-of-mind return for an opened hygiene-sealed product. The request is normally excluded, but a claim that the wrong product was delivered should still be reviewed.</w:t>
      </w:r>
    </w:p>
    <w:p w14:paraId="3EFF493E" w14:textId="77777777" w:rsidR="002842BE" w:rsidRDefault="00000000">
      <w:pPr>
        <w:rPr>
          <w:rFonts w:hint="eastAsia"/>
        </w:rPr>
      </w:pPr>
      <w:r>
        <w:lastRenderedPageBreak/>
        <w:t>Example D: A customer reports that a refund is late. Support checks the approval date and refund reference before asking the customer to contact the payment provider.</w:t>
      </w:r>
    </w:p>
    <w:p w14:paraId="62A9A4A4" w14:textId="77777777" w:rsidR="002842BE" w:rsidRDefault="00000000">
      <w:pPr>
        <w:pStyle w:val="Heading1"/>
      </w:pPr>
      <w:r>
        <w:t>9. Related documents</w:t>
      </w:r>
    </w:p>
    <w:p w14:paraId="211E0E9B" w14:textId="77777777" w:rsidR="002842BE" w:rsidRDefault="00000000">
      <w:pPr>
        <w:rPr>
          <w:rFonts w:hint="eastAsia"/>
        </w:rPr>
      </w:pPr>
      <w:r>
        <w:t>Product Catalogue &amp; Replacement Eligibility Standard; Shipping, Delivery &amp; Order Tracking Policy; Customer Support &amp; Complaint Escalation SOP; Payments, Pricing &amp; Offers Policy; Flatkart Terms &amp; Conditions.</w:t>
      </w:r>
    </w:p>
    <w:p w14:paraId="192320C9" w14:textId="77777777" w:rsidR="002842BE" w:rsidRDefault="002842BE">
      <w:pPr>
        <w:rPr>
          <w:rFonts w:hint="eastAsia"/>
        </w:rPr>
      </w:pPr>
    </w:p>
    <w:p w14:paraId="73AD75A4" w14:textId="77777777" w:rsidR="002842BE" w:rsidRDefault="00000000">
      <w:pPr>
        <w:rPr>
          <w:rFonts w:hint="eastAsia"/>
        </w:rPr>
      </w:pPr>
      <w:r>
        <w:rPr>
          <w:i/>
          <w:color w:val="646464"/>
          <w:sz w:val="16"/>
        </w:rPr>
        <w:t>Document control: Version 1.0 • Prepared for internal RAG ingestion and testing • Review before real-world use.</w:t>
      </w:r>
    </w:p>
    <w:sectPr w:rsidR="002842BE"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5B383" w14:textId="77777777" w:rsidR="005A2005" w:rsidRDefault="005A2005">
      <w:pPr>
        <w:spacing w:after="0" w:line="240" w:lineRule="auto"/>
        <w:rPr>
          <w:rFonts w:hint="eastAsia"/>
        </w:rPr>
      </w:pPr>
      <w:r>
        <w:separator/>
      </w:r>
    </w:p>
  </w:endnote>
  <w:endnote w:type="continuationSeparator" w:id="0">
    <w:p w14:paraId="1BF832A1" w14:textId="77777777" w:rsidR="005A2005" w:rsidRDefault="005A20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1F63" w14:textId="77777777" w:rsidR="002842BE" w:rsidRDefault="00000000">
    <w:pPr>
      <w:pStyle w:val="Footer"/>
      <w:jc w:val="center"/>
      <w:rPr>
        <w:rFonts w:hint="eastAsia"/>
      </w:rPr>
    </w:pPr>
    <w:r>
      <w:rPr>
        <w:color w:val="8A3B12"/>
        <w:sz w:val="16"/>
      </w:rPr>
      <w:t>SIMULATION DOCUMENT — NOT AN ACTUAL COMPANY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CC1AC" w14:textId="77777777" w:rsidR="005A2005" w:rsidRDefault="005A2005">
      <w:pPr>
        <w:spacing w:after="0" w:line="240" w:lineRule="auto"/>
        <w:rPr>
          <w:rFonts w:hint="eastAsia"/>
        </w:rPr>
      </w:pPr>
      <w:r>
        <w:separator/>
      </w:r>
    </w:p>
  </w:footnote>
  <w:footnote w:type="continuationSeparator" w:id="0">
    <w:p w14:paraId="61C0355F" w14:textId="77777777" w:rsidR="005A2005" w:rsidRDefault="005A200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AB17" w14:textId="77777777" w:rsidR="002842BE" w:rsidRDefault="00000000">
    <w:pPr>
      <w:pStyle w:val="Header"/>
      <w:jc w:val="right"/>
      <w:rPr>
        <w:rFonts w:hint="eastAsia"/>
      </w:rPr>
    </w:pPr>
    <w:r>
      <w:rPr>
        <w:color w:val="646464"/>
        <w:sz w:val="16"/>
      </w:rPr>
      <w:t>FLATKART  |  CUSTOMER OPERATIONS / POLICY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256139">
    <w:abstractNumId w:val="8"/>
  </w:num>
  <w:num w:numId="2" w16cid:durableId="162398628">
    <w:abstractNumId w:val="6"/>
  </w:num>
  <w:num w:numId="3" w16cid:durableId="1980304640">
    <w:abstractNumId w:val="5"/>
  </w:num>
  <w:num w:numId="4" w16cid:durableId="739060721">
    <w:abstractNumId w:val="4"/>
  </w:num>
  <w:num w:numId="5" w16cid:durableId="1817142149">
    <w:abstractNumId w:val="7"/>
  </w:num>
  <w:num w:numId="6" w16cid:durableId="101073844">
    <w:abstractNumId w:val="3"/>
  </w:num>
  <w:num w:numId="7" w16cid:durableId="1605307821">
    <w:abstractNumId w:val="2"/>
  </w:num>
  <w:num w:numId="8" w16cid:durableId="307519362">
    <w:abstractNumId w:val="1"/>
  </w:num>
  <w:num w:numId="9" w16cid:durableId="198249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2BE"/>
    <w:rsid w:val="0029639D"/>
    <w:rsid w:val="00326F90"/>
    <w:rsid w:val="005A2005"/>
    <w:rsid w:val="0074103C"/>
    <w:rsid w:val="00AA1D8D"/>
    <w:rsid w:val="00B47730"/>
    <w:rsid w:val="00CB0664"/>
    <w:rsid w:val="00DA16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CE42B"/>
  <w14:defaultImageDpi w14:val="300"/>
  <w15:docId w15:val="{69391B8C-0513-4679-85A1-673961B6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Abhijeet Lahade</cp:lastModifiedBy>
  <cp:revision>2</cp:revision>
  <dcterms:created xsi:type="dcterms:W3CDTF">2013-12-23T23:15:00Z</dcterms:created>
  <dcterms:modified xsi:type="dcterms:W3CDTF">2026-10-14T06:22:00Z</dcterms:modified>
  <cp:category/>
</cp:coreProperties>
</file>