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FLATKART</w:t>
      </w:r>
    </w:p>
    <w:p>
      <w:pPr>
        <w:jc w:val="center"/>
      </w:pPr>
      <w:r>
        <w:rPr>
          <w:b/>
          <w:color w:val="44546A"/>
          <w:sz w:val="30"/>
        </w:rPr>
        <w:t>Customer Support &amp; Complaint Escalation SOP</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AF0F8"/>
          </w:tcPr>
          <w:p>
            <w:pPr>
              <w:spacing w:after="20"/>
            </w:pPr>
            <w:r/>
            <w:r>
              <w:rPr>
                <w:rFonts w:ascii="Aptos" w:hAnsi="Aptos"/>
                <w:b/>
                <w:color w:val="17365D"/>
                <w:sz w:val="18"/>
              </w:rPr>
              <w:t>Document ID</w:t>
            </w:r>
          </w:p>
        </w:tc>
        <w:tc>
          <w:tcPr>
            <w:tcW w:type="dxa" w:w="4939"/>
            <w:vAlign w:val="center"/>
          </w:tcPr>
          <w:p>
            <w:pPr>
              <w:spacing w:after="20"/>
            </w:pPr>
            <w:r/>
            <w:r>
              <w:rPr>
                <w:rFonts w:ascii="Aptos" w:hAnsi="Aptos"/>
                <w:b w:val="0"/>
                <w:sz w:val="18"/>
              </w:rPr>
              <w:t>FK-CX-SUP-004</w:t>
            </w:r>
          </w:p>
        </w:tc>
      </w:tr>
      <w:tr>
        <w:tc>
          <w:tcPr>
            <w:tcW w:type="dxa" w:w="4939"/>
            <w:vAlign w:val="center"/>
            <w:shd w:fill="EAF0F8"/>
          </w:tcPr>
          <w:p>
            <w:pPr>
              <w:spacing w:after="20"/>
            </w:pPr>
            <w:r/>
            <w:r>
              <w:rPr>
                <w:rFonts w:ascii="Aptos" w:hAnsi="Aptos"/>
                <w:b/>
                <w:color w:val="17365D"/>
                <w:sz w:val="18"/>
              </w:rPr>
              <w:t>Version</w:t>
            </w:r>
          </w:p>
        </w:tc>
        <w:tc>
          <w:tcPr>
            <w:tcW w:type="dxa" w:w="4939"/>
            <w:vAlign w:val="center"/>
          </w:tcPr>
          <w:p>
            <w:pPr>
              <w:spacing w:after="20"/>
            </w:pPr>
            <w:r/>
            <w:r>
              <w:rPr>
                <w:rFonts w:ascii="Aptos" w:hAnsi="Aptos"/>
                <w:b w:val="0"/>
                <w:sz w:val="18"/>
              </w:rPr>
              <w:t>1.0</w:t>
            </w:r>
          </w:p>
        </w:tc>
      </w:tr>
      <w:tr>
        <w:tc>
          <w:tcPr>
            <w:tcW w:type="dxa" w:w="4939"/>
            <w:vAlign w:val="center"/>
            <w:shd w:fill="EAF0F8"/>
          </w:tcPr>
          <w:p>
            <w:pPr>
              <w:spacing w:after="20"/>
            </w:pPr>
            <w:r/>
            <w:r>
              <w:rPr>
                <w:rFonts w:ascii="Aptos" w:hAnsi="Aptos"/>
                <w:b/>
                <w:color w:val="17365D"/>
                <w:sz w:val="18"/>
              </w:rPr>
              <w:t>Owner</w:t>
            </w:r>
          </w:p>
        </w:tc>
        <w:tc>
          <w:tcPr>
            <w:tcW w:type="dxa" w:w="4939"/>
            <w:vAlign w:val="center"/>
          </w:tcPr>
          <w:p>
            <w:pPr>
              <w:spacing w:after="20"/>
            </w:pPr>
            <w:r/>
            <w:r>
              <w:rPr>
                <w:rFonts w:ascii="Aptos" w:hAnsi="Aptos"/>
                <w:b w:val="0"/>
                <w:sz w:val="18"/>
              </w:rPr>
              <w:t>Customer Experience Operations</w:t>
            </w:r>
          </w:p>
        </w:tc>
      </w:tr>
      <w:tr>
        <w:tc>
          <w:tcPr>
            <w:tcW w:type="dxa" w:w="4939"/>
            <w:vAlign w:val="center"/>
            <w:shd w:fill="EAF0F8"/>
          </w:tcPr>
          <w:p>
            <w:pPr>
              <w:spacing w:after="20"/>
            </w:pPr>
            <w:r/>
            <w:r>
              <w:rPr>
                <w:rFonts w:ascii="Aptos" w:hAnsi="Aptos"/>
                <w:b/>
                <w:color w:val="17365D"/>
                <w:sz w:val="18"/>
              </w:rPr>
              <w:t>Effective date</w:t>
            </w:r>
          </w:p>
        </w:tc>
        <w:tc>
          <w:tcPr>
            <w:tcW w:type="dxa" w:w="4939"/>
            <w:vAlign w:val="center"/>
          </w:tcPr>
          <w:p>
            <w:pPr>
              <w:spacing w:after="20"/>
            </w:pPr>
            <w:r/>
            <w:r>
              <w:rPr>
                <w:rFonts w:ascii="Aptos" w:hAnsi="Aptos"/>
                <w:b w:val="0"/>
                <w:sz w:val="18"/>
              </w:rPr>
              <w:t>12 October 2026</w:t>
            </w:r>
          </w:p>
        </w:tc>
      </w:tr>
      <w:tr>
        <w:tc>
          <w:tcPr>
            <w:tcW w:type="dxa" w:w="4939"/>
            <w:vAlign w:val="center"/>
            <w:shd w:fill="EAF0F8"/>
          </w:tcPr>
          <w:p>
            <w:pPr>
              <w:spacing w:after="20"/>
            </w:pPr>
            <w:r/>
            <w:r>
              <w:rPr>
                <w:rFonts w:ascii="Aptos" w:hAnsi="Aptos"/>
                <w:b/>
                <w:color w:val="17365D"/>
                <w:sz w:val="18"/>
              </w:rPr>
              <w:t>Review date</w:t>
            </w:r>
          </w:p>
        </w:tc>
        <w:tc>
          <w:tcPr>
            <w:tcW w:type="dxa" w:w="4939"/>
            <w:vAlign w:val="center"/>
          </w:tcPr>
          <w:p>
            <w:pPr>
              <w:spacing w:after="20"/>
            </w:pPr>
            <w:r/>
            <w:r>
              <w:rPr>
                <w:rFonts w:ascii="Aptos" w:hAnsi="Aptos"/>
                <w:b w:val="0"/>
                <w:sz w:val="18"/>
              </w:rPr>
              <w:t>12 April 2027</w:t>
            </w:r>
          </w:p>
        </w:tc>
      </w:tr>
      <w:tr>
        <w:tc>
          <w:tcPr>
            <w:tcW w:type="dxa" w:w="4939"/>
            <w:vAlign w:val="center"/>
            <w:shd w:fill="EAF0F8"/>
          </w:tcPr>
          <w:p>
            <w:pPr>
              <w:spacing w:after="20"/>
            </w:pPr>
            <w:r/>
            <w:r>
              <w:rPr>
                <w:rFonts w:ascii="Aptos" w:hAnsi="Aptos"/>
                <w:b/>
                <w:color w:val="17365D"/>
                <w:sz w:val="18"/>
              </w:rPr>
              <w:t>Classification</w:t>
            </w:r>
          </w:p>
        </w:tc>
        <w:tc>
          <w:tcPr>
            <w:tcW w:type="dxa" w:w="4939"/>
            <w:vAlign w:val="center"/>
          </w:tcPr>
          <w:p>
            <w:pPr>
              <w:spacing w:after="20"/>
            </w:pPr>
            <w:r/>
            <w:r>
              <w:rPr>
                <w:rFonts w:ascii="Aptos" w:hAnsi="Aptos"/>
                <w:b w:val="0"/>
                <w:sz w:val="18"/>
              </w:rPr>
              <w:t>Internal operating procedure — simulation</w:t>
            </w:r>
          </w:p>
        </w:tc>
      </w:tr>
    </w:tbl>
    <w:p/>
    <w:p>
      <w:pPr>
        <w:spacing w:after="200"/>
      </w:pPr>
      <w:r>
        <w:rPr>
          <w:b/>
          <w:color w:val="8A3B12"/>
          <w:sz w:val="17"/>
        </w:rPr>
        <w:t>SIMULATION DOCUMENT — Fictional company, policies, contacts, timelines, and examples created for RAG-system testing. Not an actual company policy or legal advice.</w:t>
      </w:r>
    </w:p>
    <w:p>
      <w:pPr>
        <w:pStyle w:val="Heading1"/>
      </w:pPr>
      <w:r>
        <w:t>1. Objective</w:t>
      </w:r>
    </w:p>
    <w:p>
      <w:r>
        <w:t>This SOP defines how Flatkart support representatives record, triage, respond to, and escalate customer complaints. It supports consistent service and gives the RAG assistant a reliable source for support processes. It is a fictional operational procedure for testing.</w:t>
      </w:r>
    </w:p>
    <w:p>
      <w:pPr>
        <w:pStyle w:val="Heading1"/>
      </w:pPr>
      <w:r>
        <w:t>2. Channels and identity checks</w:t>
      </w:r>
    </w:p>
    <w:p>
      <w:r>
        <w:t>Customers should use the support link in the official Flatkart website, the help option in their account, or the contact details shown on the order confirmation. Support must not redirect customers to unofficial personal accounts.</w:t>
      </w:r>
    </w:p>
    <w:p>
      <w:r>
        <w:t>Before discussing order-specific information, verify the order reference and use the approved identity-check workflow. Request only information needed for verification. Never request a password, one-time password, full card number, CVV, UPI PIN, or banking password.</w:t>
      </w:r>
    </w:p>
    <w:p>
      <w:r>
        <w:t>Do not disclose another customer's order, address, contact details, or complaint history. If the requester cannot pass the required verification, provide general policy information but do not disclose private order details.</w:t>
      </w:r>
    </w:p>
    <w:p>
      <w:pPr>
        <w:pStyle w:val="Heading1"/>
      </w:pPr>
      <w:r>
        <w:t>3. Ticket categories and priorities</w:t>
      </w:r>
    </w:p>
    <w:p>
      <w:r>
        <w:t>P1 — Safety, suspected fraud, account compromise, or exposure of sensitive personal information: acknowledge promptly and escalate immediately to the designated security or duty manager. Do not wait for the normal queue.</w:t>
      </w:r>
    </w:p>
    <w:p>
      <w:r>
        <w:t>P2 — Order marked delivered but missing, payment captured with no order, repeated failed refund, serious product defect, or a time-critical delivery issue: target first response within 4 business hours and route to the relevant specialist team.</w:t>
      </w:r>
    </w:p>
    <w:p>
      <w:r>
        <w:t>P3 — Standard return, replacement, delivery delay, invoice, or account question: target first response within 1 business day.</w:t>
      </w:r>
    </w:p>
    <w:p>
      <w:r>
        <w:t>P4 — General product information or non-urgent feedback: target first response within 2 business days.</w:t>
      </w:r>
    </w:p>
    <w:p>
      <w:r>
        <w:t>These are target first-response times, not guaranteed resolution times. Complex cases may take longer, but the customer should receive an update when the stated target is at risk.</w:t>
      </w:r>
    </w:p>
    <w:p>
      <w:pPr>
        <w:pStyle w:val="Heading1"/>
      </w:pPr>
      <w:r>
        <w:t>4. Standard handling workflow</w:t>
      </w:r>
    </w:p>
    <w:p>
      <w:r>
        <w:t>Step 1: Create or locate a ticket and record the order reference, issue category, priority, customer summary, relevant dates, and evidence received.</w:t>
      </w:r>
    </w:p>
    <w:p>
      <w:r>
        <w:t>Step 2: Acknowledge the concern in clear, respectful language. Do not blame the customer or carrier before the facts are checked.</w:t>
      </w:r>
    </w:p>
    <w:p>
      <w:r>
        <w:t>Step 3: Review order status, product-page terms, tracking events, payment status, and relevant policy documents.</w:t>
      </w:r>
    </w:p>
    <w:p>
      <w:r>
        <w:t>Step 4: Resolve within the representative's authority or assign the ticket to the correct team with a concise summary and evidence.</w:t>
      </w:r>
    </w:p>
    <w:p>
      <w:r>
        <w:t>Step 5: Tell the customer what happens next, who owns the next action where appropriate, and when the next update is expected.</w:t>
      </w:r>
    </w:p>
    <w:p>
      <w:r>
        <w:t>Step 6: Record the outcome, resolution code, any refund or replacement reference, and the customer communication. Close only when the required action is complete or the closure reason is documented.</w:t>
      </w:r>
    </w:p>
    <w:p>
      <w:pPr>
        <w:pStyle w:val="Heading1"/>
      </w:pPr>
      <w:r>
        <w:t>5. Escalation ownership</w:t>
      </w:r>
    </w:p>
    <w:p>
      <w:r>
        <w:t>Order processing, address amendments, and fulfilment allocation: Fulfilment Operations.</w:t>
      </w:r>
    </w:p>
    <w:p>
      <w:r>
        <w:t>Carrier delays, lost parcels, and delivery scans: Logistics Desk.</w:t>
      </w:r>
    </w:p>
    <w:p>
      <w:r>
        <w:t>Product defects, incorrect items, and replacement review: Category Operations with Customer Experience.</w:t>
      </w:r>
    </w:p>
    <w:p>
      <w:r>
        <w:t>Refund status, duplicate charges, and payment reconciliation: Payments Operations.</w:t>
      </w:r>
    </w:p>
    <w:p>
      <w:r>
        <w:t>Account compromise, suspected phishing, privacy incidents, or exposed credentials: Information Security and the Privacy Contact immediately.</w:t>
      </w:r>
    </w:p>
    <w:p>
      <w:r>
        <w:t>Repeated unresolved complaint or disagreement with a prior decision: Customer Experience Supervisor.</w:t>
      </w:r>
    </w:p>
    <w:p>
      <w:pPr>
        <w:pStyle w:val="Heading1"/>
      </w:pPr>
      <w:r>
        <w:t>6. Communication standards</w:t>
      </w:r>
    </w:p>
    <w:p>
      <w:r>
        <w:t>Use plain language and state what is known, what is being checked, and the next step. Avoid guarantees such as 'your refund will arrive tomorrow' unless an authorized system confirms that date.</w:t>
      </w:r>
    </w:p>
    <w:p>
      <w:r>
        <w:t>Do not invent tracking events, claim a refund was issued without a reference, or state that a return was approved before the case status confirms approval. If information is missing, say so and route the case for verification.</w:t>
      </w:r>
    </w:p>
    <w:p>
      <w:r>
        <w:t>Provide policy-based explanations without exposing internal risk scores, fraud rules, private employee notes, or another customer's information.</w:t>
      </w:r>
    </w:p>
    <w:p>
      <w:pPr>
        <w:pStyle w:val="Heading1"/>
      </w:pPr>
      <w:r>
        <w:t>7. Escalation timing and updates</w:t>
      </w:r>
    </w:p>
    <w:p>
      <w:r>
        <w:t>A P1 issue must be escalated immediately. A P2 issue should be assigned to the relevant specialist team within 4 business hours. P3 and P4 tickets should be routed within one business day where they cannot be resolved at first contact.</w:t>
      </w:r>
    </w:p>
    <w:p>
      <w:r>
        <w:t>If the team cannot resolve the issue within the expected period, the ticket owner should send an update by the next promised update time. A ticket must not be marked resolved merely because it has been transferred.</w:t>
      </w:r>
    </w:p>
    <w:p>
      <w:pPr>
        <w:pStyle w:val="Heading1"/>
      </w:pPr>
      <w:r>
        <w:t>8. Example cases</w:t>
      </w:r>
    </w:p>
    <w:p>
      <w:r>
        <w:t>Example A — Customer reports payment was debited but no order appears: classify P2, verify the transaction through approved tools, and route to Payments Operations. Never ask for a PIN or OTP.</w:t>
      </w:r>
    </w:p>
    <w:p>
      <w:r>
        <w:t>Example B — Customer says an order is missing despite 'delivered' tracking: classify P2, record the carrier reference, and route a delivery trace.</w:t>
      </w:r>
    </w:p>
    <w:p>
      <w:r>
        <w:t>Example C — Customer asks which products can be replaced: provide the general eligibility summary and link to the Product Catalogue &amp; Replacement Eligibility Standard; check the actual product terms before making a definitive promise.</w:t>
      </w:r>
    </w:p>
    <w:p>
      <w:r>
        <w:t>Example D — Customer reports that someone accessed their account: classify P1 and immediately route to Information Security.</w:t>
      </w:r>
    </w:p>
    <w:p>
      <w:pPr>
        <w:pStyle w:val="Heading1"/>
      </w:pPr>
      <w:r>
        <w:t>9. Quality checks</w:t>
      </w:r>
    </w:p>
    <w:p>
      <w:r>
        <w:t>Supervisors should sample tickets for accurate classification, appropriate verification, policy consistency, respectful language, complete case notes, and no unsupported promises. Repeated errors should trigger coaching and, where needed, a policy clarification.</w:t>
      </w:r>
    </w:p>
    <w:p>
      <w:pPr>
        <w:pStyle w:val="Heading1"/>
      </w:pPr>
      <w:r>
        <w:t>10. Related documents</w:t>
      </w:r>
    </w:p>
    <w:p>
      <w:r>
        <w:t>Return, Refund &amp; Cancellation Policy; Shipping, Delivery &amp; Order Tracking Policy; Product Catalogue &amp; Replacement Eligibility Standard; Payments, Pricing &amp; Offers Policy; Privacy Policy.</w:t>
      </w:r>
    </w:p>
    <w:p/>
    <w:p>
      <w:r>
        <w:rPr>
          <w:i/>
          <w:color w:val="646464"/>
          <w:sz w:val="16"/>
        </w:rPr>
        <w:t>Document control: Version 1.0 • Prepared for internal RAG ingestion and testing • Review before real-world use.</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3B12"/>
        <w:sz w:val="16"/>
      </w:rPr>
      <w:t>SIMULATION DOCUMENT — NOT AN ACTUAL COMPANY POLICY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FLATKART  |  CUSTOMER OPERATIONS / POLICY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