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pPr>
      <w:r>
        <w:rPr>
          <w:rFonts w:ascii="Arial" w:cs="Arial" w:eastAsia="Arial" w:hAnsi="Arial"/>
          <w:b/>
          <w:bCs/>
          <w:color w:val="1E3A5F"/>
          <w:sz w:val="64"/>
          <w:szCs w:val="64"/>
        </w:rPr>
        <w:t xml:space="preserve">NEXUSFLOW INC.</w:t>
      </w:r>
    </w:p>
    <w:p>
      <w:pPr>
        <w:spacing w:before="0" w:after="60"/>
      </w:pPr>
      <w:r>
        <w:rPr>
          <w:rFonts w:ascii="Arial" w:cs="Arial" w:eastAsia="Arial" w:hAnsi="Arial"/>
          <w:color w:val="2563EB"/>
          <w:sz w:val="32"/>
          <w:szCs w:val="32"/>
        </w:rPr>
        <w:t xml:space="preserve">Business Context &amp; Company Profile</w:t>
      </w:r>
    </w:p>
    <w:p>
      <w:pPr>
        <w:spacing w:before="0" w:after="80"/>
      </w:pPr>
      <w:r>
        <w:rPr>
          <w:rFonts w:ascii="Arial" w:cs="Arial" w:eastAsia="Arial" w:hAnsi="Arial"/>
          <w:color w:val="6B7280"/>
          <w:sz w:val="22"/>
          <w:szCs w:val="22"/>
        </w:rPr>
        <w:t xml:space="preserve">Customer Churn Prediction Project — Internal Reference Document</w:t>
      </w:r>
    </w:p>
    <w:p>
      <w:pPr>
        <w:pBdr>
          <w:bottom w:val="single" w:color="2563EB" w:sz="8" w:space="4"/>
        </w:pBdr>
        <w:spacing w:before="0" w:after="400"/>
      </w:pPr>
      <w:r>
        <w:t xml:space="preserve"/>
      </w:r>
    </w:p>
    <w:tbl>
      <w:tblPr>
        <w:tblW w:type="dxa" w:w="9360"/>
        <w:tblBorders>
          <w:top w:val="none"/>
          <w:left w:val="none"/>
          <w:bottom w:val="none"/>
          <w:right w:val="none"/>
          <w:insideH w:val="single" w:color="auto" w:sz="4"/>
          <w:insideV w:val="single" w:color="auto" w:sz="4"/>
        </w:tblBorders>
      </w:tblPr>
      <w:tblGrid>
        <w:gridCol w:w="2250"/>
        <w:gridCol w:w="2250"/>
        <w:gridCol w:w="2250"/>
        <w:gridCol w:w="2250"/>
      </w:tblGrid>
      <w:tr>
        <w:tc>
          <w:tcPr>
            <w:tcW w:type="dxa" w:w="2250"/>
            <w:tcBorders>
              <w:top w:val="single" w:color="DBEAFE" w:sz="1"/>
              <w:left w:val="single" w:color="DBEAFE" w:sz="1"/>
              <w:bottom w:val="single" w:color="DBEAFE" w:sz="1"/>
              <w:right w:val="single" w:color="DBEAFE" w:sz="1"/>
            </w:tcBorders>
            <w:shd w:fill="EFF6FF" w:val="clear"/>
            <w:tcMar>
              <w:top w:type="dxa" w:w="140"/>
              <w:left w:type="dxa" w:w="160"/>
              <w:bottom w:type="dxa" w:w="140"/>
              <w:right w:type="dxa" w:w="160"/>
            </w:tcMar>
            <w:vAlign w:val="center"/>
          </w:tcPr>
          <w:p>
            <w:pPr>
              <w:jc w:val="center"/>
            </w:pPr>
            <w:r>
              <w:rPr>
                <w:rFonts w:ascii="Arial" w:cs="Arial" w:eastAsia="Arial" w:hAnsi="Arial"/>
                <w:b/>
                <w:bCs/>
                <w:color w:val="2563EB"/>
                <w:sz w:val="36"/>
                <w:szCs w:val="36"/>
              </w:rPr>
              <w:t xml:space="preserve">2017</w:t>
            </w:r>
          </w:p>
          <w:p>
            <w:pPr>
              <w:jc w:val="center"/>
            </w:pPr>
            <w:r>
              <w:rPr>
                <w:rFonts w:ascii="Arial" w:cs="Arial" w:eastAsia="Arial" w:hAnsi="Arial"/>
                <w:color w:val="6B7280"/>
                <w:sz w:val="18"/>
                <w:szCs w:val="18"/>
              </w:rPr>
              <w:t xml:space="preserve">Founded</w:t>
            </w:r>
          </w:p>
        </w:tc>
        <w:tc>
          <w:tcPr>
            <w:tcW w:type="dxa" w:w="2250"/>
            <w:tcBorders>
              <w:top w:val="single" w:color="DBEAFE" w:sz="1"/>
              <w:left w:val="single" w:color="DBEAFE" w:sz="1"/>
              <w:bottom w:val="single" w:color="DBEAFE" w:sz="1"/>
              <w:right w:val="single" w:color="DBEAFE" w:sz="1"/>
            </w:tcBorders>
            <w:shd w:fill="EFF6FF" w:val="clear"/>
            <w:tcMar>
              <w:top w:type="dxa" w:w="140"/>
              <w:left w:type="dxa" w:w="160"/>
              <w:bottom w:type="dxa" w:w="140"/>
              <w:right w:type="dxa" w:w="160"/>
            </w:tcMar>
            <w:vAlign w:val="center"/>
          </w:tcPr>
          <w:p>
            <w:pPr>
              <w:jc w:val="center"/>
            </w:pPr>
            <w:r>
              <w:rPr>
                <w:rFonts w:ascii="Arial" w:cs="Arial" w:eastAsia="Arial" w:hAnsi="Arial"/>
                <w:b/>
                <w:bCs/>
                <w:color w:val="2563EB"/>
                <w:sz w:val="36"/>
                <w:szCs w:val="36"/>
              </w:rPr>
              <w:t xml:space="preserve">$48.2M</w:t>
            </w:r>
          </w:p>
          <w:p>
            <w:pPr>
              <w:jc w:val="center"/>
            </w:pPr>
            <w:r>
              <w:rPr>
                <w:rFonts w:ascii="Arial" w:cs="Arial" w:eastAsia="Arial" w:hAnsi="Arial"/>
                <w:color w:val="6B7280"/>
                <w:sz w:val="18"/>
                <w:szCs w:val="18"/>
              </w:rPr>
              <w:t xml:space="preserve">ARR</w:t>
            </w:r>
          </w:p>
        </w:tc>
        <w:tc>
          <w:tcPr>
            <w:tcW w:type="dxa" w:w="2250"/>
            <w:tcBorders>
              <w:top w:val="single" w:color="DBEAFE" w:sz="1"/>
              <w:left w:val="single" w:color="DBEAFE" w:sz="1"/>
              <w:bottom w:val="single" w:color="DBEAFE" w:sz="1"/>
              <w:right w:val="single" w:color="DBEAFE" w:sz="1"/>
            </w:tcBorders>
            <w:shd w:fill="EFF6FF" w:val="clear"/>
            <w:tcMar>
              <w:top w:type="dxa" w:w="140"/>
              <w:left w:type="dxa" w:w="160"/>
              <w:bottom w:type="dxa" w:w="140"/>
              <w:right w:type="dxa" w:w="160"/>
            </w:tcMar>
            <w:vAlign w:val="center"/>
          </w:tcPr>
          <w:p>
            <w:pPr>
              <w:jc w:val="center"/>
            </w:pPr>
            <w:r>
              <w:rPr>
                <w:rFonts w:ascii="Arial" w:cs="Arial" w:eastAsia="Arial" w:hAnsi="Arial"/>
                <w:b/>
                <w:bCs/>
                <w:color w:val="2563EB"/>
                <w:sz w:val="36"/>
                <w:szCs w:val="36"/>
              </w:rPr>
              <w:t xml:space="preserve">23,400+</w:t>
            </w:r>
          </w:p>
          <w:p>
            <w:pPr>
              <w:jc w:val="center"/>
            </w:pPr>
            <w:r>
              <w:rPr>
                <w:rFonts w:ascii="Arial" w:cs="Arial" w:eastAsia="Arial" w:hAnsi="Arial"/>
                <w:color w:val="6B7280"/>
                <w:sz w:val="18"/>
                <w:szCs w:val="18"/>
              </w:rPr>
              <w:t xml:space="preserve">Customers</w:t>
            </w:r>
          </w:p>
        </w:tc>
        <w:tc>
          <w:tcPr>
            <w:tcW w:type="dxa" w:w="2250"/>
            <w:tcBorders>
              <w:top w:val="single" w:color="DBEAFE" w:sz="1"/>
              <w:left w:val="single" w:color="DBEAFE" w:sz="1"/>
              <w:bottom w:val="single" w:color="DBEAFE" w:sz="1"/>
              <w:right w:val="single" w:color="DBEAFE" w:sz="1"/>
            </w:tcBorders>
            <w:shd w:fill="EFF6FF" w:val="clear"/>
            <w:tcMar>
              <w:top w:type="dxa" w:w="140"/>
              <w:left w:type="dxa" w:w="160"/>
              <w:bottom w:type="dxa" w:w="140"/>
              <w:right w:type="dxa" w:w="160"/>
            </w:tcMar>
            <w:vAlign w:val="center"/>
          </w:tcPr>
          <w:p>
            <w:pPr>
              <w:jc w:val="center"/>
            </w:pPr>
            <w:r>
              <w:rPr>
                <w:rFonts w:ascii="Arial" w:cs="Arial" w:eastAsia="Arial" w:hAnsi="Arial"/>
                <w:b/>
                <w:bCs/>
                <w:color w:val="2563EB"/>
                <w:sz w:val="36"/>
                <w:szCs w:val="36"/>
              </w:rPr>
              <w:t xml:space="preserve">310</w:t>
            </w:r>
          </w:p>
          <w:p>
            <w:pPr>
              <w:jc w:val="center"/>
            </w:pPr>
            <w:r>
              <w:rPr>
                <w:rFonts w:ascii="Arial" w:cs="Arial" w:eastAsia="Arial" w:hAnsi="Arial"/>
                <w:color w:val="6B7280"/>
                <w:sz w:val="18"/>
                <w:szCs w:val="18"/>
              </w:rPr>
              <w:t xml:space="preserve">Employees</w:t>
            </w:r>
          </w:p>
        </w:tc>
      </w:tr>
    </w:tbl>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1. Company Overview</w:t>
      </w:r>
    </w:p>
    <w:p>
      <w:pPr>
        <w:spacing w:before="60" w:after="80"/>
      </w:pPr>
      <w:r>
        <w:rPr>
          <w:rFonts w:ascii="Arial" w:cs="Arial" w:eastAsia="Arial" w:hAnsi="Arial"/>
          <w:b/>
          <w:bCs/>
          <w:color w:val="1E3A5F"/>
          <w:sz w:val="22"/>
          <w:szCs w:val="22"/>
        </w:rPr>
        <w:t xml:space="preserve">Legal Name: </w:t>
      </w:r>
      <w:r>
        <w:rPr>
          <w:rFonts w:ascii="Arial" w:cs="Arial" w:eastAsia="Arial" w:hAnsi="Arial"/>
          <w:color w:val="1F2937"/>
          <w:sz w:val="22"/>
          <w:szCs w:val="22"/>
        </w:rPr>
        <w:t xml:space="preserve">NexusFlow Inc.</w:t>
      </w:r>
    </w:p>
    <w:p>
      <w:pPr>
        <w:spacing w:before="60" w:after="80"/>
      </w:pPr>
      <w:r>
        <w:rPr>
          <w:rFonts w:ascii="Arial" w:cs="Arial" w:eastAsia="Arial" w:hAnsi="Arial"/>
          <w:b/>
          <w:bCs/>
          <w:color w:val="1E3A5F"/>
          <w:sz w:val="22"/>
          <w:szCs w:val="22"/>
        </w:rPr>
        <w:t xml:space="preserve">Headquarters: </w:t>
      </w:r>
      <w:r>
        <w:rPr>
          <w:rFonts w:ascii="Arial" w:cs="Arial" w:eastAsia="Arial" w:hAnsi="Arial"/>
          <w:color w:val="1F2937"/>
          <w:sz w:val="22"/>
          <w:szCs w:val="22"/>
        </w:rPr>
        <w:t xml:space="preserve">Austin, Texas, USA</w:t>
      </w:r>
    </w:p>
    <w:p>
      <w:pPr>
        <w:spacing w:before="60" w:after="80"/>
      </w:pPr>
      <w:r>
        <w:rPr>
          <w:rFonts w:ascii="Arial" w:cs="Arial" w:eastAsia="Arial" w:hAnsi="Arial"/>
          <w:b/>
          <w:bCs/>
          <w:color w:val="1E3A5F"/>
          <w:sz w:val="22"/>
          <w:szCs w:val="22"/>
        </w:rPr>
        <w:t xml:space="preserve">Founded: </w:t>
      </w:r>
      <w:r>
        <w:rPr>
          <w:rFonts w:ascii="Arial" w:cs="Arial" w:eastAsia="Arial" w:hAnsi="Arial"/>
          <w:color w:val="1F2937"/>
          <w:sz w:val="22"/>
          <w:szCs w:val="22"/>
        </w:rPr>
        <w:t xml:space="preserve">2017</w:t>
      </w:r>
    </w:p>
    <w:p>
      <w:pPr>
        <w:spacing w:before="60" w:after="80"/>
      </w:pPr>
      <w:r>
        <w:rPr>
          <w:rFonts w:ascii="Arial" w:cs="Arial" w:eastAsia="Arial" w:hAnsi="Arial"/>
          <w:b/>
          <w:bCs/>
          <w:color w:val="1E3A5F"/>
          <w:sz w:val="22"/>
          <w:szCs w:val="22"/>
        </w:rPr>
        <w:t xml:space="preserve">Stage: </w:t>
      </w:r>
      <w:r>
        <w:rPr>
          <w:rFonts w:ascii="Arial" w:cs="Arial" w:eastAsia="Arial" w:hAnsi="Arial"/>
          <w:color w:val="1F2937"/>
          <w:sz w:val="22"/>
          <w:szCs w:val="22"/>
        </w:rPr>
        <w:t xml:space="preserve">Series C — Growth Stage</w:t>
      </w:r>
    </w:p>
    <w:p>
      <w:pPr>
        <w:spacing w:before="60" w:after="80"/>
      </w:pPr>
      <w:r>
        <w:rPr>
          <w:rFonts w:ascii="Arial" w:cs="Arial" w:eastAsia="Arial" w:hAnsi="Arial"/>
          <w:b/>
          <w:bCs/>
          <w:color w:val="1E3A5F"/>
          <w:sz w:val="22"/>
          <w:szCs w:val="22"/>
        </w:rPr>
        <w:t xml:space="preserve">Employees: </w:t>
      </w:r>
      <w:r>
        <w:rPr>
          <w:rFonts w:ascii="Arial" w:cs="Arial" w:eastAsia="Arial" w:hAnsi="Arial"/>
          <w:color w:val="1F2937"/>
          <w:sz w:val="22"/>
          <w:szCs w:val="22"/>
        </w:rPr>
        <w:t xml:space="preserve">~310 full-time globally</w:t>
      </w:r>
    </w:p>
    <w:p>
      <w:pPr>
        <w:spacing w:before="60" w:after="80"/>
      </w:pPr>
      <w:r>
        <w:rPr>
          <w:rFonts w:ascii="Arial" w:cs="Arial" w:eastAsia="Arial" w:hAnsi="Arial"/>
          <w:b/>
          <w:bCs/>
          <w:color w:val="1E3A5F"/>
          <w:sz w:val="22"/>
          <w:szCs w:val="22"/>
        </w:rPr>
        <w:t xml:space="preserve">Fiscal Year End: </w:t>
      </w:r>
      <w:r>
        <w:rPr>
          <w:rFonts w:ascii="Arial" w:cs="Arial" w:eastAsia="Arial" w:hAnsi="Arial"/>
          <w:color w:val="1F2937"/>
          <w:sz w:val="22"/>
          <w:szCs w:val="22"/>
        </w:rPr>
        <w:t xml:space="preserve">December 31</w:t>
      </w:r>
    </w:p>
    <w:p>
      <w:pPr>
        <w:spacing w:before="80" w:after="80"/>
      </w:pPr>
      <w:r>
        <w:t xml:space="preserve"/>
      </w:r>
    </w:p>
    <w:p>
      <w:pPr>
        <w:spacing w:before="60" w:after="100"/>
      </w:pPr>
      <w:r>
        <w:rPr>
          <w:rFonts w:ascii="Arial" w:cs="Arial" w:eastAsia="Arial" w:hAnsi="Arial"/>
          <w:color w:val="1F2937"/>
          <w:sz w:val="22"/>
          <w:szCs w:val="22"/>
        </w:rPr>
        <w:t xml:space="preserve">NexusFlow is a B2B SaaS company that builds and operates a cloud-based Workflow Automation and Operations Intelligence platform. The product is designed for business teams — operations managers, revenue leaders, customer success leads, and product teams — who need to automate repetitive cross-functional workflows, connect their existing tools into unified processes, and generate real-time operational analytics without requiring engineering resources.</w:t>
      </w:r>
    </w:p>
    <w:p>
      <w:pPr>
        <w:spacing w:before="80" w:after="80"/>
      </w:pPr>
      <w:r>
        <w:t xml:space="preserve"/>
      </w:r>
    </w:p>
    <w:p>
      <w:pPr>
        <w:spacing w:before="60" w:after="100"/>
      </w:pPr>
      <w:r>
        <w:rPr>
          <w:rFonts w:ascii="Arial" w:cs="Arial" w:eastAsia="Arial" w:hAnsi="Arial"/>
          <w:color w:val="1F2937"/>
          <w:sz w:val="22"/>
          <w:szCs w:val="22"/>
        </w:rPr>
        <w:t xml:space="preserve">The platform is horizontal by design, meaning it serves customers across multiple industries rather than being tailored to one vertical. This positions NexusFlow against tools like Zapier (automation), Monday.com (project ops), and Salesforce Flow (CRM automation), but with a stronger analytics layer and significantly deeper enterprise integration capabilities.</w:t>
      </w:r>
    </w:p>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2. What the Product Does</w:t>
      </w:r>
    </w:p>
    <w:p>
      <w:pPr>
        <w:spacing w:before="60" w:after="100"/>
      </w:pPr>
      <w:r>
        <w:rPr>
          <w:rFonts w:ascii="Arial" w:cs="Arial" w:eastAsia="Arial" w:hAnsi="Arial"/>
          <w:color w:val="1F2937"/>
          <w:sz w:val="22"/>
          <w:szCs w:val="22"/>
        </w:rPr>
        <w:t xml:space="preserve">NexusFlow's platform has three core capability pillars:</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2.1  Workflow Automation Engine</w:t>
      </w:r>
    </w:p>
    <w:p>
      <w:pPr>
        <w:spacing w:before="60" w:after="100"/>
      </w:pPr>
      <w:r>
        <w:rPr>
          <w:rFonts w:ascii="Arial" w:cs="Arial" w:eastAsia="Arial" w:hAnsi="Arial"/>
          <w:color w:val="1F2937"/>
          <w:sz w:val="22"/>
          <w:szCs w:val="22"/>
        </w:rPr>
        <w:t xml:space="preserve">Customers build no-code or low-code automation workflows using a visual drag-and-drop editor. Workflows trigger on events (form submissions, CRM updates, calendar events, support tickets) and execute sequences of actions across connected tools — sending emails, updating records, creating tasks, posting Slack messages, generating documents, and more.</w:t>
      </w:r>
    </w:p>
    <w:p>
      <w:pPr>
        <w:pStyle w:val="ListParagraph"/>
        <w:numPr>
          <w:ilvl w:val="0"/>
          <w:numId w:val="2"/>
        </w:numPr>
        <w:spacing w:before="40" w:after="40"/>
      </w:pPr>
      <w:r>
        <w:rPr>
          <w:rFonts w:ascii="Arial" w:cs="Arial" w:eastAsia="Arial" w:hAnsi="Arial"/>
          <w:color w:val="1F2937"/>
          <w:sz w:val="22"/>
          <w:szCs w:val="22"/>
        </w:rPr>
        <w:t xml:space="preserve">Supports 200+ native integrations (Salesforce, HubSpot, Jira, Slack, Google Workspace, Microsoft 365, Stripe, Zendesk, and others)</w:t>
      </w:r>
    </w:p>
    <w:p>
      <w:pPr>
        <w:pStyle w:val="ListParagraph"/>
        <w:numPr>
          <w:ilvl w:val="0"/>
          <w:numId w:val="2"/>
        </w:numPr>
        <w:spacing w:before="40" w:after="40"/>
      </w:pPr>
      <w:r>
        <w:rPr>
          <w:rFonts w:ascii="Arial" w:cs="Arial" w:eastAsia="Arial" w:hAnsi="Arial"/>
          <w:color w:val="1F2937"/>
          <w:sz w:val="22"/>
          <w:szCs w:val="22"/>
        </w:rPr>
        <w:t xml:space="preserve">Conditional branching, loop logic, and approval gates are supported without code</w:t>
      </w:r>
    </w:p>
    <w:p>
      <w:pPr>
        <w:pStyle w:val="ListParagraph"/>
        <w:numPr>
          <w:ilvl w:val="0"/>
          <w:numId w:val="2"/>
        </w:numPr>
        <w:spacing w:before="40" w:after="40"/>
      </w:pPr>
      <w:r>
        <w:rPr>
          <w:rFonts w:ascii="Arial" w:cs="Arial" w:eastAsia="Arial" w:hAnsi="Arial"/>
          <w:color w:val="1F2937"/>
          <w:sz w:val="22"/>
          <w:szCs w:val="22"/>
        </w:rPr>
        <w:t xml:space="preserve">Workflows run on NexusFlow's cloud infrastructure — customers do not manage servers</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2.2  Operations Intelligence Dashboard</w:t>
      </w:r>
    </w:p>
    <w:p>
      <w:pPr>
        <w:spacing w:before="60" w:after="100"/>
      </w:pPr>
      <w:r>
        <w:rPr>
          <w:rFonts w:ascii="Arial" w:cs="Arial" w:eastAsia="Arial" w:hAnsi="Arial"/>
          <w:color w:val="1F2937"/>
          <w:sz w:val="22"/>
          <w:szCs w:val="22"/>
        </w:rPr>
        <w:t xml:space="preserve">Beyond automation, NexusFlow provides a real-time operational analytics layer. Teams track workflow performance, identify bottlenecks, measure process completion rates, and get AI-generated anomaly alerts when business metrics deviate from baseline.</w:t>
      </w:r>
    </w:p>
    <w:p>
      <w:pPr>
        <w:pStyle w:val="ListParagraph"/>
        <w:numPr>
          <w:ilvl w:val="0"/>
          <w:numId w:val="2"/>
        </w:numPr>
        <w:spacing w:before="40" w:after="40"/>
      </w:pPr>
      <w:r>
        <w:rPr>
          <w:rFonts w:ascii="Arial" w:cs="Arial" w:eastAsia="Arial" w:hAnsi="Arial"/>
          <w:color w:val="1F2937"/>
          <w:sz w:val="22"/>
          <w:szCs w:val="22"/>
        </w:rPr>
        <w:t xml:space="preserve">Pre-built dashboards for Sales Ops, Customer Success Ops, and HR Ops use cases</w:t>
      </w:r>
    </w:p>
    <w:p>
      <w:pPr>
        <w:pStyle w:val="ListParagraph"/>
        <w:numPr>
          <w:ilvl w:val="0"/>
          <w:numId w:val="2"/>
        </w:numPr>
        <w:spacing w:before="40" w:after="40"/>
      </w:pPr>
      <w:r>
        <w:rPr>
          <w:rFonts w:ascii="Arial" w:cs="Arial" w:eastAsia="Arial" w:hAnsi="Arial"/>
          <w:color w:val="1F2937"/>
          <w:sz w:val="22"/>
          <w:szCs w:val="22"/>
        </w:rPr>
        <w:t xml:space="preserve">Custom KPI builder for teams that track non-standard metrics</w:t>
      </w:r>
    </w:p>
    <w:p>
      <w:pPr>
        <w:pStyle w:val="ListParagraph"/>
        <w:numPr>
          <w:ilvl w:val="0"/>
          <w:numId w:val="2"/>
        </w:numPr>
        <w:spacing w:before="40" w:after="40"/>
      </w:pPr>
      <w:r>
        <w:rPr>
          <w:rFonts w:ascii="Arial" w:cs="Arial" w:eastAsia="Arial" w:hAnsi="Arial"/>
          <w:color w:val="1F2937"/>
          <w:sz w:val="22"/>
          <w:szCs w:val="22"/>
        </w:rPr>
        <w:t xml:space="preserve">Weekly digest reports delivered to executive stakeholders via email</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2.3  Collaboration &amp; Governance Layer</w:t>
      </w:r>
    </w:p>
    <w:p>
      <w:pPr>
        <w:spacing w:before="60" w:after="100"/>
      </w:pPr>
      <w:r>
        <w:rPr>
          <w:rFonts w:ascii="Arial" w:cs="Arial" w:eastAsia="Arial" w:hAnsi="Arial"/>
          <w:color w:val="1F2937"/>
          <w:sz w:val="22"/>
          <w:szCs w:val="22"/>
        </w:rPr>
        <w:t xml:space="preserve">For enterprise customers with multiple teams using the platform, NexusFlow includes team-based access controls, workflow version history, audit logs, and change-approval workflows — making it safe for regulated industries like finance and healthcare to use the product at scale.</w:t>
      </w:r>
    </w:p>
    <w:p>
      <w:pPr>
        <w:pStyle w:val="ListParagraph"/>
        <w:numPr>
          <w:ilvl w:val="0"/>
          <w:numId w:val="2"/>
        </w:numPr>
        <w:spacing w:before="40" w:after="40"/>
      </w:pPr>
      <w:r>
        <w:rPr>
          <w:rFonts w:ascii="Arial" w:cs="Arial" w:eastAsia="Arial" w:hAnsi="Arial"/>
          <w:color w:val="1F2937"/>
          <w:sz w:val="22"/>
          <w:szCs w:val="22"/>
        </w:rPr>
        <w:t xml:space="preserve">SSO (SAML 2.0), SCIM provisioning, and MFA for Enterprise plan customers</w:t>
      </w:r>
    </w:p>
    <w:p>
      <w:pPr>
        <w:pStyle w:val="ListParagraph"/>
        <w:numPr>
          <w:ilvl w:val="0"/>
          <w:numId w:val="2"/>
        </w:numPr>
        <w:spacing w:before="40" w:after="40"/>
      </w:pPr>
      <w:r>
        <w:rPr>
          <w:rFonts w:ascii="Arial" w:cs="Arial" w:eastAsia="Arial" w:hAnsi="Arial"/>
          <w:color w:val="1F2937"/>
          <w:sz w:val="22"/>
          <w:szCs w:val="22"/>
        </w:rPr>
        <w:t xml:space="preserve">Role-based access controls with team, department, and organization-level scoping</w:t>
      </w:r>
    </w:p>
    <w:p>
      <w:pPr>
        <w:pStyle w:val="ListParagraph"/>
        <w:numPr>
          <w:ilvl w:val="0"/>
          <w:numId w:val="2"/>
        </w:numPr>
        <w:spacing w:before="40" w:after="40"/>
      </w:pPr>
      <w:r>
        <w:rPr>
          <w:rFonts w:ascii="Arial" w:cs="Arial" w:eastAsia="Arial" w:hAnsi="Arial"/>
          <w:color w:val="1F2937"/>
          <w:sz w:val="22"/>
          <w:szCs w:val="22"/>
        </w:rPr>
        <w:t xml:space="preserve">Full audit trail for all workflow executions — required for HIPAA and SOC 2 compliance</w:t>
      </w:r>
    </w:p>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3. Customer Segments</w:t>
      </w:r>
    </w:p>
    <w:p>
      <w:pPr>
        <w:spacing w:before="60" w:after="100"/>
      </w:pPr>
      <w:r>
        <w:rPr>
          <w:rFonts w:ascii="Arial" w:cs="Arial" w:eastAsia="Arial" w:hAnsi="Arial"/>
          <w:color w:val="1F2937"/>
          <w:sz w:val="22"/>
          <w:szCs w:val="22"/>
        </w:rPr>
        <w:t xml:space="preserve">NexusFlow serves four distinct customer segments, each with different churn dynamics and revenue profiles: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160"/>
        <w:gridCol w:w="2000"/>
      </w:tblGrid>
      <w:tr>
        <w:tc>
          <w:tcPr>
            <w:tcW w:type="dxa" w:w="16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18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Company Size</w:t>
            </w:r>
          </w:p>
        </w:tc>
        <w:tc>
          <w:tcPr>
            <w:tcW w:type="dxa" w:w="18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Typical Seats</w:t>
            </w:r>
          </w:p>
        </w:tc>
        <w:tc>
          <w:tcPr>
            <w:tcW w:type="dxa" w:w="216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Use Case</w:t>
            </w:r>
          </w:p>
        </w:tc>
        <w:tc>
          <w:tcPr>
            <w:tcW w:type="dxa" w:w="20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Churn Risk</w:t>
            </w:r>
          </w:p>
        </w:tc>
      </w:tr>
      <w:tr>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Startup</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1–50 employees</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1–5</w:t>
            </w:r>
          </w:p>
        </w:tc>
        <w:tc>
          <w:tcPr>
            <w:tcW w:type="dxa" w:w="2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Simple automations, lead routing</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 — price sensitive, pivot risk</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SMB</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50–250 employees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5–20</w:t>
            </w:r>
          </w:p>
        </w:tc>
        <w:tc>
          <w:tcPr>
            <w:tcW w:type="dxa" w:w="2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Sales &amp; CS ops, onboarding flows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 — feature adoption drives retention</w:t>
            </w:r>
          </w:p>
        </w:tc>
      </w:tr>
      <w:tr>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Mid-Market</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250–1,000 employees</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20–100</w:t>
            </w:r>
          </w:p>
        </w:tc>
        <w:tc>
          <w:tcPr>
            <w:tcW w:type="dxa" w:w="2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Cross-team process automation</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MEDIUM-LOW — longer contracts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Enterprise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1,000+ employees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100–500</w:t>
            </w:r>
          </w:p>
        </w:tc>
        <w:tc>
          <w:tcPr>
            <w:tcW w:type="dxa" w:w="2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Governance, compliance, scale ops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 — high switching cost</w:t>
            </w:r>
          </w:p>
        </w:tc>
      </w:tr>
    </w:tbl>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4. Subscription Plans &amp; Revenue Model</w:t>
      </w:r>
    </w:p>
    <w:p>
      <w:pPr>
        <w:spacing w:before="60" w:after="100"/>
      </w:pPr>
      <w:r>
        <w:rPr>
          <w:rFonts w:ascii="Arial" w:cs="Arial" w:eastAsia="Arial" w:hAnsi="Arial"/>
          <w:color w:val="1F2937"/>
          <w:sz w:val="22"/>
          <w:szCs w:val="22"/>
        </w:rPr>
        <w:t xml:space="preserve">NexusFlow operates a seat-based SaaS pricing model with four tiers. Revenue is recognized monthly for monthly contracts and amortized monthly for annual and multi-year contracts.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60"/>
        <w:gridCol w:w="2100"/>
        <w:gridCol w:w="2100"/>
        <w:gridCol w:w="2100"/>
      </w:tblGrid>
      <w:tr>
        <w:tc>
          <w:tcPr>
            <w:tcW w:type="dxa" w:w="15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w:t>
            </w:r>
          </w:p>
        </w:tc>
        <w:tc>
          <w:tcPr>
            <w:tcW w:type="dxa" w:w="156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 / Seat</w:t>
            </w:r>
          </w:p>
        </w:tc>
        <w:tc>
          <w:tcPr>
            <w:tcW w:type="dxa" w:w="21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Included Features</w:t>
            </w:r>
          </w:p>
        </w:tc>
        <w:tc>
          <w:tcPr>
            <w:tcW w:type="dxa" w:w="21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Ideal Customer</w:t>
            </w:r>
          </w:p>
        </w:tc>
        <w:tc>
          <w:tcPr>
            <w:tcW w:type="dxa" w:w="21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Contract Available</w:t>
            </w:r>
          </w:p>
        </w:tc>
      </w:tr>
      <w:tr>
        <w:tc>
          <w:tcPr>
            <w:tcW w:type="dxa" w:w="15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Free</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$0</w:t>
            </w:r>
          </w:p>
        </w:tc>
        <w:tc>
          <w:tcPr>
            <w:tcW w:type="dxa" w:w="21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3 workflows, 5 integrations, 500 runs/mo</w:t>
            </w:r>
          </w:p>
        </w:tc>
        <w:tc>
          <w:tcPr>
            <w:tcW w:type="dxa" w:w="21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Individual or early-stage startup</w:t>
            </w:r>
          </w:p>
        </w:tc>
        <w:tc>
          <w:tcPr>
            <w:tcW w:type="dxa" w:w="21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only</w:t>
            </w:r>
          </w:p>
        </w:tc>
      </w:tr>
      <w:tr>
        <w:tc>
          <w:tcPr>
            <w:tcW w:type="dxa" w:w="15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Basic</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$79/seat/mo</w:t>
            </w:r>
          </w:p>
        </w:tc>
        <w:tc>
          <w:tcPr>
            <w:tcW w:type="dxa" w:w="21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25 workflows, 30 integrations, 10K runs/mo</w:t>
            </w:r>
          </w:p>
        </w:tc>
        <w:tc>
          <w:tcPr>
            <w:tcW w:type="dxa" w:w="21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Small teams, SMB</w:t>
            </w:r>
          </w:p>
        </w:tc>
        <w:tc>
          <w:tcPr>
            <w:tcW w:type="dxa" w:w="21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or Annual</w:t>
            </w:r>
          </w:p>
        </w:tc>
      </w:tr>
      <w:tr>
        <w:tc>
          <w:tcPr>
            <w:tcW w:type="dxa" w:w="15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$299/seat/mo</w:t>
            </w:r>
          </w:p>
        </w:tc>
        <w:tc>
          <w:tcPr>
            <w:tcW w:type="dxa" w:w="21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Unlimited workflows, 100+ integrations, analytics</w:t>
            </w:r>
          </w:p>
        </w:tc>
        <w:tc>
          <w:tcPr>
            <w:tcW w:type="dxa" w:w="21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Mid-market operations teams</w:t>
            </w:r>
          </w:p>
        </w:tc>
        <w:tc>
          <w:tcPr>
            <w:tcW w:type="dxa" w:w="21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Annual, Multi-Year</w:t>
            </w:r>
          </w:p>
        </w:tc>
      </w:tr>
      <w:tr>
        <w:tc>
          <w:tcPr>
            <w:tcW w:type="dxa" w:w="15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Enterprise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 ($999+)</w:t>
            </w:r>
          </w:p>
        </w:tc>
        <w:tc>
          <w:tcPr>
            <w:tcW w:type="dxa" w:w="21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Pro + SSO, SCIM, audit log, SLA, dedicated CSM</w:t>
            </w:r>
          </w:p>
        </w:tc>
        <w:tc>
          <w:tcPr>
            <w:tcW w:type="dxa" w:w="21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Large orgs, regulated industries</w:t>
            </w:r>
          </w:p>
        </w:tc>
        <w:tc>
          <w:tcPr>
            <w:tcW w:type="dxa" w:w="21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Annual or Multi-Year only</w:t>
            </w:r>
          </w:p>
        </w:tc>
      </w:tr>
    </w:tbl>
    <w:p>
      <w:pPr>
        <w:spacing w:before="80" w:after="80"/>
      </w:pPr>
      <w:r>
        <w:t xml:space="preserve"/>
      </w:r>
    </w:p>
    <w:p>
      <w:pPr>
        <w:spacing w:before="60" w:after="100"/>
      </w:pPr>
      <w:r>
        <w:rPr>
          <w:rFonts w:ascii="Arial" w:cs="Arial" w:eastAsia="Arial" w:hAnsi="Arial"/>
          <w:color w:val="1F2937"/>
          <w:sz w:val="22"/>
          <w:szCs w:val="22"/>
        </w:rPr>
        <w:t xml:space="preserve">Additional revenue streams include Professional Services (implementation support for Enterprise customers), Training Packages (certified NexusFlow admin programs), and API Overage fees for customers exceeding their monthly run limits.</w:t>
      </w:r>
    </w:p>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5. Business Scale &amp; Key Metrics</w:t>
      </w:r>
    </w:p>
    <w:p>
      <w:pPr>
        <w:pStyle w:val="Heading2"/>
        <w:spacing w:before="280" w:after="120"/>
      </w:pPr>
      <w:r>
        <w:rPr>
          <w:rFonts w:ascii="Arial" w:cs="Arial" w:eastAsia="Arial" w:hAnsi="Arial"/>
          <w:b/>
          <w:bCs/>
          <w:color w:val="2563EB"/>
          <w:sz w:val="28"/>
          <w:szCs w:val="28"/>
        </w:rPr>
        <w:t xml:space="preserve">5.1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2840"/>
        <w:gridCol w:w="2840"/>
      </w:tblGrid>
      <w:tr>
        <w:tc>
          <w:tcPr>
            <w:tcW w:type="dxa" w:w="368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84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Value</w:t>
            </w:r>
          </w:p>
        </w:tc>
        <w:tc>
          <w:tcPr>
            <w:tcW w:type="dxa" w:w="284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YoY Trend</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Annual Recurring Revenue (ARR)</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$48.2M</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+31% vs prior year</w:t>
            </w:r>
          </w:p>
        </w:tc>
      </w:tr>
      <w:tr>
        <w:tc>
          <w:tcPr>
            <w:tcW w:type="dxa" w:w="3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Recurring Revenue (MRR)</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$4.02M</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+2.4% MoM avg</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Average Revenue Per Account (ARPA)</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$2,060 / month</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Expanding via upsell</w:t>
            </w:r>
          </w:p>
        </w:tc>
      </w:tr>
      <w:tr>
        <w:tc>
          <w:tcPr>
            <w:tcW w:type="dxa" w:w="3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Net Revenue Retention (NRR)</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114%</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Healthy expansion motion</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Gross Margin</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73%</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Stable</w:t>
            </w:r>
          </w:p>
        </w:tc>
      </w:tr>
      <w:tr>
        <w:tc>
          <w:tcPr>
            <w:tcW w:type="dxa" w:w="3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Customer Acquisition Cost (CAC)</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$8,400</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Increasing with enterprise push</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CAC Payback Period</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14 months</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Target: &lt; 12 months</w:t>
            </w:r>
          </w:p>
        </w:tc>
      </w:tr>
    </w:tbl>
    <w:p>
      <w:pPr>
        <w:spacing w:before="80" w:after="80"/>
      </w:pPr>
      <w:r>
        <w:t xml:space="preserve"/>
      </w:r>
    </w:p>
    <w:p>
      <w:pPr>
        <w:pStyle w:val="Heading2"/>
        <w:spacing w:before="280" w:after="120"/>
      </w:pPr>
      <w:r>
        <w:rPr>
          <w:rFonts w:ascii="Arial" w:cs="Arial" w:eastAsia="Arial" w:hAnsi="Arial"/>
          <w:b/>
          <w:bCs/>
          <w:color w:val="2563EB"/>
          <w:sz w:val="28"/>
          <w:szCs w:val="28"/>
        </w:rPr>
        <w:t xml:space="preserve">5.2  Customer &amp; Retention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2840"/>
        <w:gridCol w:w="2840"/>
      </w:tblGrid>
      <w:tr>
        <w:tc>
          <w:tcPr>
            <w:tcW w:type="dxa" w:w="368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84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Value</w:t>
            </w:r>
          </w:p>
        </w:tc>
        <w:tc>
          <w:tcPr>
            <w:tcW w:type="dxa" w:w="284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Benchmark</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Total Active Customers</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23,400</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w:t>
            </w:r>
          </w:p>
        </w:tc>
      </w:tr>
      <w:tr>
        <w:tc>
          <w:tcPr>
            <w:tcW w:type="dxa" w:w="3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Churn Rate (Revenue)</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1.8%</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&lt; 2.0% (good for B2B SaaS)</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Annual Churn Rate (Customer Count)</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18.3%</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Industry avg: 15–25%</w:t>
            </w:r>
          </w:p>
        </w:tc>
      </w:tr>
      <w:tr>
        <w:tc>
          <w:tcPr>
            <w:tcW w:type="dxa" w:w="3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Average Customer Lifetime</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~5.5 years</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Customer Lifetime Value (CLV)</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$136,000</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CLV:CAC ratio = 16.2x</w:t>
            </w:r>
          </w:p>
        </w:tc>
      </w:tr>
      <w:tr>
        <w:tc>
          <w:tcPr>
            <w:tcW w:type="dxa" w:w="3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Net Promoter Score (NPS)</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+38</w:t>
            </w:r>
          </w:p>
        </w:tc>
        <w:tc>
          <w:tcPr>
            <w:tcW w:type="dxa" w:w="28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&gt; 30 = good for SaaS</w:t>
            </w:r>
          </w:p>
        </w:tc>
      </w:tr>
      <w:tr>
        <w:tc>
          <w:tcPr>
            <w:tcW w:type="dxa" w:w="36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Daily Active / Monthly Active (DAU/MAU)</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0.31</w:t>
            </w:r>
          </w:p>
        </w:tc>
        <w:tc>
          <w:tcPr>
            <w:tcW w:type="dxa" w:w="28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Target: &gt; 0.40</w:t>
            </w:r>
          </w:p>
        </w:tc>
      </w:tr>
    </w:tbl>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6. The Churn Problem — Why This Project Exists</w:t>
      </w:r>
    </w:p>
    <w:p>
      <w:pPr>
        <w:spacing w:before="60" w:after="100"/>
      </w:pPr>
      <w:r>
        <w:rPr>
          <w:rFonts w:ascii="Arial" w:cs="Arial" w:eastAsia="Arial" w:hAnsi="Arial"/>
          <w:color w:val="1F2937"/>
          <w:sz w:val="22"/>
          <w:szCs w:val="22"/>
        </w:rPr>
        <w:t xml:space="preserve">At 18.3% annual customer churn, NexusFlow is losing approximately 4,280 customers per year. Given an ARPA of $2,060/month, this translates to roughly $105.6M in cumulative ARR at risk over a 5-year horizon if no intervention is taken — even assuming the company acquires no new customers at risk of churning.</w:t>
      </w:r>
    </w:p>
    <w:p>
      <w:pPr>
        <w:spacing w:before="80" w:after="80"/>
      </w:pPr>
      <w:r>
        <w:t xml:space="preserve"/>
      </w:r>
    </w:p>
    <w:p>
      <w:pPr>
        <w:spacing w:before="60" w:after="100"/>
      </w:pPr>
      <w:r>
        <w:rPr>
          <w:rFonts w:ascii="Arial" w:cs="Arial" w:eastAsia="Arial" w:hAnsi="Arial"/>
          <w:color w:val="1F2937"/>
          <w:sz w:val="22"/>
          <w:szCs w:val="22"/>
        </w:rPr>
        <w:t xml:space="preserve">The current retention process is entirely reactive: the Customer Success team contacts customers only after they submit a cancellation request or miss a payment. At that point, the probability of saving the account drops below 20%. The goal of this ML project is to shift NexusFlow's retention motion from reactive to proactive.</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6.1  Primary Churn Drivers (Known from CS Team Feedback)</w:t>
      </w:r>
    </w:p>
    <w:p>
      <w:pPr>
        <w:pStyle w:val="ListParagraph"/>
        <w:numPr>
          <w:ilvl w:val="0"/>
          <w:numId w:val="2"/>
        </w:numPr>
        <w:spacing w:before="40" w:after="40"/>
      </w:pPr>
      <w:r>
        <w:rPr>
          <w:rFonts w:ascii="Arial" w:cs="Arial" w:eastAsia="Arial" w:hAnsi="Arial"/>
          <w:color w:val="1F2937"/>
          <w:sz w:val="22"/>
          <w:szCs w:val="22"/>
        </w:rPr>
        <w:t xml:space="preserve">Low product adoption — customers who configure fewer than 5 workflows in their first 60 days almost never expand</w:t>
      </w:r>
    </w:p>
    <w:p>
      <w:pPr>
        <w:pStyle w:val="ListParagraph"/>
        <w:numPr>
          <w:ilvl w:val="0"/>
          <w:numId w:val="2"/>
        </w:numPr>
        <w:spacing w:before="40" w:after="40"/>
      </w:pPr>
      <w:r>
        <w:rPr>
          <w:rFonts w:ascii="Arial" w:cs="Arial" w:eastAsia="Arial" w:hAnsi="Arial"/>
          <w:color w:val="1F2937"/>
          <w:sz w:val="22"/>
          <w:szCs w:val="22"/>
        </w:rPr>
        <w:t xml:space="preserve">Poor onboarding completion — customers who skip training sessions have 2.8x higher churn rate</w:t>
      </w:r>
    </w:p>
    <w:p>
      <w:pPr>
        <w:pStyle w:val="ListParagraph"/>
        <w:numPr>
          <w:ilvl w:val="0"/>
          <w:numId w:val="2"/>
        </w:numPr>
        <w:spacing w:before="40" w:after="40"/>
      </w:pPr>
      <w:r>
        <w:rPr>
          <w:rFonts w:ascii="Arial" w:cs="Arial" w:eastAsia="Arial" w:hAnsi="Arial"/>
          <w:color w:val="1F2937"/>
          <w:sz w:val="22"/>
          <w:szCs w:val="22"/>
        </w:rPr>
        <w:t xml:space="preserve">Payment failures — even a single failed payment increases 90-day churn probability by 40%</w:t>
      </w:r>
    </w:p>
    <w:p>
      <w:pPr>
        <w:pStyle w:val="ListParagraph"/>
        <w:numPr>
          <w:ilvl w:val="0"/>
          <w:numId w:val="2"/>
        </w:numPr>
        <w:spacing w:before="40" w:after="40"/>
      </w:pPr>
      <w:r>
        <w:rPr>
          <w:rFonts w:ascii="Arial" w:cs="Arial" w:eastAsia="Arial" w:hAnsi="Arial"/>
          <w:color w:val="1F2937"/>
          <w:sz w:val="22"/>
          <w:szCs w:val="22"/>
        </w:rPr>
        <w:t xml:space="preserve">High support escalation rates — repeated unresolved tickets correlate strongly with cancellation intent</w:t>
      </w:r>
    </w:p>
    <w:p>
      <w:pPr>
        <w:pStyle w:val="ListParagraph"/>
        <w:numPr>
          <w:ilvl w:val="0"/>
          <w:numId w:val="2"/>
        </w:numPr>
        <w:spacing w:before="40" w:after="40"/>
      </w:pPr>
      <w:r>
        <w:rPr>
          <w:rFonts w:ascii="Arial" w:cs="Arial" w:eastAsia="Arial" w:hAnsi="Arial"/>
          <w:color w:val="1F2937"/>
          <w:sz w:val="22"/>
          <w:szCs w:val="22"/>
        </w:rPr>
        <w:t xml:space="preserve">Month-to-month contracts — no annual commitment means low switching friction</w:t>
      </w:r>
    </w:p>
    <w:p>
      <w:pPr>
        <w:pStyle w:val="ListParagraph"/>
        <w:numPr>
          <w:ilvl w:val="0"/>
          <w:numId w:val="2"/>
        </w:numPr>
        <w:spacing w:before="40" w:after="40"/>
      </w:pPr>
      <w:r>
        <w:rPr>
          <w:rFonts w:ascii="Arial" w:cs="Arial" w:eastAsia="Arial" w:hAnsi="Arial"/>
          <w:color w:val="1F2937"/>
          <w:sz w:val="22"/>
          <w:szCs w:val="22"/>
        </w:rPr>
        <w:t xml:space="preserve">Single-user accounts — customers using only 1 seat have no organizational lock-in</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6.2  Revenue at Risk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Cohort</w:t>
            </w:r>
          </w:p>
        </w:tc>
        <w:tc>
          <w:tcPr>
            <w:tcW w:type="dxa" w:w="308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Estimated Customers</w:t>
            </w:r>
          </w:p>
        </w:tc>
        <w:tc>
          <w:tcPr>
            <w:tcW w:type="dxa" w:w="308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MRR at Risk</w:t>
            </w:r>
          </w:p>
        </w:tc>
      </w:tr>
      <w:tr>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 Risk (churn prob &gt; 0.70)</w:t>
            </w:r>
          </w:p>
        </w:tc>
        <w:tc>
          <w:tcPr>
            <w:tcW w:type="dxa" w:w="30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~1,640</w:t>
            </w:r>
          </w:p>
        </w:tc>
        <w:tc>
          <w:tcPr>
            <w:tcW w:type="dxa" w:w="30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$3.38M / month</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 Risk (churn prob 0.40–0.70)</w:t>
            </w:r>
          </w:p>
        </w:tc>
        <w:tc>
          <w:tcPr>
            <w:tcW w:type="dxa" w:w="30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~3,510</w:t>
            </w:r>
          </w:p>
        </w:tc>
        <w:tc>
          <w:tcPr>
            <w:tcW w:type="dxa" w:w="30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$7.23M / month</w:t>
            </w:r>
          </w:p>
        </w:tc>
      </w:tr>
      <w:tr>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 Risk (churn prob &lt; 0.40)</w:t>
            </w:r>
          </w:p>
        </w:tc>
        <w:tc>
          <w:tcPr>
            <w:tcW w:type="dxa" w:w="30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~18,250</w:t>
            </w:r>
          </w:p>
        </w:tc>
        <w:tc>
          <w:tcPr>
            <w:tcW w:type="dxa" w:w="308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Stable</w:t>
            </w:r>
          </w:p>
        </w:tc>
      </w:tr>
    </w:tbl>
    <w:p>
      <w:pPr>
        <w:spacing w:before="80" w:after="80"/>
      </w:pPr>
      <w:r>
        <w:t xml:space="preserve"/>
      </w:r>
    </w:p>
    <w:p>
      <w:pPr>
        <w:spacing w:before="60" w:after="100"/>
      </w:pPr>
      <w:r>
        <w:rPr>
          <w:rFonts w:ascii="Arial" w:cs="Arial" w:eastAsia="Arial" w:hAnsi="Arial"/>
          <w:color w:val="1F2937"/>
          <w:sz w:val="22"/>
          <w:szCs w:val="22"/>
        </w:rPr>
        <w:t xml:space="preserve">The ML model's output — a probability score per customer — will allow the Customer Success team to prioritize their outreach to high-risk accounts before the cancellation decision is made. A 25% reduction in high-risk churn would recover approximately $845K in monthly recurring revenue.</w:t>
      </w:r>
    </w:p>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7. Industries Served</w:t>
      </w:r>
    </w:p>
    <w:p>
      <w:pPr>
        <w:spacing w:before="60" w:after="100"/>
      </w:pPr>
      <w:r>
        <w:rPr>
          <w:rFonts w:ascii="Arial" w:cs="Arial" w:eastAsia="Arial" w:hAnsi="Arial"/>
          <w:color w:val="1F2937"/>
          <w:sz w:val="22"/>
          <w:szCs w:val="22"/>
        </w:rPr>
        <w:t xml:space="preserve">NexusFlow serves 10 primary industries. Churn behavior varies significantly by industry due to differences in procurement cycles, regulatory constraints, and how teams use automation tools.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2600"/>
        <w:gridCol w:w="3200"/>
      </w:tblGrid>
      <w:tr>
        <w:tc>
          <w:tcPr>
            <w:tcW w:type="dxa" w:w="20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Industry</w:t>
            </w:r>
          </w:p>
        </w:tc>
        <w:tc>
          <w:tcPr>
            <w:tcW w:type="dxa" w:w="156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of Base</w:t>
            </w:r>
          </w:p>
        </w:tc>
        <w:tc>
          <w:tcPr>
            <w:tcW w:type="dxa" w:w="26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NexusFlow Use</w:t>
            </w:r>
          </w:p>
        </w:tc>
        <w:tc>
          <w:tcPr>
            <w:tcW w:type="dxa" w:w="32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Churn Characteristic</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Technology</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20%</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Dev ops workflows, incident routing</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Power users — low churn if adopted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Finance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14%</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Compliance reporting, audit trails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 governance need — sticky</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Healthcare</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11%</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Patient intake, staff scheduling</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HIPAA need — long tenure once adopted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Retail</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12%</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Inventory alerts, vendor workflows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Seasonal risk — spikes in Q1/Q4</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Education</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9%</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Student comms, enrollment flows</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Annual contract cycle — budget dependent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Manufacturing</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10%</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Supply chain alerts, QA workflows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Enterprise-heavy — very low churn</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Marketing</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9%</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Campaign ops, lead nurturing</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 churn — competitive market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Logistics</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7%</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Dispatch automation, tracking alerts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Price sensitive — medium churn risk</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Legal</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5%</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Contract workflows, deadline tracking</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Conservative adopters — slow but sticky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Real Estate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3%</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Listing automation, client comms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Seasonal risk — market-dependent</w:t>
            </w:r>
          </w:p>
        </w:tc>
      </w:tr>
    </w:tbl>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8. Geographic Presence</w:t>
      </w:r>
    </w:p>
    <w:p>
      <w:pPr>
        <w:spacing w:before="60" w:after="100"/>
      </w:pPr>
      <w:r>
        <w:rPr>
          <w:rFonts w:ascii="Arial" w:cs="Arial" w:eastAsia="Arial" w:hAnsi="Arial"/>
          <w:color w:val="1F2937"/>
          <w:sz w:val="22"/>
          <w:szCs w:val="22"/>
        </w:rPr>
        <w:t xml:space="preserve">NexusFlow is primarily a North American company but has expanded into Europe and APAC through a self-serve motion and a small regional sales team in London and Singapore.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2600"/>
        <w:gridCol w:w="2600"/>
      </w:tblGrid>
      <w:tr>
        <w:tc>
          <w:tcPr>
            <w:tcW w:type="dxa" w:w="26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w:t>
            </w:r>
          </w:p>
        </w:tc>
        <w:tc>
          <w:tcPr>
            <w:tcW w:type="dxa" w:w="156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of Customers</w:t>
            </w:r>
          </w:p>
        </w:tc>
        <w:tc>
          <w:tcPr>
            <w:tcW w:type="dxa" w:w="26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Go-to-Market</w:t>
            </w:r>
          </w:p>
        </w:tc>
        <w:tc>
          <w:tcPr>
            <w:tcW w:type="dxa" w:w="26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North America</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38%</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Inside sales + self-serve</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Core market, highest ARPA</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Europe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27%</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London office, GDPR compliant</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Growing fast, GDPR matters here</w:t>
            </w:r>
          </w:p>
        </w:tc>
      </w:tr>
      <w:tr>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APAC</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18%</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Singapore hub, self-serve primary</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Lower ARPA, high growth</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Latin America</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11%</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Self-serve only</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Mostly SMB and Startup segments</w:t>
            </w:r>
          </w:p>
        </w:tc>
      </w:tr>
      <w:tr>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Middle East &amp; Africa</w:t>
            </w:r>
          </w:p>
        </w:tc>
        <w:tc>
          <w:tcPr>
            <w:tcW w:type="dxa" w:w="1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6%</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Partner-led</w:t>
            </w:r>
          </w:p>
        </w:tc>
        <w:tc>
          <w:tcPr>
            <w:tcW w:type="dxa" w:w="2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Early stage, high potential</w:t>
            </w:r>
          </w:p>
        </w:tc>
      </w:tr>
    </w:tbl>
    <w:p>
      <w:pPr>
        <w:spacing w:before="80" w:after="80"/>
      </w:pPr>
      <w:r>
        <w:t xml:space="preserve"/>
      </w:r>
    </w:p>
    <w:p>
      <w:pPr>
        <w:pStyle w:val="Heading1"/>
        <w:pBdr>
          <w:bottom w:val="single" w:color="2563EB" w:sz="4" w:space="4"/>
        </w:pBdr>
        <w:spacing w:before="320" w:after="160"/>
      </w:pPr>
      <w:r>
        <w:rPr>
          <w:rFonts w:ascii="Arial" w:cs="Arial" w:eastAsia="Arial" w:hAnsi="Arial"/>
          <w:b/>
          <w:bCs/>
          <w:color w:val="1E3A5F"/>
          <w:sz w:val="36"/>
          <w:szCs w:val="36"/>
        </w:rPr>
        <w:t xml:space="preserve">9. How the ML Model Fits Into the Business</w:t>
      </w:r>
    </w:p>
    <w:p>
      <w:pPr>
        <w:spacing w:before="60" w:after="100"/>
      </w:pPr>
      <w:r>
        <w:rPr>
          <w:rFonts w:ascii="Arial" w:cs="Arial" w:eastAsia="Arial" w:hAnsi="Arial"/>
          <w:color w:val="1F2937"/>
          <w:sz w:val="22"/>
          <w:szCs w:val="22"/>
        </w:rPr>
        <w:t xml:space="preserve">This section documents how the churn prediction model output connects to actual business decisions at NexusFlow. This context must be referenced when making every modeling and feature engineering choice in Layers 2–6 of the project.</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9.1  Who Uses the Model Output</w:t>
      </w:r>
    </w:p>
    <w:p>
      <w:pPr>
        <w:pStyle w:val="ListParagraph"/>
        <w:numPr>
          <w:ilvl w:val="0"/>
          <w:numId w:val="2"/>
        </w:numPr>
        <w:spacing w:before="40" w:after="40"/>
      </w:pPr>
      <w:r>
        <w:rPr>
          <w:rFonts w:ascii="Arial" w:cs="Arial" w:eastAsia="Arial" w:hAnsi="Arial"/>
          <w:color w:val="1F2937"/>
          <w:sz w:val="22"/>
          <w:szCs w:val="22"/>
        </w:rPr>
        <w:t xml:space="preserve">Customer Success Managers (CSMs): Primary consumers. Receive a weekly churn risk report ranked by probability score. Prioritize outreach accordingly.</w:t>
      </w:r>
    </w:p>
    <w:p>
      <w:pPr>
        <w:pStyle w:val="ListParagraph"/>
        <w:numPr>
          <w:ilvl w:val="0"/>
          <w:numId w:val="2"/>
        </w:numPr>
        <w:spacing w:before="40" w:after="40"/>
      </w:pPr>
      <w:r>
        <w:rPr>
          <w:rFonts w:ascii="Arial" w:cs="Arial" w:eastAsia="Arial" w:hAnsi="Arial"/>
          <w:color w:val="1F2937"/>
          <w:sz w:val="22"/>
          <w:szCs w:val="22"/>
        </w:rPr>
        <w:t xml:space="preserve">VP of Customer Success: Reviews high-risk cohort dashboard monthly to allocate CSM bandwidth and escalate enterprise accounts.</w:t>
      </w:r>
    </w:p>
    <w:p>
      <w:pPr>
        <w:pStyle w:val="ListParagraph"/>
        <w:numPr>
          <w:ilvl w:val="0"/>
          <w:numId w:val="2"/>
        </w:numPr>
        <w:spacing w:before="40" w:after="40"/>
      </w:pPr>
      <w:r>
        <w:rPr>
          <w:rFonts w:ascii="Arial" w:cs="Arial" w:eastAsia="Arial" w:hAnsi="Arial"/>
          <w:color w:val="1F2937"/>
          <w:sz w:val="22"/>
          <w:szCs w:val="22"/>
        </w:rPr>
        <w:t xml:space="preserve">Finance Team: Uses aggregate churn probability to model MRR forecasts and revenue at risk.</w:t>
      </w:r>
    </w:p>
    <w:p>
      <w:pPr>
        <w:pStyle w:val="ListParagraph"/>
        <w:numPr>
          <w:ilvl w:val="0"/>
          <w:numId w:val="2"/>
        </w:numPr>
        <w:spacing w:before="40" w:after="40"/>
      </w:pPr>
      <w:r>
        <w:rPr>
          <w:rFonts w:ascii="Arial" w:cs="Arial" w:eastAsia="Arial" w:hAnsi="Arial"/>
          <w:color w:val="1F2937"/>
          <w:sz w:val="22"/>
          <w:szCs w:val="22"/>
        </w:rPr>
        <w:t xml:space="preserve">Product Team: Analyzes which feature adoption signals correlate with churn to prioritize product roadmap.</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9.2  Model Output Requirements</w:t>
      </w:r>
    </w:p>
    <w:p>
      <w:pPr>
        <w:pStyle w:val="ListParagraph"/>
        <w:numPr>
          <w:ilvl w:val="0"/>
          <w:numId w:val="2"/>
        </w:numPr>
        <w:spacing w:before="40" w:after="40"/>
      </w:pPr>
      <w:r>
        <w:rPr>
          <w:rFonts w:ascii="Arial" w:cs="Arial" w:eastAsia="Arial" w:hAnsi="Arial"/>
          <w:color w:val="1F2937"/>
          <w:sz w:val="22"/>
          <w:szCs w:val="22"/>
        </w:rPr>
        <w:t xml:space="preserve">Output must be a probability score (0.0–1.0), not just a binary yes/no label — CSMs need to rank accounts, not just flag them</w:t>
      </w:r>
    </w:p>
    <w:p>
      <w:pPr>
        <w:pStyle w:val="ListParagraph"/>
        <w:numPr>
          <w:ilvl w:val="0"/>
          <w:numId w:val="2"/>
        </w:numPr>
        <w:spacing w:before="40" w:after="40"/>
      </w:pPr>
      <w:r>
        <w:rPr>
          <w:rFonts w:ascii="Arial" w:cs="Arial" w:eastAsia="Arial" w:hAnsi="Arial"/>
          <w:color w:val="1F2937"/>
          <w:sz w:val="22"/>
          <w:szCs w:val="22"/>
        </w:rPr>
        <w:t xml:space="preserve">Score must be explainable — CSM needs to know why a customer is flagged (top 3 risk factors per account)</w:t>
      </w:r>
    </w:p>
    <w:p>
      <w:pPr>
        <w:pStyle w:val="ListParagraph"/>
        <w:numPr>
          <w:ilvl w:val="0"/>
          <w:numId w:val="2"/>
        </w:numPr>
        <w:spacing w:before="40" w:after="40"/>
      </w:pPr>
      <w:r>
        <w:rPr>
          <w:rFonts w:ascii="Arial" w:cs="Arial" w:eastAsia="Arial" w:hAnsi="Arial"/>
          <w:color w:val="1F2937"/>
          <w:sz w:val="22"/>
          <w:szCs w:val="22"/>
        </w:rPr>
        <w:t xml:space="preserve">Model must be calibrated — a score of 0.80 should actually mean ~80% probability of churn, not just a relative ranking</w:t>
      </w:r>
    </w:p>
    <w:p>
      <w:pPr>
        <w:pStyle w:val="ListParagraph"/>
        <w:numPr>
          <w:ilvl w:val="0"/>
          <w:numId w:val="2"/>
        </w:numPr>
        <w:spacing w:before="40" w:after="40"/>
      </w:pPr>
      <w:r>
        <w:rPr>
          <w:rFonts w:ascii="Arial" w:cs="Arial" w:eastAsia="Arial" w:hAnsi="Arial"/>
          <w:color w:val="1F2937"/>
          <w:sz w:val="22"/>
          <w:szCs w:val="22"/>
        </w:rPr>
        <w:t xml:space="preserve">Refresh frequency: weekly batch scoring of all active customer accounts</w:t>
      </w:r>
    </w:p>
    <w:p>
      <w:pPr>
        <w:spacing w:before="80" w:after="80"/>
      </w:pPr>
      <w:r>
        <w:t xml:space="preserve"/>
      </w:r>
    </w:p>
    <w:p>
      <w:pPr>
        <w:pStyle w:val="Heading2"/>
        <w:spacing w:before="280" w:after="120"/>
      </w:pPr>
      <w:r>
        <w:rPr>
          <w:rFonts w:ascii="Arial" w:cs="Arial" w:eastAsia="Arial" w:hAnsi="Arial"/>
          <w:b/>
          <w:bCs/>
          <w:color w:val="2563EB"/>
          <w:sz w:val="28"/>
          <w:szCs w:val="28"/>
        </w:rPr>
        <w:t xml:space="preserve">9.3  Business Metric That Defines Model Success</w:t>
      </w:r>
    </w:p>
    <w:p>
      <w:pPr>
        <w:spacing w:before="60" w:after="100"/>
      </w:pPr>
      <w:r>
        <w:rPr>
          <w:rFonts w:ascii="Arial" w:cs="Arial" w:eastAsia="Arial" w:hAnsi="Arial"/>
          <w:color w:val="1F2937"/>
          <w:sz w:val="22"/>
          <w:szCs w:val="22"/>
        </w:rPr>
        <w:t xml:space="preserve">The model is not evaluated by accuracy alone. The business metric is: reduction in MRR churn rate attributable to proactive CSM outreach to model-identified high-risk accounts. A secondary metric is CSM efficiency — fewer total accounts contacted per retained dollar.</w:t>
      </w:r>
    </w:p>
    <w:p>
      <w:pPr>
        <w:spacing w:before="80" w:after="80"/>
      </w:pPr>
      <w:r>
        <w:t xml:space="preserve"/>
      </w:r>
    </w:p>
    <w:p>
      <w:r>
        <w:br w:type="page"/>
      </w:r>
    </w:p>
    <w:p>
      <w:pPr>
        <w:pStyle w:val="Heading1"/>
        <w:pBdr>
          <w:bottom w:val="single" w:color="2563EB" w:sz="4" w:space="4"/>
        </w:pBdr>
        <w:spacing w:before="320" w:after="160"/>
      </w:pPr>
      <w:r>
        <w:rPr>
          <w:rFonts w:ascii="Arial" w:cs="Arial" w:eastAsia="Arial" w:hAnsi="Arial"/>
          <w:b/>
          <w:bCs/>
          <w:color w:val="1E3A5F"/>
          <w:sz w:val="36"/>
          <w:szCs w:val="36"/>
        </w:rPr>
        <w:t xml:space="preserve">10. Dataset Column Dictionary</w:t>
      </w:r>
    </w:p>
    <w:p>
      <w:pPr>
        <w:spacing w:before="60" w:after="100"/>
      </w:pPr>
      <w:r>
        <w:rPr>
          <w:rFonts w:ascii="Arial" w:cs="Arial" w:eastAsia="Arial" w:hAnsi="Arial"/>
          <w:color w:val="1F2937"/>
          <w:sz w:val="22"/>
          <w:szCs w:val="22"/>
        </w:rPr>
        <w:t xml:space="preserve">The following table defines every column in the saas_churn_dirty.csv dataset, its business meaning at NexusFlow, expected data type, and its anticipated predictive relevance for churn modeling.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360"/>
        <w:gridCol w:w="2400"/>
      </w:tblGrid>
      <w:tr>
        <w:tc>
          <w:tcPr>
            <w:tcW w:type="dxa" w:w="20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 Name</w:t>
            </w:r>
          </w:p>
        </w:tc>
        <w:tc>
          <w:tcPr>
            <w:tcW w:type="dxa" w:w="22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Meaning</w:t>
            </w:r>
          </w:p>
        </w:tc>
        <w:tc>
          <w:tcPr>
            <w:tcW w:type="dxa" w:w="14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36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Relevance</w:t>
            </w:r>
          </w:p>
        </w:tc>
        <w:tc>
          <w:tcPr>
            <w:tcW w:type="dxa" w:w="2400"/>
            <w:tcBorders>
              <w:top w:val="single" w:color="DBEAFE" w:sz="1"/>
              <w:left w:val="single" w:color="DBEAFE" w:sz="1"/>
              <w:bottom w:val="single" w:color="DBEAFE" w:sz="1"/>
              <w:right w:val="single" w:color="DBEA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for Cleaning</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customer_id</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Unique account identifier</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String</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 (ID)</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company_size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SMB / Mid-Market / Enterprise / Startup</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Encode as ordinal</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industry</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Customer's primary business sector</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One-hot or target encode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region</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Geographic region of the account</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LOW-MED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Group sparse regions if needed</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subscription_plan</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Free / Basic / Pro / Enterprise</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Dirty: inconsistent case — clean first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contract_type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or Yearly billing cycle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Dirty: multiple variants — standardize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tenure_months</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Months since account creation</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Dirty: some stored as string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monthly_revenue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MRR billed to this account</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negatives and outliers — handle both</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seats_licensed</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Number of seats on the contract</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values (~4%)</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discount_applied</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discount on plan price (0–50)</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values (~5%)</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payment_failures</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of failed payment attempts (12 mo)</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VERY 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Key churn driver — validate distribution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login_frequency</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Avg logins per month (last 90 days)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Correlated with feature_usage_score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feature_usage_score</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0–100 score of platform feature adoption</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VERY 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Dirty: some stored as string (~2.5%)</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avg_session_duration_mins</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Avg time per login session (minutes)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 missing — validate range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last_login_days_ago</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Days since the account last logged in</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VERY 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(~6%) — impute carefully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integration_count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of third-party integrations active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(~6%)</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training_sessions_attended</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of NexusFlow training sessions attended</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(~9%)</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onboarding_completed</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Did the team complete onboarding? Yes/No</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Dirty: Yes/No/Y/N/yes/no/1/0 variants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support_tickets_count</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of support tickets opened (6 mo)</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 missing — validate distribution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avg_response_time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Avg hours for NexusFlow to respond to tickets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(~7%)</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customer_satisfaction_score</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CSAT score from post-ticket surveys (1–5)</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HIGH</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(~8%)</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email_open_rate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of NexusFlow emails opened (0–1)</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LOW-MED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 missing (~10%)</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device_type</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Primary device used to access NexusFlow</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 missing — clean categories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signup_date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Date the account was created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Date</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MEDIUM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Dirty: 4 mixed formats — parse carefully</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random_id_hash</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Internal hash — no business meaning</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String</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theme_preference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UI color theme selected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ui_language</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Language setting of the interface</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Categorical</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account_color</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Brand color chosen for workspace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String</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dummy_score</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System-generated placeholder — no meaning</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referral_code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Code used at signup if referred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String</w:t>
            </w:r>
          </w:p>
        </w:tc>
        <w:tc>
          <w:tcPr>
            <w:tcW w:type="dxa" w:w="1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73% missing — drop before modeling</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last_password_change_days</w:t>
            </w:r>
          </w:p>
        </w:tc>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Days since password last changed</w:t>
            </w:r>
          </w:p>
        </w:tc>
        <w:tc>
          <w:tcPr>
            <w:tcW w:type="dxa" w:w="1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13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NONE</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Drop before modeling</w:t>
            </w:r>
          </w:p>
        </w:tc>
      </w:tr>
      <w:tr>
        <w:tc>
          <w:tcPr>
            <w:tcW w:type="dxa" w:w="2000"/>
            <w:tcBorders>
              <w:top w:val="single" w:color="DBEAFE" w:sz="1"/>
              <w:left w:val="single" w:color="DBEAFE" w:sz="1"/>
              <w:bottom w:val="single" w:color="DBEAFE" w:sz="1"/>
              <w:right w:val="single" w:color="DBEAFE" w:sz="1"/>
            </w:tcBorders>
            <w:shd w:fill="BFDBFE"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churn</w:t>
            </w:r>
          </w:p>
        </w:tc>
        <w:tc>
          <w:tcPr>
            <w:tcW w:type="dxa" w:w="2200"/>
            <w:tcBorders>
              <w:top w:val="single" w:color="DBEAFE" w:sz="1"/>
              <w:left w:val="single" w:color="DBEAFE" w:sz="1"/>
              <w:bottom w:val="single" w:color="DBEAFE" w:sz="1"/>
              <w:right w:val="single" w:color="DBEAFE" w:sz="1"/>
            </w:tcBorders>
            <w:shd w:fill="BFDBFE"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TARGET: 1 = churned, 0 = retained</w:t>
            </w:r>
          </w:p>
        </w:tc>
        <w:tc>
          <w:tcPr>
            <w:tcW w:type="dxa" w:w="1400"/>
            <w:tcBorders>
              <w:top w:val="single" w:color="DBEAFE" w:sz="1"/>
              <w:left w:val="single" w:color="DBEAFE" w:sz="1"/>
              <w:bottom w:val="single" w:color="DBEAFE" w:sz="1"/>
              <w:right w:val="single" w:color="DBEAFE" w:sz="1"/>
            </w:tcBorders>
            <w:shd w:fill="BFDBFE"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Binary</w:t>
            </w:r>
          </w:p>
        </w:tc>
        <w:tc>
          <w:tcPr>
            <w:tcW w:type="dxa" w:w="1360"/>
            <w:tcBorders>
              <w:top w:val="single" w:color="DBEAFE" w:sz="1"/>
              <w:left w:val="single" w:color="DBEAFE" w:sz="1"/>
              <w:bottom w:val="single" w:color="DBEAFE" w:sz="1"/>
              <w:right w:val="single" w:color="DBEAFE" w:sz="1"/>
            </w:tcBorders>
            <w:shd w:fill="BFDBFE"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TARGET</w:t>
            </w:r>
          </w:p>
        </w:tc>
        <w:tc>
          <w:tcPr>
            <w:tcW w:type="dxa" w:w="2400"/>
            <w:tcBorders>
              <w:top w:val="single" w:color="DBEAFE" w:sz="1"/>
              <w:left w:val="single" w:color="DBEAFE" w:sz="1"/>
              <w:bottom w:val="single" w:color="DBEAFE" w:sz="1"/>
              <w:right w:val="single" w:color="DBEAFE" w:sz="1"/>
            </w:tcBorders>
            <w:shd w:fill="BFDBFE"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18.04% positive rate — class imbalance exists</w:t>
            </w:r>
          </w:p>
        </w:tc>
      </w:tr>
    </w:tbl>
    <w:p>
      <w:pPr>
        <w:spacing w:before="80" w:after="80"/>
      </w:pPr>
      <w:r>
        <w:t xml:space="preserve"/>
      </w:r>
    </w:p>
    <w:p>
      <w:pPr>
        <w:spacing w:before="80" w:after="80"/>
      </w:pPr>
      <w:r>
        <w:t xml:space="preserve"/>
      </w:r>
    </w:p>
    <w:p>
      <w:pPr>
        <w:spacing w:before="60" w:after="100"/>
      </w:pPr>
      <w:r>
        <w:rPr>
          <w:rFonts w:ascii="Arial" w:cs="Arial" w:eastAsia="Arial" w:hAnsi="Arial"/>
          <w:color w:val="1F2937"/>
          <w:sz w:val="22"/>
          <w:szCs w:val="22"/>
        </w:rPr>
        <w:t xml:space="preserve">This document should be referenced throughout all phases of the churn prediction project. Any question about whether a feature, a cleaning decision, or an evaluation metric makes sense should be answered in relation to the business context described here.</w:t>
      </w:r>
    </w:p>
    <w:p>
      <w:pPr>
        <w:pBdr>
          <w:top w:val="single" w:color="2563EB" w:sz="4" w:space="4"/>
        </w:pBdr>
        <w:spacing w:before="160" w:after="0"/>
      </w:pPr>
      <w:r>
        <w:rPr>
          <w:rFonts w:ascii="Arial" w:cs="Arial" w:eastAsia="Arial" w:hAnsi="Arial"/>
          <w:color w:val="6B7280"/>
          <w:sz w:val="18"/>
          <w:szCs w:val="18"/>
        </w:rPr>
        <w:t xml:space="preserve">NexusFlow Inc. — Confidential Internal Document — Customer Churn Prediction Project</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360"/>
      </w:tabs>
      <w:spacing w:before="120"/>
    </w:pPr>
    <w:r>
      <w:rPr>
        <w:rFonts w:ascii="Arial" w:cs="Arial" w:eastAsia="Arial" w:hAnsi="Arial"/>
        <w:color w:val="6B7280"/>
        <w:sz w:val="18"/>
        <w:szCs w:val="18"/>
      </w:rPr>
      <w:t xml:space="preserve">NexusFlow Inc. — Customer Churn Prediction Project</w:t>
    </w:r>
    <w:r>
      <w:rPr>
        <w:rFonts w:ascii="Arial" w:cs="Arial" w:eastAsia="Arial" w:hAnsi="Arial"/>
        <w:color w:val="6B7280"/>
        <w:sz w:val="18"/>
        <w:szCs w:val="18"/>
      </w:rPr>
      <w:t xml:space="preserve">	Page </w:t>
    </w:r>
    <w:r>
      <w:rPr>
        <w:rFonts w:ascii="Arial" w:cs="Arial" w:eastAsia="Arial" w:hAnsi="Arial"/>
        <w:color w:val="6B728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120"/>
    </w:pPr>
    <w:r>
      <w:rPr>
        <w:rFonts w:ascii="Arial" w:cs="Arial" w:eastAsia="Arial" w:hAnsi="Arial"/>
        <w:color w:val="6B7280"/>
        <w:sz w:val="18"/>
        <w:szCs w:val="18"/>
      </w:rPr>
      <w:t xml:space="preserve">NexusFlow Inc.  |  Business Context Document</w:t>
    </w:r>
    <w:r>
      <w:rPr>
        <w:rFonts w:ascii="Arial" w:cs="Arial" w:eastAsia="Arial" w:hAnsi="Arial"/>
        <w:color w:val="6B7280"/>
        <w:sz w:val="18"/>
        <w:szCs w:val="18"/>
      </w:rPr>
      <w:t xml:space="preserve">   |   Confidential — ML Project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2026-03-27T12:38:11.320Z</dcterms:created>
  <dcterms:modified xsi:type="dcterms:W3CDTF">2026-03-27T12:38:11.320Z</dcterms:modified>
</cp:coreProperties>
</file>

<file path=docProps/custom.xml><?xml version="1.0" encoding="utf-8"?>
<Properties xmlns="http://schemas.openxmlformats.org/officeDocument/2006/custom-properties" xmlns:vt="http://schemas.openxmlformats.org/officeDocument/2006/docPropsVTypes"/>
</file>