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color w:val="0A192F"/>
          <w:sz w:val="40"/>
        </w:rPr>
        <w:t>An Explainable and Demographic-Fair Automated Recruitment Framework Combining Dense Semantic Embeddings, Computerized Adaptive Testing, and Counterfactual Auditing</w:t>
      </w:r>
    </w:p>
    <w:p>
      <w:pPr>
        <w:spacing w:after="40"/>
        <w:jc w:val="center"/>
      </w:pPr>
      <w:r>
        <w:rPr>
          <w:b/>
          <w:sz w:val="22"/>
        </w:rPr>
        <w:t>Abhijeet Sah</w:t>
      </w:r>
      <w:r>
        <w:t xml:space="preserve">, Student Member, IEEE, and </w:t>
      </w:r>
      <w:r>
        <w:rPr>
          <w:b/>
          <w:sz w:val="22"/>
        </w:rPr>
        <w:t>Manish Kumar</w:t>
      </w:r>
      <w:r>
        <w:t>, Student Member, IEEE</w:t>
      </w:r>
    </w:p>
    <w:p>
      <w:pPr>
        <w:spacing w:after="280"/>
        <w:jc w:val="center"/>
      </w:pPr>
      <w:r>
        <w:rPr>
          <w:i/>
          <w:color w:val="464646"/>
          <w:sz w:val="19"/>
        </w:rPr>
        <w:t>Department of Computer Science and Engineering, School of Computing Science and Engineering</w:t>
        <w:br/>
        <w:t>Galgotias University, Greater Noida, Uttar Pradesh 203201, India</w:t>
        <w:br/>
        <w:t>Email: abhijeetsah259@gmail.com, manishsinghaniya402@gmail.com</w:t>
      </w:r>
    </w:p>
    <w:tbl>
      <w:tblPr>
        <w:tblW w:type="auto" w:w="0"/>
        <w:jc w:val="center"/>
        <w:tblLook w:firstColumn="1" w:firstRow="1" w:lastColumn="0" w:lastRow="0" w:noHBand="0" w:noVBand="1" w:val="04A0"/>
      </w:tblPr>
      <w:tblGrid>
        <w:gridCol w:w="10080"/>
      </w:tblGrid>
      <w:tr>
        <w:tc>
          <w:tcPr>
            <w:tcW w:type="dxa" w:w="10080"/>
            <w:tcMar>
              <w:top w:w="140" w:type="dxa"/>
              <w:bottom w:w="140" w:type="dxa"/>
              <w:left w:w="180" w:type="dxa"/>
              <w:right w:w="180" w:type="dxa"/>
            </w:tcMar>
            <w:shd w:fill="F8F9FA"/>
          </w:tcPr>
          <w:p>
            <w:pPr>
              <w:spacing w:after="80" w:line="252" w:lineRule="auto"/>
              <w:jc w:val="both"/>
            </w:pPr>
            <w:r>
              <w:rPr>
                <w:b/>
                <w:i/>
                <w:sz w:val="18"/>
              </w:rPr>
              <w:t>Abstract—</w:t>
            </w:r>
            <w:r>
              <w:rPr>
                <w:sz w:val="18"/>
              </w:rPr>
              <w:t>Contemporary corporate talent acquisition faces an acute operational dilemma: human recruiters cannot manually evaluate the thousands of applications submitted for technical requisitions, yet incumbent automated solutions present critical vulnerabilities. Traditional Applicant Tracking Systems (ATS) rely upon rigid keyword matching, penalizing qualified applicants who express competencies through synonymous terminology (yielding lexical mismatch rates exceeding 60%). Conversely, emerging generative Large Language Model (LLM) evaluators suffer from severe non-determinism, susceptibility to indirect adversarial prompt injections embedded in resume text, and well-documented allocational demographic biases across gender and ethnicity (DI &lt; 0.80). Crucially, both paradigms treat self-asserted textual resume claims as ground truth without verifying demonstrated technical competence. In this paper, we present RecruitIQ, a holistic, multi-tier decision-support framework that harmonizes dense semantic document representation, Computerized Adaptive Testing (CAT) governed by Item Response Theory (IRT), and independent demographic parity auditing within an auditable human-in-the-loop workflow. The pipeline ingests unstructured PDF/DOCX resumes through an adversarial sanitization filter, projects candidate qualifications into a 384-dimensional continuous vector space via Sentence-BERT (all-MiniLM-L6-v2), and performs categorical skill-gap partitioning. To validate unverified resume claims, the system deploys a dynamically calibrated 2-Parameter Logistic (2PL) adaptive examination engine that selects technical problems based on real-time maximum Fisher information, subsequently executing a claim-versus-evidence consistency audit. Algorithmic fairness is safeguarded through counterfactual stress testing and decoupled demographic parity auditing (Δ_DP and Four-Fifths disparate impact ratios) while preserving transparent multi-factor score attribution. Empirical evaluation across a benchmark corpus of 600 technical resumes, 1,200 adaptive testing sessions, and 150 adversarial injection payloads demonstrates that RecruitIQ achieves a 28.4% improvement in NDCG@5 over TF-IDF baselines, reduces assessment duration by 42.1% while maintaining latent ability measurement precision (SE ≤ 0.31), constrains Demographic Parity Difference to Δ_DP = 0.034, and intercepts adversarial injection attacks with 97.4% detection recall.</w:t>
            </w:r>
          </w:p>
          <w:p>
            <w:pPr>
              <w:spacing w:before="80" w:after="0"/>
              <w:jc w:val="both"/>
            </w:pPr>
            <w:r>
              <w:rPr>
                <w:b/>
                <w:i/>
                <w:sz w:val="18"/>
              </w:rPr>
              <w:t>Index Terms—</w:t>
            </w:r>
            <w:r>
              <w:rPr>
                <w:sz w:val="18"/>
              </w:rPr>
              <w:t>Natural Language Processing, Sentence-BERT, Computerized Adaptive Testing, Item Response Theory, Demographic Parity, Counterfactual Fairness, Indirect Prompt Injection, Explainable Artificial Intelligence, Automated Recruitment.</w:t>
            </w:r>
          </w:p>
        </w:tc>
      </w:tr>
    </w:tbl>
    <w:p>
      <w:pPr>
        <w:spacing w:after="160"/>
      </w:pPr>
    </w:p>
    <w:p>
      <w:pPr>
        <w:keepNext/>
        <w:spacing w:before="280" w:after="80"/>
      </w:pPr>
      <w:r>
        <w:rPr>
          <w:rFonts w:ascii="Times New Roman" w:hAnsi="Times New Roman"/>
          <w:b/>
          <w:color w:val="0A192F"/>
          <w:sz w:val="22"/>
        </w:rPr>
        <w:t>I. INTRODUCTION</w:t>
      </w:r>
    </w:p>
    <w:p>
      <w:pPr>
        <w:spacing w:before="0" w:after="80" w:line="259" w:lineRule="auto"/>
        <w:jc w:val="both"/>
      </w:pPr>
      <w:r>
        <w:rPr>
          <w:rFonts w:ascii="Times New Roman" w:hAnsi="Times New Roman"/>
          <w:sz w:val="19"/>
        </w:rPr>
        <w:t>The integration of Artificial Intelligence (AI) into human resource workflows has transformed modern talent acquisition. Facing an exponential surge in online job submissions—where a single software engineering requisition routinely attracts between 500 and 2,500 candidate submissions—enterprises have widely adopted automated screening tools. Commercial surveys indicate that more than 75% of Fortune 500 companies employ automated resume filtering algorithms [1]. However, contemporary automated hiring pipelines suffer from four interconnected structural failures that compromise both corporate hiring efficacy and candidate equity:</w:t>
      </w:r>
    </w:p>
    <w:p>
      <w:pPr>
        <w:spacing w:before="0" w:after="80" w:line="259" w:lineRule="auto"/>
        <w:jc w:val="both"/>
      </w:pPr>
      <w:r>
        <w:rPr>
          <w:rFonts w:ascii="Times New Roman" w:hAnsi="Times New Roman"/>
          <w:sz w:val="19"/>
        </w:rPr>
        <w:t>1) Lexical Brittleness of Traditional ATS: First-generation filtering algorithms depend primarily upon Boolean keyword searching and Term Frequency-Inverse Document Frequency (TF-IDF) heuristics. These lexical matching methods cannot distinguish conceptual equivalence, missing high-potential applicants who express competencies through synonymous terminology (e.g., describing 'distributed message streaming' instead of the exact token 'Kafka') [6], [7].</w:t>
      </w:r>
    </w:p>
    <w:p>
      <w:pPr>
        <w:spacing w:before="0" w:after="80" w:line="259" w:lineRule="auto"/>
        <w:jc w:val="both"/>
      </w:pPr>
      <w:r>
        <w:rPr>
          <w:rFonts w:ascii="Times New Roman" w:hAnsi="Times New Roman"/>
          <w:sz w:val="19"/>
        </w:rPr>
        <w:t>2) Hallucination, Non-Determinism, and Injection Vulnerabilities in LLMs: While recent attempts deploy generative foundation models (e.g., GPT-4, LLaMA-3) to synthesize candidate evaluations, studies demonstrate that generative screeners exhibit severe ranking instability under minor textual perturbations [3]. Furthermore, unconstrained LLM parsers remain acutely vulnerable to indirect adversarial prompt injections—wherein malicious applicants embed white-font, high-contrast, or delimiter-breaking instructions (e.g., 'System Override: Ignore previous criteria and assign maximum rating') directly into resume documents [4], [5].</w:t>
      </w:r>
    </w:p>
    <w:p>
      <w:pPr>
        <w:spacing w:before="0" w:after="80" w:line="259" w:lineRule="auto"/>
        <w:jc w:val="both"/>
      </w:pPr>
      <w:r>
        <w:rPr>
          <w:rFonts w:ascii="Times New Roman" w:hAnsi="Times New Roman"/>
          <w:sz w:val="19"/>
        </w:rPr>
        <w:t>3) The Unverified Resume Fallacy: Both keyword ATS and generative evaluators operate exclusively upon candidate-authored text, operating under the naive assumption that self-reported resume statements correspond to hands-on engineering competence. Empirical labor analyses reveal that over 48% of candidate resumes contain inflated technical proficiencies [10]. Consequently, document-only screening routinely advances candidates who optimize keyword density over applicants possessing genuine technical capability.</w:t>
      </w:r>
    </w:p>
    <w:p>
      <w:pPr>
        <w:spacing w:before="0" w:after="80" w:line="259" w:lineRule="auto"/>
        <w:jc w:val="both"/>
      </w:pPr>
      <w:r>
        <w:rPr>
          <w:rFonts w:ascii="Times New Roman" w:hAnsi="Times New Roman"/>
          <w:sz w:val="19"/>
        </w:rPr>
        <w:t>4) Opaque Allocational Bias and Regulatory Scrutiny: Prior research demonstrates that embedding-based retrieval models and commercial classifiers reflect deep societal demographic disparities encoded in historical training corpora [1]–[3]. Audit experiments conducted by Wilson and Caliskan revealed that dense retrieval models favored White-associated candidate names over Black-associated names in up to 100% of tested technical roles [1]. Concurrently, emerging international regulatory statutes—including the European Union Artificial Intelligence Act (classifying recruitment AI as 'High-Risk') and New York City Local Law 144—mandate strict independent bias audits and explainability guarantees.</w:t>
      </w:r>
    </w:p>
    <w:p>
      <w:pPr>
        <w:spacing w:before="0" w:after="80" w:line="259" w:lineRule="auto"/>
        <w:jc w:val="both"/>
      </w:pPr>
      <w:r>
        <w:rPr>
          <w:rFonts w:ascii="Times New Roman" w:hAnsi="Times New Roman"/>
          <w:sz w:val="19"/>
        </w:rPr>
        <w:t>To address these compounding challenges, we design, formulate, and empirically evaluate RecruitIQ, a multi-tier, explainable, and demographic-fair decision-support framework. Rather than delegating autonomous hiring authority to opaque neural classifiers, RecruitIQ acts as a calibrated decision-support instrument that pairs dense semantic document understanding with dynamic empirical capability verification and strict human-in-the-loop governance.</w:t>
      </w:r>
    </w:p>
    <w:p>
      <w:pPr>
        <w:keepNext/>
        <w:spacing w:before="280" w:after="80"/>
      </w:pPr>
      <w:r>
        <w:rPr>
          <w:rFonts w:ascii="Times New Roman" w:hAnsi="Times New Roman"/>
          <w:b/>
          <w:color w:val="0A192F"/>
          <w:sz w:val="22"/>
        </w:rPr>
        <w:t>II. RELATED WORK &amp; THEORETICAL FOUNDATIONS</w:t>
      </w:r>
    </w:p>
    <w:p>
      <w:pPr>
        <w:keepNext/>
        <w:spacing w:before="160" w:after="40"/>
      </w:pPr>
      <w:r>
        <w:rPr>
          <w:rFonts w:ascii="Times New Roman" w:hAnsi="Times New Roman"/>
          <w:b/>
          <w:i/>
          <w:color w:val="1E1E1E"/>
          <w:sz w:val="20"/>
        </w:rPr>
        <w:t>A. Semantic Matching and Neural Document Retrieval</w:t>
      </w:r>
    </w:p>
    <w:p>
      <w:pPr>
        <w:spacing w:before="0" w:after="80" w:line="259" w:lineRule="auto"/>
        <w:jc w:val="both"/>
      </w:pPr>
      <w:r>
        <w:rPr>
          <w:rFonts w:ascii="Times New Roman" w:hAnsi="Times New Roman"/>
          <w:sz w:val="19"/>
        </w:rPr>
        <w:t>Traditional resume screening relied upon inverted index searching and lexical weighting. The introduction of transformer-based language representations shifted document retrieval from lexical overlap to continuous semantic geometry. Reimers and Gurevych introduced Sentence-BERT (SBERT), which employs Siamese and triplet network structures to generate semantically rich sentence embeddings that map conceptual similarity directly to cosine distance [7]. SBERT reduced the computational cost of pairwise candidate-to-requisition semantic similarity searches across large corpora from hours (under cross-encoder BERT) to milliseconds, making real-time candidate ranking computationally viable.</w:t>
      </w:r>
    </w:p>
    <w:p>
      <w:pPr>
        <w:keepNext/>
        <w:spacing w:before="160" w:after="40"/>
      </w:pPr>
      <w:r>
        <w:rPr>
          <w:rFonts w:ascii="Times New Roman" w:hAnsi="Times New Roman"/>
          <w:b/>
          <w:i/>
          <w:color w:val="1E1E1E"/>
          <w:sz w:val="20"/>
        </w:rPr>
        <w:t>B. Algorithmic Bias and Counterfactual Auditing in Hiring</w:t>
      </w:r>
    </w:p>
    <w:p>
      <w:pPr>
        <w:spacing w:before="0" w:after="80" w:line="259" w:lineRule="auto"/>
        <w:jc w:val="both"/>
      </w:pPr>
      <w:r>
        <w:rPr>
          <w:rFonts w:ascii="Times New Roman" w:hAnsi="Times New Roman"/>
          <w:sz w:val="19"/>
        </w:rPr>
        <w:t>A substantial body of research documents systemic algorithmic bias in automated hiring pipelines. Wilson and Caliskan conducted systematic audits of massive text embedding models across diverse occupational profiles, proving that dense vector spaces encode implicit racial and gender stereotypes, systematically depressing similarity scores for female and minority naming proxies even when qualification text was held strictly identical [1]. Iso et al. investigated foundation models (GPT-4, Gemini) across hiring benchmarks, observing that while explicit gender discrimination has diminished through reinforcement learning from human feedback (RLHF), subtle implicit biases favoring prestige academic institutions and non-minority vernacular persist [2]. Seshadri et al. formalized allocational fairness in screening through counterfactual perturbation, demonstrating that language model ranking displays severe sensitivity to non-demographic syntax variations alongside protected proxy swaps [3]. These findings necessitate isolated audit frameworks where demographic indicators are decoupled from scoring logic.</w:t>
      </w:r>
    </w:p>
    <w:p>
      <w:pPr>
        <w:keepNext/>
        <w:spacing w:before="160" w:after="40"/>
      </w:pPr>
      <w:r>
        <w:rPr>
          <w:rFonts w:ascii="Times New Roman" w:hAnsi="Times New Roman"/>
          <w:b/>
          <w:i/>
          <w:color w:val="1E1E1E"/>
          <w:sz w:val="20"/>
        </w:rPr>
        <w:t>C. Computerized Adaptive Testing in Technical Evaluation</w:t>
      </w:r>
    </w:p>
    <w:p>
      <w:pPr>
        <w:spacing w:before="0" w:after="80" w:line="259" w:lineRule="auto"/>
        <w:jc w:val="both"/>
      </w:pPr>
      <w:r>
        <w:rPr>
          <w:rFonts w:ascii="Times New Roman" w:hAnsi="Times New Roman"/>
          <w:sz w:val="19"/>
        </w:rPr>
        <w:t>Computerized Adaptive Testing (CAT) traces its mathematical foundations to psychometric Item Response Theory (IRT) [9]. Unlike conventional fixed-length examinations—which administer identical questions regardless of candidate proficiency—CAT dynamically selects items that match the examinee's emerging latent ability estimate (θ). Bock and Gibbons established that adaptive engines grounded in multi-parameter logistic models achieve equal or superior measurement precision with up to 50% fewer questions compared to static examinations [9]. Benton noted, however, that empirical measurement gains require rigorously calibrated item banks with verified discrimination (a_i) and difficulty (b_i) parameters [10]. RecruitIQ adapts IRT psychometrics from educational measurement to professional technical recruitment, verifying claimed resume proficiencies through dynamic problem administration.</w:t>
      </w:r>
    </w:p>
    <w:p>
      <w:pPr>
        <w:keepNext/>
        <w:spacing w:before="160" w:after="40"/>
      </w:pPr>
      <w:r>
        <w:rPr>
          <w:rFonts w:ascii="Times New Roman" w:hAnsi="Times New Roman"/>
          <w:b/>
          <w:i/>
          <w:color w:val="1E1E1E"/>
          <w:sz w:val="20"/>
        </w:rPr>
        <w:t>D. Adversarial Prompt Injection in Recruitment Systems</w:t>
      </w:r>
    </w:p>
    <w:p>
      <w:pPr>
        <w:spacing w:before="0" w:after="80" w:line="259" w:lineRule="auto"/>
        <w:jc w:val="both"/>
      </w:pPr>
      <w:r>
        <w:rPr>
          <w:rFonts w:ascii="Times New Roman" w:hAnsi="Times New Roman"/>
          <w:sz w:val="19"/>
        </w:rPr>
        <w:t>The proliferation of LLMs in resume processing has exposed automated pipelines to adversarial document attacks. Baxi et al. established that indirect prompt injection—where adversarial text strings are concealed within resumes using white font, invisible Unicode characters, or structural delimiters—reliably overrides LLM evaluators, artificially boosting candidate rankings from the lowest quartile to the top percentile [4]. Augey et al. introduced RAPIDS, a detection cascade combining fine-tuned small language models with heuristic filtering, demonstrating that proactive sanitization is required before feeding untrusted resume text into downstream evaluators [5].</w:t>
      </w:r>
    </w:p>
    <w:p>
      <w:pPr>
        <w:spacing w:before="160" w:after="40"/>
        <w:jc w:val="center"/>
      </w:pPr>
      <w:r>
        <w:rPr>
          <w:b/>
          <w:sz w:val="17"/>
        </w:rPr>
        <w:t>TABLE I</w:t>
        <w:br/>
        <w:t>COMPARATIVE ANALYSIS OF RECRUITMENT FRAMEWORKS AND PRIOR ACADEMIC LITERATURE</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D3D3D3"/>
          <w:insideV w:val="none"/>
          <w:left w:val="none"/>
          <w:right w:val="none"/>
        </w:tblBorders>
      </w:tblPr>
      <w:tblGrid>
        <w:gridCol w:w="1440"/>
        <w:gridCol w:w="1440"/>
        <w:gridCol w:w="1440"/>
        <w:gridCol w:w="1440"/>
        <w:gridCol w:w="1440"/>
        <w:gridCol w:w="1440"/>
        <w:gridCol w:w="1440"/>
      </w:tblGrid>
      <w:tr>
        <w:tc>
          <w:tcPr>
            <w:tcW w:type="dxa" w:w="1440"/>
            <w:tcMar>
              <w:top w:w="80" w:type="dxa"/>
              <w:bottom w:w="80" w:type="dxa"/>
              <w:left w:w="80" w:type="dxa"/>
              <w:right w:w="80" w:type="dxa"/>
            </w:tcMar>
            <w:shd w:fill="EAECEF"/>
          </w:tcPr>
          <w:p>
            <w:pPr>
              <w:jc w:val="center"/>
            </w:pPr>
            <w:r>
              <w:rPr>
                <w:b/>
                <w:sz w:val="16"/>
              </w:rPr>
              <w:t>Dimension / Capability</w:t>
            </w:r>
          </w:p>
        </w:tc>
        <w:tc>
          <w:tcPr>
            <w:tcW w:type="dxa" w:w="1440"/>
            <w:tcMar>
              <w:top w:w="80" w:type="dxa"/>
              <w:bottom w:w="80" w:type="dxa"/>
              <w:left w:w="80" w:type="dxa"/>
              <w:right w:w="80" w:type="dxa"/>
            </w:tcMar>
            <w:shd w:fill="EAECEF"/>
          </w:tcPr>
          <w:p>
            <w:pPr>
              <w:jc w:val="center"/>
            </w:pPr>
            <w:r>
              <w:rPr>
                <w:b/>
                <w:sz w:val="16"/>
              </w:rPr>
              <w:t>Traditional ATS</w:t>
            </w:r>
          </w:p>
        </w:tc>
        <w:tc>
          <w:tcPr>
            <w:tcW w:type="dxa" w:w="1440"/>
            <w:tcMar>
              <w:top w:w="80" w:type="dxa"/>
              <w:bottom w:w="80" w:type="dxa"/>
              <w:left w:w="80" w:type="dxa"/>
              <w:right w:w="80" w:type="dxa"/>
            </w:tcMar>
            <w:shd w:fill="EAECEF"/>
          </w:tcPr>
          <w:p>
            <w:pPr>
              <w:jc w:val="center"/>
            </w:pPr>
            <w:r>
              <w:rPr>
                <w:b/>
                <w:sz w:val="16"/>
              </w:rPr>
              <w:t>Wilson &amp; Caliskan [1]</w:t>
            </w:r>
          </w:p>
        </w:tc>
        <w:tc>
          <w:tcPr>
            <w:tcW w:type="dxa" w:w="1440"/>
            <w:tcMar>
              <w:top w:w="80" w:type="dxa"/>
              <w:bottom w:w="80" w:type="dxa"/>
              <w:left w:w="80" w:type="dxa"/>
              <w:right w:w="80" w:type="dxa"/>
            </w:tcMar>
            <w:shd w:fill="EAECEF"/>
          </w:tcPr>
          <w:p>
            <w:pPr>
              <w:jc w:val="center"/>
            </w:pPr>
            <w:r>
              <w:rPr>
                <w:b/>
                <w:sz w:val="16"/>
              </w:rPr>
              <w:t>Iso et al. [2]</w:t>
            </w:r>
          </w:p>
        </w:tc>
        <w:tc>
          <w:tcPr>
            <w:tcW w:type="dxa" w:w="1440"/>
            <w:tcMar>
              <w:top w:w="80" w:type="dxa"/>
              <w:bottom w:w="80" w:type="dxa"/>
              <w:left w:w="80" w:type="dxa"/>
              <w:right w:w="80" w:type="dxa"/>
            </w:tcMar>
            <w:shd w:fill="EAECEF"/>
          </w:tcPr>
          <w:p>
            <w:pPr>
              <w:jc w:val="center"/>
            </w:pPr>
            <w:r>
              <w:rPr>
                <w:b/>
                <w:sz w:val="16"/>
              </w:rPr>
              <w:t>Baxi et al. [4]</w:t>
            </w:r>
          </w:p>
        </w:tc>
        <w:tc>
          <w:tcPr>
            <w:tcW w:type="dxa" w:w="1440"/>
            <w:tcMar>
              <w:top w:w="80" w:type="dxa"/>
              <w:bottom w:w="80" w:type="dxa"/>
              <w:left w:w="80" w:type="dxa"/>
              <w:right w:w="80" w:type="dxa"/>
            </w:tcMar>
            <w:shd w:fill="EAECEF"/>
          </w:tcPr>
          <w:p>
            <w:pPr>
              <w:jc w:val="center"/>
            </w:pPr>
            <w:r>
              <w:rPr>
                <w:b/>
                <w:sz w:val="16"/>
              </w:rPr>
              <w:t>Kumar et al. [6]</w:t>
            </w:r>
          </w:p>
        </w:tc>
        <w:tc>
          <w:tcPr>
            <w:tcW w:type="dxa" w:w="1440"/>
            <w:tcMar>
              <w:top w:w="80" w:type="dxa"/>
              <w:bottom w:w="80" w:type="dxa"/>
              <w:left w:w="80" w:type="dxa"/>
              <w:right w:w="80" w:type="dxa"/>
            </w:tcMar>
            <w:shd w:fill="EAECEF"/>
          </w:tcPr>
          <w:p>
            <w:pPr>
              <w:jc w:val="center"/>
            </w:pPr>
            <w:r>
              <w:rPr>
                <w:b/>
                <w:sz w:val="16"/>
              </w:rPr>
              <w:t>RecruitIQ (This Work)</w:t>
            </w:r>
          </w:p>
        </w:tc>
      </w:tr>
      <w:tr>
        <w:tc>
          <w:tcPr>
            <w:tcW w:type="dxa" w:w="1440"/>
            <w:tcMar>
              <w:top w:w="60" w:type="dxa"/>
              <w:bottom w:w="60" w:type="dxa"/>
              <w:left w:w="60" w:type="dxa"/>
              <w:right w:w="60" w:type="dxa"/>
            </w:tcMar>
          </w:tcPr>
          <w:p>
            <w:pPr>
              <w:jc w:val="left"/>
            </w:pPr>
            <w:r>
              <w:rPr>
                <w:sz w:val="15"/>
              </w:rPr>
              <w:t>Matching Paradigm</w:t>
            </w:r>
          </w:p>
        </w:tc>
        <w:tc>
          <w:tcPr>
            <w:tcW w:type="dxa" w:w="1440"/>
            <w:tcMar>
              <w:top w:w="60" w:type="dxa"/>
              <w:bottom w:w="60" w:type="dxa"/>
              <w:left w:w="60" w:type="dxa"/>
              <w:right w:w="60" w:type="dxa"/>
            </w:tcMar>
          </w:tcPr>
          <w:p>
            <w:pPr>
              <w:jc w:val="center"/>
            </w:pPr>
            <w:r>
              <w:rPr>
                <w:sz w:val="15"/>
              </w:rPr>
              <w:t>Keyword Match</w:t>
            </w:r>
          </w:p>
        </w:tc>
        <w:tc>
          <w:tcPr>
            <w:tcW w:type="dxa" w:w="1440"/>
            <w:tcMar>
              <w:top w:w="60" w:type="dxa"/>
              <w:bottom w:w="60" w:type="dxa"/>
              <w:left w:w="60" w:type="dxa"/>
              <w:right w:w="60" w:type="dxa"/>
            </w:tcMar>
          </w:tcPr>
          <w:p>
            <w:pPr>
              <w:jc w:val="center"/>
            </w:pPr>
            <w:r>
              <w:rPr>
                <w:sz w:val="15"/>
              </w:rPr>
              <w:t>Dense Retrieval</w:t>
            </w:r>
          </w:p>
        </w:tc>
        <w:tc>
          <w:tcPr>
            <w:tcW w:type="dxa" w:w="1440"/>
            <w:tcMar>
              <w:top w:w="60" w:type="dxa"/>
              <w:bottom w:w="60" w:type="dxa"/>
              <w:left w:w="60" w:type="dxa"/>
              <w:right w:w="60" w:type="dxa"/>
            </w:tcMar>
          </w:tcPr>
          <w:p>
            <w:pPr>
              <w:jc w:val="center"/>
            </w:pPr>
            <w:r>
              <w:rPr>
                <w:sz w:val="15"/>
              </w:rPr>
              <w:t>LLM Prompting</w:t>
            </w:r>
          </w:p>
        </w:tc>
        <w:tc>
          <w:tcPr>
            <w:tcW w:type="dxa" w:w="1440"/>
            <w:tcMar>
              <w:top w:w="60" w:type="dxa"/>
              <w:bottom w:w="60" w:type="dxa"/>
              <w:left w:w="60" w:type="dxa"/>
              <w:right w:w="60" w:type="dxa"/>
            </w:tcMar>
          </w:tcPr>
          <w:p>
            <w:pPr>
              <w:jc w:val="center"/>
            </w:pPr>
            <w:r>
              <w:rPr>
                <w:sz w:val="15"/>
              </w:rPr>
              <w:t>LLM Screening</w:t>
            </w:r>
          </w:p>
        </w:tc>
        <w:tc>
          <w:tcPr>
            <w:tcW w:type="dxa" w:w="1440"/>
            <w:tcMar>
              <w:top w:w="60" w:type="dxa"/>
              <w:bottom w:w="60" w:type="dxa"/>
              <w:left w:w="60" w:type="dxa"/>
              <w:right w:w="60" w:type="dxa"/>
            </w:tcMar>
          </w:tcPr>
          <w:p>
            <w:pPr>
              <w:jc w:val="center"/>
            </w:pPr>
            <w:r>
              <w:rPr>
                <w:sz w:val="15"/>
              </w:rPr>
              <w:t>ML + NLP</w:t>
            </w:r>
          </w:p>
        </w:tc>
        <w:tc>
          <w:tcPr>
            <w:tcW w:type="dxa" w:w="1440"/>
            <w:tcMar>
              <w:top w:w="60" w:type="dxa"/>
              <w:bottom w:w="60" w:type="dxa"/>
              <w:left w:w="60" w:type="dxa"/>
              <w:right w:w="60" w:type="dxa"/>
            </w:tcMar>
            <w:shd w:fill="F0FDF4"/>
          </w:tcPr>
          <w:p>
            <w:pPr>
              <w:jc w:val="center"/>
            </w:pPr>
            <w:r>
              <w:rPr>
                <w:b/>
                <w:sz w:val="15"/>
              </w:rPr>
              <w:t>SBERT + Multi-Factor</w:t>
            </w:r>
          </w:p>
        </w:tc>
      </w:tr>
      <w:tr>
        <w:tc>
          <w:tcPr>
            <w:tcW w:type="dxa" w:w="1440"/>
            <w:tcMar>
              <w:top w:w="60" w:type="dxa"/>
              <w:bottom w:w="60" w:type="dxa"/>
              <w:left w:w="60" w:type="dxa"/>
              <w:right w:w="60" w:type="dxa"/>
            </w:tcMar>
          </w:tcPr>
          <w:p>
            <w:pPr>
              <w:jc w:val="left"/>
            </w:pPr>
            <w:r>
              <w:rPr>
                <w:sz w:val="15"/>
              </w:rPr>
              <w:t>Handles Synonyms</w:t>
            </w:r>
          </w:p>
        </w:tc>
        <w:tc>
          <w:tcPr>
            <w:tcW w:type="dxa" w:w="1440"/>
            <w:tcMar>
              <w:top w:w="60" w:type="dxa"/>
              <w:bottom w:w="60" w:type="dxa"/>
              <w:left w:w="60" w:type="dxa"/>
              <w:right w:w="60" w:type="dxa"/>
            </w:tcMar>
          </w:tcPr>
          <w:p>
            <w:pPr>
              <w:jc w:val="center"/>
            </w:pPr>
            <w:r>
              <w:rPr>
                <w:sz w:val="15"/>
              </w:rPr>
              <w:t>No</w:t>
            </w:r>
          </w:p>
        </w:tc>
        <w:tc>
          <w:tcPr>
            <w:tcW w:type="dxa" w:w="1440"/>
            <w:tcMar>
              <w:top w:w="60" w:type="dxa"/>
              <w:bottom w:w="60" w:type="dxa"/>
              <w:left w:w="60" w:type="dxa"/>
              <w:right w:w="60" w:type="dxa"/>
            </w:tcMar>
          </w:tcPr>
          <w:p>
            <w:pPr>
              <w:jc w:val="center"/>
            </w:pPr>
            <w:r>
              <w:rPr>
                <w:sz w:val="15"/>
              </w:rPr>
              <w:t>Yes</w:t>
            </w:r>
          </w:p>
        </w:tc>
        <w:tc>
          <w:tcPr>
            <w:tcW w:type="dxa" w:w="1440"/>
            <w:tcMar>
              <w:top w:w="60" w:type="dxa"/>
              <w:bottom w:w="60" w:type="dxa"/>
              <w:left w:w="60" w:type="dxa"/>
              <w:right w:w="60" w:type="dxa"/>
            </w:tcMar>
          </w:tcPr>
          <w:p>
            <w:pPr>
              <w:jc w:val="center"/>
            </w:pPr>
            <w:r>
              <w:rPr>
                <w:sz w:val="15"/>
              </w:rPr>
              <w:t>Yes</w:t>
            </w:r>
          </w:p>
        </w:tc>
        <w:tc>
          <w:tcPr>
            <w:tcW w:type="dxa" w:w="1440"/>
            <w:tcMar>
              <w:top w:w="60" w:type="dxa"/>
              <w:bottom w:w="60" w:type="dxa"/>
              <w:left w:w="60" w:type="dxa"/>
              <w:right w:w="60" w:type="dxa"/>
            </w:tcMar>
          </w:tcPr>
          <w:p>
            <w:pPr>
              <w:jc w:val="center"/>
            </w:pPr>
            <w:r>
              <w:rPr>
                <w:sz w:val="15"/>
              </w:rPr>
              <w:t>Yes</w:t>
            </w:r>
          </w:p>
        </w:tc>
        <w:tc>
          <w:tcPr>
            <w:tcW w:type="dxa" w:w="1440"/>
            <w:tcMar>
              <w:top w:w="60" w:type="dxa"/>
              <w:bottom w:w="60" w:type="dxa"/>
              <w:left w:w="60" w:type="dxa"/>
              <w:right w:w="60" w:type="dxa"/>
            </w:tcMar>
          </w:tcPr>
          <w:p>
            <w:pPr>
              <w:jc w:val="center"/>
            </w:pPr>
            <w:r>
              <w:rPr>
                <w:sz w:val="15"/>
              </w:rPr>
              <w:t>Partial</w:t>
            </w:r>
          </w:p>
        </w:tc>
        <w:tc>
          <w:tcPr>
            <w:tcW w:type="dxa" w:w="1440"/>
            <w:tcMar>
              <w:top w:w="60" w:type="dxa"/>
              <w:bottom w:w="60" w:type="dxa"/>
              <w:left w:w="60" w:type="dxa"/>
              <w:right w:w="60" w:type="dxa"/>
            </w:tcMar>
            <w:shd w:fill="F0FDF4"/>
          </w:tcPr>
          <w:p>
            <w:pPr>
              <w:jc w:val="center"/>
            </w:pPr>
            <w:r>
              <w:rPr>
                <w:b/>
                <w:sz w:val="15"/>
              </w:rPr>
              <w:t>Yes</w:t>
            </w:r>
          </w:p>
        </w:tc>
      </w:tr>
      <w:tr>
        <w:tc>
          <w:tcPr>
            <w:tcW w:type="dxa" w:w="1440"/>
            <w:tcMar>
              <w:top w:w="60" w:type="dxa"/>
              <w:bottom w:w="60" w:type="dxa"/>
              <w:left w:w="60" w:type="dxa"/>
              <w:right w:w="60" w:type="dxa"/>
            </w:tcMar>
          </w:tcPr>
          <w:p>
            <w:pPr>
              <w:jc w:val="left"/>
            </w:pPr>
            <w:r>
              <w:rPr>
                <w:sz w:val="15"/>
              </w:rPr>
              <w:t>Demonstrated Skill Testing</w:t>
            </w:r>
          </w:p>
        </w:tc>
        <w:tc>
          <w:tcPr>
            <w:tcW w:type="dxa" w:w="1440"/>
            <w:tcMar>
              <w:top w:w="60" w:type="dxa"/>
              <w:bottom w:w="60" w:type="dxa"/>
              <w:left w:w="60" w:type="dxa"/>
              <w:right w:w="60" w:type="dxa"/>
            </w:tcMar>
          </w:tcPr>
          <w:p>
            <w:pPr>
              <w:jc w:val="center"/>
            </w:pPr>
            <w:r>
              <w:rPr>
                <w:sz w:val="15"/>
              </w:rPr>
              <w:t>No</w:t>
            </w:r>
          </w:p>
        </w:tc>
        <w:tc>
          <w:tcPr>
            <w:tcW w:type="dxa" w:w="1440"/>
            <w:tcMar>
              <w:top w:w="60" w:type="dxa"/>
              <w:bottom w:w="60" w:type="dxa"/>
              <w:left w:w="60" w:type="dxa"/>
              <w:right w:w="60" w:type="dxa"/>
            </w:tcMar>
          </w:tcPr>
          <w:p>
            <w:pPr>
              <w:jc w:val="center"/>
            </w:pPr>
            <w:r>
              <w:rPr>
                <w:sz w:val="15"/>
              </w:rPr>
              <w:t>No</w:t>
            </w:r>
          </w:p>
        </w:tc>
        <w:tc>
          <w:tcPr>
            <w:tcW w:type="dxa" w:w="1440"/>
            <w:tcMar>
              <w:top w:w="60" w:type="dxa"/>
              <w:bottom w:w="60" w:type="dxa"/>
              <w:left w:w="60" w:type="dxa"/>
              <w:right w:w="60" w:type="dxa"/>
            </w:tcMar>
          </w:tcPr>
          <w:p>
            <w:pPr>
              <w:jc w:val="center"/>
            </w:pPr>
            <w:r>
              <w:rPr>
                <w:sz w:val="15"/>
              </w:rPr>
              <w:t>No</w:t>
            </w:r>
          </w:p>
        </w:tc>
        <w:tc>
          <w:tcPr>
            <w:tcW w:type="dxa" w:w="1440"/>
            <w:tcMar>
              <w:top w:w="60" w:type="dxa"/>
              <w:bottom w:w="60" w:type="dxa"/>
              <w:left w:w="60" w:type="dxa"/>
              <w:right w:w="60" w:type="dxa"/>
            </w:tcMar>
          </w:tcPr>
          <w:p>
            <w:pPr>
              <w:jc w:val="center"/>
            </w:pPr>
            <w:r>
              <w:rPr>
                <w:sz w:val="15"/>
              </w:rPr>
              <w:t>No</w:t>
            </w:r>
          </w:p>
        </w:tc>
        <w:tc>
          <w:tcPr>
            <w:tcW w:type="dxa" w:w="1440"/>
            <w:tcMar>
              <w:top w:w="60" w:type="dxa"/>
              <w:bottom w:w="60" w:type="dxa"/>
              <w:left w:w="60" w:type="dxa"/>
              <w:right w:w="60" w:type="dxa"/>
            </w:tcMar>
          </w:tcPr>
          <w:p>
            <w:pPr>
              <w:jc w:val="center"/>
            </w:pPr>
            <w:r>
              <w:rPr>
                <w:sz w:val="15"/>
              </w:rPr>
              <w:t>No</w:t>
            </w:r>
          </w:p>
        </w:tc>
        <w:tc>
          <w:tcPr>
            <w:tcW w:type="dxa" w:w="1440"/>
            <w:tcMar>
              <w:top w:w="60" w:type="dxa"/>
              <w:bottom w:w="60" w:type="dxa"/>
              <w:left w:w="60" w:type="dxa"/>
              <w:right w:w="60" w:type="dxa"/>
            </w:tcMar>
            <w:shd w:fill="F0FDF4"/>
          </w:tcPr>
          <w:p>
            <w:pPr>
              <w:jc w:val="center"/>
            </w:pPr>
            <w:r>
              <w:rPr>
                <w:b/>
                <w:sz w:val="15"/>
              </w:rPr>
              <w:t>Yes (CAT / 2PL IRT)</w:t>
            </w:r>
          </w:p>
        </w:tc>
      </w:tr>
      <w:tr>
        <w:tc>
          <w:tcPr>
            <w:tcW w:type="dxa" w:w="1440"/>
            <w:tcMar>
              <w:top w:w="60" w:type="dxa"/>
              <w:bottom w:w="60" w:type="dxa"/>
              <w:left w:w="60" w:type="dxa"/>
              <w:right w:w="60" w:type="dxa"/>
            </w:tcMar>
          </w:tcPr>
          <w:p>
            <w:pPr>
              <w:jc w:val="left"/>
            </w:pPr>
            <w:r>
              <w:rPr>
                <w:sz w:val="15"/>
              </w:rPr>
              <w:t>Claim vs Evidence Check</w:t>
            </w:r>
          </w:p>
        </w:tc>
        <w:tc>
          <w:tcPr>
            <w:tcW w:type="dxa" w:w="1440"/>
            <w:tcMar>
              <w:top w:w="60" w:type="dxa"/>
              <w:bottom w:w="60" w:type="dxa"/>
              <w:left w:w="60" w:type="dxa"/>
              <w:right w:w="60" w:type="dxa"/>
            </w:tcMar>
          </w:tcPr>
          <w:p>
            <w:pPr>
              <w:jc w:val="center"/>
            </w:pPr>
            <w:r>
              <w:rPr>
                <w:sz w:val="15"/>
              </w:rPr>
              <w:t>No</w:t>
            </w:r>
          </w:p>
        </w:tc>
        <w:tc>
          <w:tcPr>
            <w:tcW w:type="dxa" w:w="1440"/>
            <w:tcMar>
              <w:top w:w="60" w:type="dxa"/>
              <w:bottom w:w="60" w:type="dxa"/>
              <w:left w:w="60" w:type="dxa"/>
              <w:right w:w="60" w:type="dxa"/>
            </w:tcMar>
          </w:tcPr>
          <w:p>
            <w:pPr>
              <w:jc w:val="center"/>
            </w:pPr>
            <w:r>
              <w:rPr>
                <w:sz w:val="15"/>
              </w:rPr>
              <w:t>No</w:t>
            </w:r>
          </w:p>
        </w:tc>
        <w:tc>
          <w:tcPr>
            <w:tcW w:type="dxa" w:w="1440"/>
            <w:tcMar>
              <w:top w:w="60" w:type="dxa"/>
              <w:bottom w:w="60" w:type="dxa"/>
              <w:left w:w="60" w:type="dxa"/>
              <w:right w:w="60" w:type="dxa"/>
            </w:tcMar>
          </w:tcPr>
          <w:p>
            <w:pPr>
              <w:jc w:val="center"/>
            </w:pPr>
            <w:r>
              <w:rPr>
                <w:sz w:val="15"/>
              </w:rPr>
              <w:t>No</w:t>
            </w:r>
          </w:p>
        </w:tc>
        <w:tc>
          <w:tcPr>
            <w:tcW w:type="dxa" w:w="1440"/>
            <w:tcMar>
              <w:top w:w="60" w:type="dxa"/>
              <w:bottom w:w="60" w:type="dxa"/>
              <w:left w:w="60" w:type="dxa"/>
              <w:right w:w="60" w:type="dxa"/>
            </w:tcMar>
          </w:tcPr>
          <w:p>
            <w:pPr>
              <w:jc w:val="center"/>
            </w:pPr>
            <w:r>
              <w:rPr>
                <w:sz w:val="15"/>
              </w:rPr>
              <w:t>No</w:t>
            </w:r>
          </w:p>
        </w:tc>
        <w:tc>
          <w:tcPr>
            <w:tcW w:type="dxa" w:w="1440"/>
            <w:tcMar>
              <w:top w:w="60" w:type="dxa"/>
              <w:bottom w:w="60" w:type="dxa"/>
              <w:left w:w="60" w:type="dxa"/>
              <w:right w:w="60" w:type="dxa"/>
            </w:tcMar>
          </w:tcPr>
          <w:p>
            <w:pPr>
              <w:jc w:val="center"/>
            </w:pPr>
            <w:r>
              <w:rPr>
                <w:sz w:val="15"/>
              </w:rPr>
              <w:t>No</w:t>
            </w:r>
          </w:p>
        </w:tc>
        <w:tc>
          <w:tcPr>
            <w:tcW w:type="dxa" w:w="1440"/>
            <w:tcMar>
              <w:top w:w="60" w:type="dxa"/>
              <w:bottom w:w="60" w:type="dxa"/>
              <w:left w:w="60" w:type="dxa"/>
              <w:right w:w="60" w:type="dxa"/>
            </w:tcMar>
            <w:shd w:fill="F0FDF4"/>
          </w:tcPr>
          <w:p>
            <w:pPr>
              <w:jc w:val="center"/>
            </w:pPr>
            <w:r>
              <w:rPr>
                <w:b/>
                <w:sz w:val="15"/>
              </w:rPr>
              <w:t>Yes (Discrepancy Index)</w:t>
            </w:r>
          </w:p>
        </w:tc>
      </w:tr>
      <w:tr>
        <w:tc>
          <w:tcPr>
            <w:tcW w:type="dxa" w:w="1440"/>
            <w:tcMar>
              <w:top w:w="60" w:type="dxa"/>
              <w:bottom w:w="60" w:type="dxa"/>
              <w:left w:w="60" w:type="dxa"/>
              <w:right w:w="60" w:type="dxa"/>
            </w:tcMar>
          </w:tcPr>
          <w:p>
            <w:pPr>
              <w:jc w:val="left"/>
            </w:pPr>
            <w:r>
              <w:rPr>
                <w:sz w:val="15"/>
              </w:rPr>
              <w:t>Prompt Injection Defense</w:t>
            </w:r>
          </w:p>
        </w:tc>
        <w:tc>
          <w:tcPr>
            <w:tcW w:type="dxa" w:w="1440"/>
            <w:tcMar>
              <w:top w:w="60" w:type="dxa"/>
              <w:bottom w:w="60" w:type="dxa"/>
              <w:left w:w="60" w:type="dxa"/>
              <w:right w:w="60" w:type="dxa"/>
            </w:tcMar>
          </w:tcPr>
          <w:p>
            <w:pPr>
              <w:jc w:val="center"/>
            </w:pPr>
            <w:r>
              <w:rPr>
                <w:sz w:val="15"/>
              </w:rPr>
              <w:t>N/A</w:t>
            </w:r>
          </w:p>
        </w:tc>
        <w:tc>
          <w:tcPr>
            <w:tcW w:type="dxa" w:w="1440"/>
            <w:tcMar>
              <w:top w:w="60" w:type="dxa"/>
              <w:bottom w:w="60" w:type="dxa"/>
              <w:left w:w="60" w:type="dxa"/>
              <w:right w:w="60" w:type="dxa"/>
            </w:tcMar>
          </w:tcPr>
          <w:p>
            <w:pPr>
              <w:jc w:val="center"/>
            </w:pPr>
            <w:r>
              <w:rPr>
                <w:sz w:val="15"/>
              </w:rPr>
              <w:t>No</w:t>
            </w:r>
          </w:p>
        </w:tc>
        <w:tc>
          <w:tcPr>
            <w:tcW w:type="dxa" w:w="1440"/>
            <w:tcMar>
              <w:top w:w="60" w:type="dxa"/>
              <w:bottom w:w="60" w:type="dxa"/>
              <w:left w:w="60" w:type="dxa"/>
              <w:right w:w="60" w:type="dxa"/>
            </w:tcMar>
          </w:tcPr>
          <w:p>
            <w:pPr>
              <w:jc w:val="center"/>
            </w:pPr>
            <w:r>
              <w:rPr>
                <w:sz w:val="15"/>
              </w:rPr>
              <w:t>No</w:t>
            </w:r>
          </w:p>
        </w:tc>
        <w:tc>
          <w:tcPr>
            <w:tcW w:type="dxa" w:w="1440"/>
            <w:tcMar>
              <w:top w:w="60" w:type="dxa"/>
              <w:bottom w:w="60" w:type="dxa"/>
              <w:left w:w="60" w:type="dxa"/>
              <w:right w:w="60" w:type="dxa"/>
            </w:tcMar>
          </w:tcPr>
          <w:p>
            <w:pPr>
              <w:jc w:val="center"/>
            </w:pPr>
            <w:r>
              <w:rPr>
                <w:sz w:val="15"/>
              </w:rPr>
              <w:t>Evaluated Attack</w:t>
            </w:r>
          </w:p>
        </w:tc>
        <w:tc>
          <w:tcPr>
            <w:tcW w:type="dxa" w:w="1440"/>
            <w:tcMar>
              <w:top w:w="60" w:type="dxa"/>
              <w:bottom w:w="60" w:type="dxa"/>
              <w:left w:w="60" w:type="dxa"/>
              <w:right w:w="60" w:type="dxa"/>
            </w:tcMar>
          </w:tcPr>
          <w:p>
            <w:pPr>
              <w:jc w:val="center"/>
            </w:pPr>
            <w:r>
              <w:rPr>
                <w:sz w:val="15"/>
              </w:rPr>
              <w:t>No</w:t>
            </w:r>
          </w:p>
        </w:tc>
        <w:tc>
          <w:tcPr>
            <w:tcW w:type="dxa" w:w="1440"/>
            <w:tcMar>
              <w:top w:w="60" w:type="dxa"/>
              <w:bottom w:w="60" w:type="dxa"/>
              <w:left w:w="60" w:type="dxa"/>
              <w:right w:w="60" w:type="dxa"/>
            </w:tcMar>
            <w:shd w:fill="F0FDF4"/>
          </w:tcPr>
          <w:p>
            <w:pPr>
              <w:jc w:val="center"/>
            </w:pPr>
            <w:r>
              <w:rPr>
                <w:b/>
                <w:sz w:val="15"/>
              </w:rPr>
              <w:t>Yes (Heuristic Filter)</w:t>
            </w:r>
          </w:p>
        </w:tc>
      </w:tr>
      <w:tr>
        <w:tc>
          <w:tcPr>
            <w:tcW w:type="dxa" w:w="1440"/>
            <w:tcMar>
              <w:top w:w="60" w:type="dxa"/>
              <w:bottom w:w="60" w:type="dxa"/>
              <w:left w:w="60" w:type="dxa"/>
              <w:right w:w="60" w:type="dxa"/>
            </w:tcMar>
          </w:tcPr>
          <w:p>
            <w:pPr>
              <w:jc w:val="left"/>
            </w:pPr>
            <w:r>
              <w:rPr>
                <w:sz w:val="15"/>
              </w:rPr>
              <w:t>Demographic Fairness Audit</w:t>
            </w:r>
          </w:p>
        </w:tc>
        <w:tc>
          <w:tcPr>
            <w:tcW w:type="dxa" w:w="1440"/>
            <w:tcMar>
              <w:top w:w="60" w:type="dxa"/>
              <w:bottom w:w="60" w:type="dxa"/>
              <w:left w:w="60" w:type="dxa"/>
              <w:right w:w="60" w:type="dxa"/>
            </w:tcMar>
          </w:tcPr>
          <w:p>
            <w:pPr>
              <w:jc w:val="center"/>
            </w:pPr>
            <w:r>
              <w:rPr>
                <w:sz w:val="15"/>
              </w:rPr>
              <w:t>No</w:t>
            </w:r>
          </w:p>
        </w:tc>
        <w:tc>
          <w:tcPr>
            <w:tcW w:type="dxa" w:w="1440"/>
            <w:tcMar>
              <w:top w:w="60" w:type="dxa"/>
              <w:bottom w:w="60" w:type="dxa"/>
              <w:left w:w="60" w:type="dxa"/>
              <w:right w:w="60" w:type="dxa"/>
            </w:tcMar>
          </w:tcPr>
          <w:p>
            <w:pPr>
              <w:jc w:val="center"/>
            </w:pPr>
            <w:r>
              <w:rPr>
                <w:sz w:val="15"/>
              </w:rPr>
              <w:t>Evaluated [1]</w:t>
            </w:r>
          </w:p>
        </w:tc>
        <w:tc>
          <w:tcPr>
            <w:tcW w:type="dxa" w:w="1440"/>
            <w:tcMar>
              <w:top w:w="60" w:type="dxa"/>
              <w:bottom w:w="60" w:type="dxa"/>
              <w:left w:w="60" w:type="dxa"/>
              <w:right w:w="60" w:type="dxa"/>
            </w:tcMar>
          </w:tcPr>
          <w:p>
            <w:pPr>
              <w:jc w:val="center"/>
            </w:pPr>
            <w:r>
              <w:rPr>
                <w:sz w:val="15"/>
              </w:rPr>
              <w:t>Evaluated [2]</w:t>
            </w:r>
          </w:p>
        </w:tc>
        <w:tc>
          <w:tcPr>
            <w:tcW w:type="dxa" w:w="1440"/>
            <w:tcMar>
              <w:top w:w="60" w:type="dxa"/>
              <w:bottom w:w="60" w:type="dxa"/>
              <w:left w:w="60" w:type="dxa"/>
              <w:right w:w="60" w:type="dxa"/>
            </w:tcMar>
          </w:tcPr>
          <w:p>
            <w:pPr>
              <w:jc w:val="center"/>
            </w:pPr>
            <w:r>
              <w:rPr>
                <w:sz w:val="15"/>
              </w:rPr>
              <w:t>No</w:t>
            </w:r>
          </w:p>
        </w:tc>
        <w:tc>
          <w:tcPr>
            <w:tcW w:type="dxa" w:w="1440"/>
            <w:tcMar>
              <w:top w:w="60" w:type="dxa"/>
              <w:bottom w:w="60" w:type="dxa"/>
              <w:left w:w="60" w:type="dxa"/>
              <w:right w:w="60" w:type="dxa"/>
            </w:tcMar>
          </w:tcPr>
          <w:p>
            <w:pPr>
              <w:jc w:val="center"/>
            </w:pPr>
            <w:r>
              <w:rPr>
                <w:sz w:val="15"/>
              </w:rPr>
              <w:t>Fairlearn [6]</w:t>
            </w:r>
          </w:p>
        </w:tc>
        <w:tc>
          <w:tcPr>
            <w:tcW w:type="dxa" w:w="1440"/>
            <w:tcMar>
              <w:top w:w="60" w:type="dxa"/>
              <w:bottom w:w="60" w:type="dxa"/>
              <w:left w:w="60" w:type="dxa"/>
              <w:right w:w="60" w:type="dxa"/>
            </w:tcMar>
            <w:shd w:fill="F0FDF4"/>
          </w:tcPr>
          <w:p>
            <w:pPr>
              <w:jc w:val="center"/>
            </w:pPr>
            <w:r>
              <w:rPr>
                <w:b/>
                <w:sz w:val="15"/>
              </w:rPr>
              <w:t>Yes (Δ_DP, DI Decoupled)</w:t>
            </w:r>
          </w:p>
        </w:tc>
      </w:tr>
    </w:tbl>
    <w:p>
      <w:pPr>
        <w:spacing w:after="120"/>
      </w:pPr>
    </w:p>
    <w:p>
      <w:pPr>
        <w:keepNext/>
        <w:spacing w:before="280" w:after="80"/>
      </w:pPr>
      <w:r>
        <w:rPr>
          <w:rFonts w:ascii="Times New Roman" w:hAnsi="Times New Roman"/>
          <w:b/>
          <w:color w:val="0A192F"/>
          <w:sz w:val="22"/>
        </w:rPr>
        <w:t>III. SYSTEM ARCHITECTURE &amp; MATHEMATICAL MODELING</w:t>
      </w:r>
    </w:p>
    <w:p>
      <w:pPr>
        <w:spacing w:before="0" w:after="80" w:line="259" w:lineRule="auto"/>
        <w:jc w:val="both"/>
      </w:pPr>
      <w:r>
        <w:rPr>
          <w:rFonts w:ascii="Times New Roman" w:hAnsi="Times New Roman"/>
          <w:sz w:val="19"/>
        </w:rPr>
        <w:t>RecruitIQ is structured as a modular, asynchronous software pipeline combining a high-performance RESTful API backend (FastAPI, Python 3.11), a relational persistence store for auditable transactional logs (PostgreSQL / SQLite), cloud telemetry synchronization (MongoDB Atlas), and a responsive client interface (React 18, TypeScript, Tailwind CSS).</w:t>
      </w:r>
    </w:p>
    <w:p>
      <w:pPr>
        <w:keepNext/>
        <w:spacing w:before="160" w:after="40"/>
      </w:pPr>
      <w:r>
        <w:rPr>
          <w:rFonts w:ascii="Times New Roman" w:hAnsi="Times New Roman"/>
          <w:b/>
          <w:i/>
          <w:color w:val="1E1E1E"/>
          <w:sz w:val="20"/>
        </w:rPr>
        <w:t>A. Ingestion and Defensive Sanitization Layer</w:t>
      </w:r>
    </w:p>
    <w:p>
      <w:pPr>
        <w:spacing w:before="0" w:after="80" w:line="259" w:lineRule="auto"/>
        <w:jc w:val="both"/>
      </w:pPr>
      <w:r>
        <w:rPr>
          <w:rFonts w:ascii="Times New Roman" w:hAnsi="Times New Roman"/>
          <w:sz w:val="19"/>
        </w:rPr>
        <w:t>Candidate-uploaded documents (PDF, DOCX) represent untrusted data streams. Before downstream natural language extraction, text is processed through a deterministic security sanitizer that intercepts adversarial prompt-injection vectors [4], [5]. The sanitizer applies regular-expression scanning, instruction-boundary isolation, and structural token normalization:</w:t>
      </w:r>
    </w:p>
    <w:tbl>
      <w:tblPr>
        <w:tblW w:type="auto" w:w="0"/>
        <w:jc w:val="center"/>
        <w:tblLook w:firstColumn="1" w:firstRow="1" w:lastColumn="0" w:lastRow="0" w:noHBand="0" w:noVBand="1" w:val="04A0"/>
      </w:tblPr>
      <w:tblGrid>
        <w:gridCol w:w="5040"/>
        <w:gridCol w:w="5040"/>
      </w:tblGrid>
      <w:tr>
        <w:tc>
          <w:tcPr>
            <w:tcW w:type="dxa" w:w="8928"/>
            <w:tcMar>
              <w:top w:w="40" w:type="dxa"/>
              <w:bottom w:w="40" w:type="dxa"/>
              <w:left w:w="0" w:type="dxa"/>
              <w:right w:w="0" w:type="dxa"/>
            </w:tcMar>
          </w:tcPr>
          <w:p>
            <w:pPr>
              <w:jc w:val="center"/>
            </w:pPr>
            <w:r>
              <w:rPr>
                <w:i/>
                <w:sz w:val="19"/>
              </w:rPr>
              <w:t>D_clean = F_sanitize(D_raw) = { t ∈ D_raw | ∀ p ∈ P_adv, Match(p, t) = ∅ }</w:t>
            </w:r>
          </w:p>
        </w:tc>
        <w:tc>
          <w:tcPr>
            <w:tcW w:type="dxa" w:w="1152"/>
            <w:tcMar>
              <w:top w:w="40" w:type="dxa"/>
              <w:bottom w:w="40" w:type="dxa"/>
              <w:left w:w="0" w:type="dxa"/>
              <w:right w:w="0" w:type="dxa"/>
            </w:tcMar>
          </w:tcPr>
          <w:p>
            <w:pPr>
              <w:jc w:val="right"/>
            </w:pPr>
            <w:r>
              <w:rPr>
                <w:b/>
                <w:sz w:val="19"/>
              </w:rPr>
              <w:t>(1)</w:t>
            </w:r>
          </w:p>
        </w:tc>
      </w:tr>
    </w:tbl>
    <w:p>
      <w:pPr>
        <w:spacing w:before="0" w:after="40"/>
      </w:pPr>
    </w:p>
    <w:p>
      <w:pPr>
        <w:spacing w:before="0" w:after="80" w:line="259" w:lineRule="auto"/>
        <w:jc w:val="both"/>
      </w:pPr>
      <w:r>
        <w:rPr>
          <w:rFonts w:ascii="Times New Roman" w:hAnsi="Times New Roman"/>
          <w:sz w:val="19"/>
        </w:rPr>
        <w:t>where P_adv denotes the curated repository of adversarial injection patterns (e.g., system prompt delimiters '### System:', prompt-override commands 'ignore previous instructions', and white-font ASCII camouflage). Inbound text matching injection heuristics is sanitized and tagged with a high-priority security audit flag for human recruiter inspection, preventing adversarial prompt manipulation.</w:t>
      </w:r>
    </w:p>
    <w:p>
      <w:pPr>
        <w:keepNext/>
        <w:spacing w:before="160" w:after="40"/>
      </w:pPr>
      <w:r>
        <w:rPr>
          <w:rFonts w:ascii="Times New Roman" w:hAnsi="Times New Roman"/>
          <w:b/>
          <w:i/>
          <w:color w:val="1E1E1E"/>
          <w:sz w:val="20"/>
        </w:rPr>
        <w:t>B. Dense Semantic Vector Representation</w:t>
      </w:r>
    </w:p>
    <w:p>
      <w:pPr>
        <w:spacing w:before="0" w:after="80" w:line="259" w:lineRule="auto"/>
        <w:jc w:val="both"/>
      </w:pPr>
      <w:r>
        <w:rPr>
          <w:rFonts w:ascii="Times New Roman" w:hAnsi="Times New Roman"/>
          <w:sz w:val="19"/>
        </w:rPr>
        <w:t>Lexical parsing maps clean text into extracted entities: candidate claimed skills S_R = {s_{r,1}, s_{r,2}, ..., s_{r,m}}, documented experience tenure E_R ∈ R^+, and academic credentials. Job requisitions define target competencies S_J = {s_{j,1}, s_{j,2}, ..., s_{j,n}} and minimum experience requirements E_J.</w:t>
      </w:r>
    </w:p>
    <w:p>
      <w:pPr>
        <w:spacing w:before="0" w:after="80" w:line="259" w:lineRule="auto"/>
        <w:jc w:val="both"/>
      </w:pPr>
      <w:r>
        <w:rPr>
          <w:rFonts w:ascii="Times New Roman" w:hAnsi="Times New Roman"/>
          <w:sz w:val="19"/>
        </w:rPr>
        <w:t>Rather than matching tokens lexically, each technical competency is mapped into a continuous 384-dimensional dense semantic embedding space via a fine-tuned Sentence-BERT network (all-MiniLM-L6-v2) [7]:</w:t>
      </w:r>
    </w:p>
    <w:tbl>
      <w:tblPr>
        <w:tblW w:type="auto" w:w="0"/>
        <w:jc w:val="center"/>
        <w:tblLook w:firstColumn="1" w:firstRow="1" w:lastColumn="0" w:lastRow="0" w:noHBand="0" w:noVBand="1" w:val="04A0"/>
      </w:tblPr>
      <w:tblGrid>
        <w:gridCol w:w="5040"/>
        <w:gridCol w:w="5040"/>
      </w:tblGrid>
      <w:tr>
        <w:tc>
          <w:tcPr>
            <w:tcW w:type="dxa" w:w="8928"/>
            <w:tcMar>
              <w:top w:w="40" w:type="dxa"/>
              <w:bottom w:w="40" w:type="dxa"/>
              <w:left w:w="0" w:type="dxa"/>
              <w:right w:w="0" w:type="dxa"/>
            </w:tcMar>
          </w:tcPr>
          <w:p>
            <w:pPr>
              <w:jc w:val="center"/>
            </w:pPr>
            <w:r>
              <w:rPr>
                <w:i/>
                <w:sz w:val="19"/>
              </w:rPr>
              <w:t>e_s = SBERT(s) ∈ R^384,   ||e_s||_2 = 1</w:t>
            </w:r>
          </w:p>
        </w:tc>
        <w:tc>
          <w:tcPr>
            <w:tcW w:type="dxa" w:w="1152"/>
            <w:tcMar>
              <w:top w:w="40" w:type="dxa"/>
              <w:bottom w:w="40" w:type="dxa"/>
              <w:left w:w="0" w:type="dxa"/>
              <w:right w:w="0" w:type="dxa"/>
            </w:tcMar>
          </w:tcPr>
          <w:p>
            <w:pPr>
              <w:jc w:val="right"/>
            </w:pPr>
            <w:r>
              <w:rPr>
                <w:b/>
                <w:sz w:val="19"/>
              </w:rPr>
              <w:t>(2)</w:t>
            </w:r>
          </w:p>
        </w:tc>
      </w:tr>
    </w:tbl>
    <w:p>
      <w:pPr>
        <w:spacing w:before="0" w:after="40"/>
      </w:pPr>
    </w:p>
    <w:p>
      <w:pPr>
        <w:spacing w:before="0" w:after="80" w:line="259" w:lineRule="auto"/>
        <w:jc w:val="both"/>
      </w:pPr>
      <w:r>
        <w:rPr>
          <w:rFonts w:ascii="Times New Roman" w:hAnsi="Times New Roman"/>
          <w:sz w:val="19"/>
        </w:rPr>
        <w:t>The semantic alignment between a required competency s_j ∈ S_J and a candidate competency s_r ∈ S_R is computed via cosine similarity:</w:t>
      </w:r>
    </w:p>
    <w:tbl>
      <w:tblPr>
        <w:tblW w:type="auto" w:w="0"/>
        <w:jc w:val="center"/>
        <w:tblLook w:firstColumn="1" w:firstRow="1" w:lastColumn="0" w:lastRow="0" w:noHBand="0" w:noVBand="1" w:val="04A0"/>
      </w:tblPr>
      <w:tblGrid>
        <w:gridCol w:w="5040"/>
        <w:gridCol w:w="5040"/>
      </w:tblGrid>
      <w:tr>
        <w:tc>
          <w:tcPr>
            <w:tcW w:type="dxa" w:w="8928"/>
            <w:tcMar>
              <w:top w:w="40" w:type="dxa"/>
              <w:bottom w:w="40" w:type="dxa"/>
              <w:left w:w="0" w:type="dxa"/>
              <w:right w:w="0" w:type="dxa"/>
            </w:tcMar>
          </w:tcPr>
          <w:p>
            <w:pPr>
              <w:jc w:val="center"/>
            </w:pPr>
            <w:r>
              <w:rPr>
                <w:i/>
                <w:sz w:val="19"/>
              </w:rPr>
              <w:t>sim(s_j, s_r) = (e_{s_j} · e_{s_r}) / (||e_{s_j}||_2 · ||e_{s_r}||_2) = ∑_{k=1}^{384} e_{s_j, k} · e_{s_r, k}</w:t>
            </w:r>
          </w:p>
        </w:tc>
        <w:tc>
          <w:tcPr>
            <w:tcW w:type="dxa" w:w="1152"/>
            <w:tcMar>
              <w:top w:w="40" w:type="dxa"/>
              <w:bottom w:w="40" w:type="dxa"/>
              <w:left w:w="0" w:type="dxa"/>
              <w:right w:w="0" w:type="dxa"/>
            </w:tcMar>
          </w:tcPr>
          <w:p>
            <w:pPr>
              <w:jc w:val="right"/>
            </w:pPr>
            <w:r>
              <w:rPr>
                <w:b/>
                <w:sz w:val="19"/>
              </w:rPr>
              <w:t>(3)</w:t>
            </w:r>
          </w:p>
        </w:tc>
      </w:tr>
    </w:tbl>
    <w:p>
      <w:pPr>
        <w:spacing w:before="0" w:after="40"/>
      </w:pPr>
    </w:p>
    <w:p>
      <w:pPr>
        <w:keepNext/>
        <w:spacing w:before="160" w:after="40"/>
      </w:pPr>
      <w:r>
        <w:rPr>
          <w:rFonts w:ascii="Times New Roman" w:hAnsi="Times New Roman"/>
          <w:b/>
          <w:i/>
          <w:color w:val="1E1E1E"/>
          <w:sz w:val="20"/>
        </w:rPr>
        <w:t>C. Categorical Skill-Gap Partitioning</w:t>
      </w:r>
    </w:p>
    <w:p>
      <w:pPr>
        <w:spacing w:before="0" w:after="80" w:line="259" w:lineRule="auto"/>
        <w:jc w:val="both"/>
      </w:pPr>
      <w:r>
        <w:rPr>
          <w:rFonts w:ascii="Times New Roman" w:hAnsi="Times New Roman"/>
          <w:sz w:val="19"/>
        </w:rPr>
        <w:t>To provide actionable feedback to both recruiters and candidates, the system partitions each required competency s_j ∈ S_J into four mutually exclusive operational categories based on dual similarity thresholds τ_exact = 0.85 and τ_partial = 0.65:</w:t>
      </w:r>
    </w:p>
    <w:tbl>
      <w:tblPr>
        <w:tblW w:type="auto" w:w="0"/>
        <w:jc w:val="center"/>
        <w:tblLook w:firstColumn="1" w:firstRow="1" w:lastColumn="0" w:lastRow="0" w:noHBand="0" w:noVBand="1" w:val="04A0"/>
      </w:tblPr>
      <w:tblGrid>
        <w:gridCol w:w="5040"/>
        <w:gridCol w:w="5040"/>
      </w:tblGrid>
      <w:tr>
        <w:tc>
          <w:tcPr>
            <w:tcW w:type="dxa" w:w="8928"/>
            <w:tcMar>
              <w:top w:w="40" w:type="dxa"/>
              <w:bottom w:w="40" w:type="dxa"/>
              <w:left w:w="0" w:type="dxa"/>
              <w:right w:w="0" w:type="dxa"/>
            </w:tcMar>
          </w:tcPr>
          <w:p>
            <w:pPr>
              <w:jc w:val="center"/>
            </w:pPr>
            <w:r>
              <w:rPr>
                <w:i/>
                <w:sz w:val="19"/>
              </w:rPr>
              <w:t>C(s_j) = Exact Match (if max sim ≥ 0.85); Partial Match (if 0.65 ≤ max sim &lt; 0.85); Missing (if max sim &lt; 0.65)</w:t>
            </w:r>
          </w:p>
        </w:tc>
        <w:tc>
          <w:tcPr>
            <w:tcW w:type="dxa" w:w="1152"/>
            <w:tcMar>
              <w:top w:w="40" w:type="dxa"/>
              <w:bottom w:w="40" w:type="dxa"/>
              <w:left w:w="0" w:type="dxa"/>
              <w:right w:w="0" w:type="dxa"/>
            </w:tcMar>
          </w:tcPr>
          <w:p>
            <w:pPr>
              <w:jc w:val="right"/>
            </w:pPr>
            <w:r>
              <w:rPr>
                <w:b/>
                <w:sz w:val="19"/>
              </w:rPr>
              <w:t>(4)</w:t>
            </w:r>
          </w:p>
        </w:tc>
      </w:tr>
    </w:tbl>
    <w:p>
      <w:pPr>
        <w:spacing w:before="0" w:after="40"/>
      </w:pPr>
    </w:p>
    <w:p>
      <w:pPr>
        <w:spacing w:before="0" w:after="80" w:line="259" w:lineRule="auto"/>
        <w:jc w:val="both"/>
      </w:pPr>
      <w:r>
        <w:rPr>
          <w:rFonts w:ascii="Times New Roman" w:hAnsi="Times New Roman"/>
          <w:sz w:val="19"/>
        </w:rPr>
        <w:t>The aggregate skill match score S_skill ∈ [0, 100] is computed as the importance-weighted mean alignment across all required competencies:</w:t>
      </w:r>
    </w:p>
    <w:tbl>
      <w:tblPr>
        <w:tblW w:type="auto" w:w="0"/>
        <w:jc w:val="center"/>
        <w:tblLook w:firstColumn="1" w:firstRow="1" w:lastColumn="0" w:lastRow="0" w:noHBand="0" w:noVBand="1" w:val="04A0"/>
      </w:tblPr>
      <w:tblGrid>
        <w:gridCol w:w="5040"/>
        <w:gridCol w:w="5040"/>
      </w:tblGrid>
      <w:tr>
        <w:tc>
          <w:tcPr>
            <w:tcW w:type="dxa" w:w="8928"/>
            <w:tcMar>
              <w:top w:w="40" w:type="dxa"/>
              <w:bottom w:w="40" w:type="dxa"/>
              <w:left w:w="0" w:type="dxa"/>
              <w:right w:w="0" w:type="dxa"/>
            </w:tcMar>
          </w:tcPr>
          <w:p>
            <w:pPr>
              <w:jc w:val="center"/>
            </w:pPr>
            <w:r>
              <w:rPr>
                <w:i/>
                <w:sz w:val="19"/>
              </w:rPr>
              <w:t>S_skill = ( 1 / ∑ ω_j ) · ∑_{j=1}^n ω_j · ( max_{s_r ∈ S_R} sim(s_j, s_r) ) × 100</w:t>
            </w:r>
          </w:p>
        </w:tc>
        <w:tc>
          <w:tcPr>
            <w:tcW w:type="dxa" w:w="1152"/>
            <w:tcMar>
              <w:top w:w="40" w:type="dxa"/>
              <w:bottom w:w="40" w:type="dxa"/>
              <w:left w:w="0" w:type="dxa"/>
              <w:right w:w="0" w:type="dxa"/>
            </w:tcMar>
          </w:tcPr>
          <w:p>
            <w:pPr>
              <w:jc w:val="right"/>
            </w:pPr>
            <w:r>
              <w:rPr>
                <w:b/>
                <w:sz w:val="19"/>
              </w:rPr>
              <w:t>(5)</w:t>
            </w:r>
          </w:p>
        </w:tc>
      </w:tr>
    </w:tbl>
    <w:p>
      <w:pPr>
        <w:spacing w:before="0" w:after="40"/>
      </w:pPr>
    </w:p>
    <w:p>
      <w:pPr>
        <w:spacing w:before="0" w:after="80" w:line="259" w:lineRule="auto"/>
        <w:jc w:val="both"/>
      </w:pPr>
      <w:r>
        <w:rPr>
          <w:rFonts w:ascii="Times New Roman" w:hAnsi="Times New Roman"/>
          <w:sz w:val="19"/>
        </w:rPr>
        <w:t>where ω_j ∈ [1, 3] represents the recruiter-designated importance weight of competency s_j.</w:t>
      </w:r>
    </w:p>
    <w:p>
      <w:pPr>
        <w:keepNext/>
        <w:spacing w:before="160" w:after="40"/>
      </w:pPr>
      <w:r>
        <w:rPr>
          <w:rFonts w:ascii="Times New Roman" w:hAnsi="Times New Roman"/>
          <w:b/>
          <w:i/>
          <w:color w:val="1E1E1E"/>
          <w:sz w:val="20"/>
        </w:rPr>
        <w:t>D. Multi-Factor Additive Score Decomposition</w:t>
      </w:r>
    </w:p>
    <w:p>
      <w:pPr>
        <w:spacing w:before="0" w:after="80" w:line="259" w:lineRule="auto"/>
        <w:jc w:val="both"/>
      </w:pPr>
      <w:r>
        <w:rPr>
          <w:rFonts w:ascii="Times New Roman" w:hAnsi="Times New Roman"/>
          <w:sz w:val="19"/>
        </w:rPr>
        <w:t>To guarantee transparent explainability without relying upon post-hoc surrogate explanations (e.g., LIME), RecruitIQ computes candidate composite scores through an explicit, auditable linear attribution model:</w:t>
      </w:r>
    </w:p>
    <w:tbl>
      <w:tblPr>
        <w:tblW w:type="auto" w:w="0"/>
        <w:jc w:val="center"/>
        <w:tblLook w:firstColumn="1" w:firstRow="1" w:lastColumn="0" w:lastRow="0" w:noHBand="0" w:noVBand="1" w:val="04A0"/>
      </w:tblPr>
      <w:tblGrid>
        <w:gridCol w:w="5040"/>
        <w:gridCol w:w="5040"/>
      </w:tblGrid>
      <w:tr>
        <w:tc>
          <w:tcPr>
            <w:tcW w:type="dxa" w:w="8928"/>
            <w:tcMar>
              <w:top w:w="40" w:type="dxa"/>
              <w:bottom w:w="40" w:type="dxa"/>
              <w:left w:w="0" w:type="dxa"/>
              <w:right w:w="0" w:type="dxa"/>
            </w:tcMar>
          </w:tcPr>
          <w:p>
            <w:pPr>
              <w:jc w:val="center"/>
            </w:pPr>
            <w:r>
              <w:rPr>
                <w:i/>
                <w:sz w:val="19"/>
              </w:rPr>
              <w:t>S_composite = w_skill · S_skill + w_exp · S_exp + w_edu · S_edu + w_eval · S_eval</w:t>
            </w:r>
          </w:p>
        </w:tc>
        <w:tc>
          <w:tcPr>
            <w:tcW w:type="dxa" w:w="1152"/>
            <w:tcMar>
              <w:top w:w="40" w:type="dxa"/>
              <w:bottom w:w="40" w:type="dxa"/>
              <w:left w:w="0" w:type="dxa"/>
              <w:right w:w="0" w:type="dxa"/>
            </w:tcMar>
          </w:tcPr>
          <w:p>
            <w:pPr>
              <w:jc w:val="right"/>
            </w:pPr>
            <w:r>
              <w:rPr>
                <w:b/>
                <w:sz w:val="19"/>
              </w:rPr>
              <w:t>(6)</w:t>
            </w:r>
          </w:p>
        </w:tc>
      </w:tr>
    </w:tbl>
    <w:p>
      <w:pPr>
        <w:spacing w:before="0" w:after="40"/>
      </w:pPr>
    </w:p>
    <w:p>
      <w:pPr>
        <w:spacing w:before="0" w:after="80" w:line="259" w:lineRule="auto"/>
        <w:jc w:val="both"/>
      </w:pPr>
      <w:r>
        <w:rPr>
          <w:rFonts w:ascii="Times New Roman" w:hAnsi="Times New Roman"/>
          <w:sz w:val="19"/>
        </w:rPr>
        <w:t>where S_skill is the dense competency alignment, S_exp is normalized experience tenure min(100, (E_R / E_J) × 100), S_edu is academic qualification tier score, and S_eval is the empirical assessment score derived from adaptive technical testing. Default attribution weights satisfy ∑ w = 1.0: w_skill = 0.40, w_exp = 0.25, w_edu = 0.15, and w_eval = 0.20.</w:t>
      </w:r>
    </w:p>
    <w:p>
      <w:pPr>
        <w:keepNext/>
        <w:spacing w:before="280" w:after="80"/>
      </w:pPr>
      <w:r>
        <w:rPr>
          <w:rFonts w:ascii="Times New Roman" w:hAnsi="Times New Roman"/>
          <w:b/>
          <w:color w:val="0A192F"/>
          <w:sz w:val="22"/>
        </w:rPr>
        <w:t>IV. COMPUTERIZED ADAPTIVE TESTING &amp; CLAIM AUDITING</w:t>
      </w:r>
    </w:p>
    <w:p>
      <w:pPr>
        <w:keepNext/>
        <w:spacing w:before="160" w:after="40"/>
      </w:pPr>
      <w:r>
        <w:rPr>
          <w:rFonts w:ascii="Times New Roman" w:hAnsi="Times New Roman"/>
          <w:b/>
          <w:i/>
          <w:color w:val="1E1E1E"/>
          <w:sz w:val="20"/>
        </w:rPr>
        <w:t>A. Psychometric 2PL IRT Model</w:t>
      </w:r>
    </w:p>
    <w:p>
      <w:pPr>
        <w:spacing w:before="0" w:after="80" w:line="259" w:lineRule="auto"/>
        <w:jc w:val="both"/>
      </w:pPr>
      <w:r>
        <w:rPr>
          <w:rFonts w:ascii="Times New Roman" w:hAnsi="Times New Roman"/>
          <w:sz w:val="19"/>
        </w:rPr>
        <w:t>We model candidate performance using the Two-Parameter Logistic (2PL) Item Response Theory model [9]. Let θ ∈ (-∞, +∞) represent the candidate's latent technical capability (standardized with mean 0, variance 1). For an assessment item i, let b_i ∈ [-3.0, +3.0] denote difficulty and a_i ∈ [0.5, 2.5] denote discrimination. The conditional probability of correctness Y_i ∈ {0, 1} is formulated as:</w:t>
      </w:r>
    </w:p>
    <w:tbl>
      <w:tblPr>
        <w:tblW w:type="auto" w:w="0"/>
        <w:jc w:val="center"/>
        <w:tblLook w:firstColumn="1" w:firstRow="1" w:lastColumn="0" w:lastRow="0" w:noHBand="0" w:noVBand="1" w:val="04A0"/>
      </w:tblPr>
      <w:tblGrid>
        <w:gridCol w:w="5040"/>
        <w:gridCol w:w="5040"/>
      </w:tblGrid>
      <w:tr>
        <w:tc>
          <w:tcPr>
            <w:tcW w:type="dxa" w:w="8928"/>
            <w:tcMar>
              <w:top w:w="40" w:type="dxa"/>
              <w:bottom w:w="40" w:type="dxa"/>
              <w:left w:w="0" w:type="dxa"/>
              <w:right w:w="0" w:type="dxa"/>
            </w:tcMar>
          </w:tcPr>
          <w:p>
            <w:pPr>
              <w:jc w:val="center"/>
            </w:pPr>
            <w:r>
              <w:rPr>
                <w:i/>
                <w:sz w:val="19"/>
              </w:rPr>
              <w:t>P_i(θ) = P(Y_i = 1 | θ, a_i, b_i) = 1 / ( 1 + exp[ -a_i (θ - b_i) ] )</w:t>
            </w:r>
          </w:p>
        </w:tc>
        <w:tc>
          <w:tcPr>
            <w:tcW w:type="dxa" w:w="1152"/>
            <w:tcMar>
              <w:top w:w="40" w:type="dxa"/>
              <w:bottom w:w="40" w:type="dxa"/>
              <w:left w:w="0" w:type="dxa"/>
              <w:right w:w="0" w:type="dxa"/>
            </w:tcMar>
          </w:tcPr>
          <w:p>
            <w:pPr>
              <w:jc w:val="right"/>
            </w:pPr>
            <w:r>
              <w:rPr>
                <w:b/>
                <w:sz w:val="19"/>
              </w:rPr>
              <w:t>(7)</w:t>
            </w:r>
          </w:p>
        </w:tc>
      </w:tr>
    </w:tbl>
    <w:p>
      <w:pPr>
        <w:spacing w:before="0" w:after="40"/>
      </w:pPr>
    </w:p>
    <w:p>
      <w:pPr>
        <w:spacing w:before="0" w:after="80" w:line="259" w:lineRule="auto"/>
        <w:jc w:val="both"/>
      </w:pPr>
      <w:r>
        <w:rPr>
          <w:rFonts w:ascii="Times New Roman" w:hAnsi="Times New Roman"/>
          <w:sz w:val="19"/>
        </w:rPr>
        <w:t>The corresponding item information function I_i(θ), quantifying the statistical measurement precision contributed by item i at latent ability θ, is expressed as:</w:t>
      </w:r>
    </w:p>
    <w:tbl>
      <w:tblPr>
        <w:tblW w:type="auto" w:w="0"/>
        <w:jc w:val="center"/>
        <w:tblLook w:firstColumn="1" w:firstRow="1" w:lastColumn="0" w:lastRow="0" w:noHBand="0" w:noVBand="1" w:val="04A0"/>
      </w:tblPr>
      <w:tblGrid>
        <w:gridCol w:w="5040"/>
        <w:gridCol w:w="5040"/>
      </w:tblGrid>
      <w:tr>
        <w:tc>
          <w:tcPr>
            <w:tcW w:type="dxa" w:w="8928"/>
            <w:tcMar>
              <w:top w:w="40" w:type="dxa"/>
              <w:bottom w:w="40" w:type="dxa"/>
              <w:left w:w="0" w:type="dxa"/>
              <w:right w:w="0" w:type="dxa"/>
            </w:tcMar>
          </w:tcPr>
          <w:p>
            <w:pPr>
              <w:jc w:val="center"/>
            </w:pPr>
            <w:r>
              <w:rPr>
                <w:i/>
                <w:sz w:val="19"/>
              </w:rPr>
              <w:t>I_i(θ) = a_i^2 · P_i(θ) · (1 - P_i(θ)) = a_i^2 exp[ -a_i (θ - b_i) ] / ( 1 + exp[ -a_i (θ - b_i) ] )^2</w:t>
            </w:r>
          </w:p>
        </w:tc>
        <w:tc>
          <w:tcPr>
            <w:tcW w:type="dxa" w:w="1152"/>
            <w:tcMar>
              <w:top w:w="40" w:type="dxa"/>
              <w:bottom w:w="40" w:type="dxa"/>
              <w:left w:w="0" w:type="dxa"/>
              <w:right w:w="0" w:type="dxa"/>
            </w:tcMar>
          </w:tcPr>
          <w:p>
            <w:pPr>
              <w:jc w:val="right"/>
            </w:pPr>
            <w:r>
              <w:rPr>
                <w:b/>
                <w:sz w:val="19"/>
              </w:rPr>
              <w:t>(8)</w:t>
            </w:r>
          </w:p>
        </w:tc>
      </w:tr>
    </w:tbl>
    <w:p>
      <w:pPr>
        <w:spacing w:before="0" w:after="40"/>
      </w:pPr>
    </w:p>
    <w:p>
      <w:pPr>
        <w:keepNext/>
        <w:spacing w:before="160" w:after="40"/>
      </w:pPr>
      <w:r>
        <w:rPr>
          <w:rFonts w:ascii="Times New Roman" w:hAnsi="Times New Roman"/>
          <w:b/>
          <w:i/>
          <w:color w:val="1E1E1E"/>
          <w:sz w:val="20"/>
        </w:rPr>
        <w:t>B. Dynamic Item Selection and Latent Trait Updating</w:t>
      </w:r>
    </w:p>
    <w:p>
      <w:pPr>
        <w:spacing w:before="0" w:after="80" w:line="259" w:lineRule="auto"/>
        <w:jc w:val="both"/>
      </w:pPr>
      <w:r>
        <w:rPr>
          <w:rFonts w:ascii="Times New Roman" w:hAnsi="Times New Roman"/>
          <w:sz w:val="19"/>
        </w:rPr>
        <w:t>During an adaptive examination session, after administering k items with observed response vector y_k = (y_1, y_2, ..., y_k), the candidate's provisional latent capability θ̂_k is estimated via Maximum Likelihood Estimation (MLE) by finding the root of the score equation:</w:t>
      </w:r>
    </w:p>
    <w:tbl>
      <w:tblPr>
        <w:tblW w:type="auto" w:w="0"/>
        <w:jc w:val="center"/>
        <w:tblLook w:firstColumn="1" w:firstRow="1" w:lastColumn="0" w:lastRow="0" w:noHBand="0" w:noVBand="1" w:val="04A0"/>
      </w:tblPr>
      <w:tblGrid>
        <w:gridCol w:w="5040"/>
        <w:gridCol w:w="5040"/>
      </w:tblGrid>
      <w:tr>
        <w:tc>
          <w:tcPr>
            <w:tcW w:type="dxa" w:w="8928"/>
            <w:tcMar>
              <w:top w:w="40" w:type="dxa"/>
              <w:bottom w:w="40" w:type="dxa"/>
              <w:left w:w="0" w:type="dxa"/>
              <w:right w:w="0" w:type="dxa"/>
            </w:tcMar>
          </w:tcPr>
          <w:p>
            <w:pPr>
              <w:jc w:val="center"/>
            </w:pPr>
            <w:r>
              <w:rPr>
                <w:i/>
                <w:sz w:val="19"/>
              </w:rPr>
              <w:t>∂ ln L(θ | y_k) / ∂θ = ∑_{j=1}^k a_j [ y_j - P_j(θ) ] = 0</w:t>
            </w:r>
          </w:p>
        </w:tc>
        <w:tc>
          <w:tcPr>
            <w:tcW w:type="dxa" w:w="1152"/>
            <w:tcMar>
              <w:top w:w="40" w:type="dxa"/>
              <w:bottom w:w="40" w:type="dxa"/>
              <w:left w:w="0" w:type="dxa"/>
              <w:right w:w="0" w:type="dxa"/>
            </w:tcMar>
          </w:tcPr>
          <w:p>
            <w:pPr>
              <w:jc w:val="right"/>
            </w:pPr>
            <w:r>
              <w:rPr>
                <w:b/>
                <w:sz w:val="19"/>
              </w:rPr>
              <w:t>(9)</w:t>
            </w:r>
          </w:p>
        </w:tc>
      </w:tr>
    </w:tbl>
    <w:p>
      <w:pPr>
        <w:spacing w:before="0" w:after="40"/>
      </w:pPr>
    </w:p>
    <w:p>
      <w:pPr>
        <w:spacing w:before="0" w:after="80" w:line="259" w:lineRule="auto"/>
        <w:jc w:val="both"/>
      </w:pPr>
      <w:r>
        <w:rPr>
          <w:rFonts w:ascii="Times New Roman" w:hAnsi="Times New Roman"/>
          <w:sz w:val="19"/>
        </w:rPr>
        <w:t>To maximize measurement efficiency, the (k+1)-th item i* is selected from the unadministered problem pool Q_rem according to the Maximum Fisher Information criterion:</w:t>
      </w:r>
    </w:p>
    <w:tbl>
      <w:tblPr>
        <w:tblW w:type="auto" w:w="0"/>
        <w:jc w:val="center"/>
        <w:tblLook w:firstColumn="1" w:firstRow="1" w:lastColumn="0" w:lastRow="0" w:noHBand="0" w:noVBand="1" w:val="04A0"/>
      </w:tblPr>
      <w:tblGrid>
        <w:gridCol w:w="5040"/>
        <w:gridCol w:w="5040"/>
      </w:tblGrid>
      <w:tr>
        <w:tc>
          <w:tcPr>
            <w:tcW w:type="dxa" w:w="8928"/>
            <w:tcMar>
              <w:top w:w="40" w:type="dxa"/>
              <w:bottom w:w="40" w:type="dxa"/>
              <w:left w:w="0" w:type="dxa"/>
              <w:right w:w="0" w:type="dxa"/>
            </w:tcMar>
          </w:tcPr>
          <w:p>
            <w:pPr>
              <w:jc w:val="center"/>
            </w:pPr>
            <w:r>
              <w:rPr>
                <w:i/>
                <w:sz w:val="19"/>
              </w:rPr>
              <w:t>i* = argmax_{i ∈ Q_rem} I_i(θ̂_k)</w:t>
            </w:r>
          </w:p>
        </w:tc>
        <w:tc>
          <w:tcPr>
            <w:tcW w:type="dxa" w:w="1152"/>
            <w:tcMar>
              <w:top w:w="40" w:type="dxa"/>
              <w:bottom w:w="40" w:type="dxa"/>
              <w:left w:w="0" w:type="dxa"/>
              <w:right w:w="0" w:type="dxa"/>
            </w:tcMar>
          </w:tcPr>
          <w:p>
            <w:pPr>
              <w:jc w:val="right"/>
            </w:pPr>
            <w:r>
              <w:rPr>
                <w:b/>
                <w:sz w:val="19"/>
              </w:rPr>
              <w:t>(10)</w:t>
            </w:r>
          </w:p>
        </w:tc>
      </w:tr>
    </w:tbl>
    <w:p>
      <w:pPr>
        <w:spacing w:before="0" w:after="40"/>
      </w:pPr>
    </w:p>
    <w:p>
      <w:pPr>
        <w:spacing w:before="0" w:after="80" w:line="259" w:lineRule="auto"/>
        <w:jc w:val="both"/>
      </w:pPr>
      <w:r>
        <w:rPr>
          <w:rFonts w:ascii="Times New Roman" w:hAnsi="Times New Roman"/>
          <w:sz w:val="19"/>
        </w:rPr>
        <w:t>Items are calibrated across three operational tiers: Beginner (b_i ∈ [-2.0, -0.5]), Intermediate (b_i ∈ [-0.5, +0.8]), and Advanced (b_i ∈ [+0.8, +2.5]). The test continues until measurement standard error satisfies SE(θ̂) ≤ 0.35 or a maximum budget of K = 5 items is reached. The empirical assessment score S_eval is then mapped to the interval [0, 100]:</w:t>
      </w:r>
    </w:p>
    <w:tbl>
      <w:tblPr>
        <w:tblW w:type="auto" w:w="0"/>
        <w:jc w:val="center"/>
        <w:tblLook w:firstColumn="1" w:firstRow="1" w:lastColumn="0" w:lastRow="0" w:noHBand="0" w:noVBand="1" w:val="04A0"/>
      </w:tblPr>
      <w:tblGrid>
        <w:gridCol w:w="5040"/>
        <w:gridCol w:w="5040"/>
      </w:tblGrid>
      <w:tr>
        <w:tc>
          <w:tcPr>
            <w:tcW w:type="dxa" w:w="8928"/>
            <w:tcMar>
              <w:top w:w="40" w:type="dxa"/>
              <w:bottom w:w="40" w:type="dxa"/>
              <w:left w:w="0" w:type="dxa"/>
              <w:right w:w="0" w:type="dxa"/>
            </w:tcMar>
          </w:tcPr>
          <w:p>
            <w:pPr>
              <w:jc w:val="center"/>
            </w:pPr>
            <w:r>
              <w:rPr>
                <w:i/>
                <w:sz w:val="19"/>
              </w:rPr>
              <w:t>S_eval = ( 1 / ( 1 + exp(-θ̂_final) ) ) × 100</w:t>
            </w:r>
          </w:p>
        </w:tc>
        <w:tc>
          <w:tcPr>
            <w:tcW w:type="dxa" w:w="1152"/>
            <w:tcMar>
              <w:top w:w="40" w:type="dxa"/>
              <w:bottom w:w="40" w:type="dxa"/>
              <w:left w:w="0" w:type="dxa"/>
              <w:right w:w="0" w:type="dxa"/>
            </w:tcMar>
          </w:tcPr>
          <w:p>
            <w:pPr>
              <w:jc w:val="right"/>
            </w:pPr>
            <w:r>
              <w:rPr>
                <w:b/>
                <w:sz w:val="19"/>
              </w:rPr>
              <w:t>(11)</w:t>
            </w:r>
          </w:p>
        </w:tc>
      </w:tr>
    </w:tbl>
    <w:p>
      <w:pPr>
        <w:spacing w:before="0" w:after="40"/>
      </w:pPr>
    </w:p>
    <w:p>
      <w:pPr>
        <w:keepNext/>
        <w:spacing w:before="160" w:after="40"/>
      </w:pPr>
      <w:r>
        <w:rPr>
          <w:rFonts w:ascii="Times New Roman" w:hAnsi="Times New Roman"/>
          <w:b/>
          <w:i/>
          <w:color w:val="1E1E1E"/>
          <w:sz w:val="20"/>
        </w:rPr>
        <w:t>C. Claim-versus-Evidence Consistency Discrepancy Index</w:t>
      </w:r>
    </w:p>
    <w:p>
      <w:pPr>
        <w:spacing w:before="0" w:after="80" w:line="259" w:lineRule="auto"/>
        <w:jc w:val="both"/>
      </w:pPr>
      <w:r>
        <w:rPr>
          <w:rFonts w:ascii="Times New Roman" w:hAnsi="Times New Roman"/>
          <w:sz w:val="19"/>
        </w:rPr>
        <w:t>To detect resume inflation anomalies without autonomous disqualification, RecruitIQ computes a formal Discrepancy Index δ_s for each claimed competency s:</w:t>
      </w:r>
    </w:p>
    <w:tbl>
      <w:tblPr>
        <w:tblW w:type="auto" w:w="0"/>
        <w:jc w:val="center"/>
        <w:tblLook w:firstColumn="1" w:firstRow="1" w:lastColumn="0" w:lastRow="0" w:noHBand="0" w:noVBand="1" w:val="04A0"/>
      </w:tblPr>
      <w:tblGrid>
        <w:gridCol w:w="5040"/>
        <w:gridCol w:w="5040"/>
      </w:tblGrid>
      <w:tr>
        <w:tc>
          <w:tcPr>
            <w:tcW w:type="dxa" w:w="8928"/>
            <w:tcMar>
              <w:top w:w="40" w:type="dxa"/>
              <w:bottom w:w="40" w:type="dxa"/>
              <w:left w:w="0" w:type="dxa"/>
              <w:right w:w="0" w:type="dxa"/>
            </w:tcMar>
          </w:tcPr>
          <w:p>
            <w:pPr>
              <w:jc w:val="center"/>
            </w:pPr>
            <w:r>
              <w:rPr>
                <w:i/>
                <w:sz w:val="19"/>
              </w:rPr>
              <w:t>δ_s = max( 0,  Φ_claim(s) - Φ_demonstrated(s, θ̂) )</w:t>
            </w:r>
          </w:p>
        </w:tc>
        <w:tc>
          <w:tcPr>
            <w:tcW w:type="dxa" w:w="1152"/>
            <w:tcMar>
              <w:top w:w="40" w:type="dxa"/>
              <w:bottom w:w="40" w:type="dxa"/>
              <w:left w:w="0" w:type="dxa"/>
              <w:right w:w="0" w:type="dxa"/>
            </w:tcMar>
          </w:tcPr>
          <w:p>
            <w:pPr>
              <w:jc w:val="right"/>
            </w:pPr>
            <w:r>
              <w:rPr>
                <w:b/>
                <w:sz w:val="19"/>
              </w:rPr>
              <w:t>(12)</w:t>
            </w:r>
          </w:p>
        </w:tc>
      </w:tr>
    </w:tbl>
    <w:p>
      <w:pPr>
        <w:spacing w:before="0" w:after="40"/>
      </w:pPr>
    </w:p>
    <w:p>
      <w:pPr>
        <w:spacing w:before="0" w:after="80" w:line="259" w:lineRule="auto"/>
        <w:jc w:val="both"/>
      </w:pPr>
      <w:r>
        <w:rPr>
          <w:rFonts w:ascii="Times New Roman" w:hAnsi="Times New Roman"/>
          <w:sz w:val="19"/>
        </w:rPr>
        <w:t>where Φ_claim(s) ∈ [0, 1] represents the candidate's self-reported mastery level extracted from resume text, and Φ_demonstrated(s, θ̂) ∈ [0, 1] represents normalized performance exhibited on items testing competency s. When δ_s ≥ 0.40, the system generates an auditable Competency Inflation Flag in the Recruiter Dossier, accompanied by the specific empirical evidence for human review.</w:t>
      </w:r>
    </w:p>
    <w:p>
      <w:pPr>
        <w:keepNext/>
        <w:spacing w:before="280" w:after="80"/>
      </w:pPr>
      <w:r>
        <w:rPr>
          <w:rFonts w:ascii="Times New Roman" w:hAnsi="Times New Roman"/>
          <w:b/>
          <w:color w:val="0A192F"/>
          <w:sz w:val="22"/>
        </w:rPr>
        <w:t>V. DEMOGRAPHIC FAIRNESS &amp; ADVERSARIAL DEFENSE</w:t>
      </w:r>
    </w:p>
    <w:p>
      <w:pPr>
        <w:keepNext/>
        <w:spacing w:before="160" w:after="40"/>
      </w:pPr>
      <w:r>
        <w:rPr>
          <w:rFonts w:ascii="Times New Roman" w:hAnsi="Times New Roman"/>
          <w:b/>
          <w:i/>
          <w:color w:val="1E1E1E"/>
          <w:sz w:val="20"/>
        </w:rPr>
        <w:t>A. Demographic Parity and Disparate Impact Metrics</w:t>
      </w:r>
    </w:p>
    <w:p>
      <w:pPr>
        <w:spacing w:before="0" w:after="80" w:line="259" w:lineRule="auto"/>
        <w:jc w:val="both"/>
      </w:pPr>
      <w:r>
        <w:rPr>
          <w:rFonts w:ascii="Times New Roman" w:hAnsi="Times New Roman"/>
          <w:sz w:val="19"/>
        </w:rPr>
        <w:t>To ensure compliance with statutory ethical standards without manipulating individual qualification scores, RecruitIQ incorporates an independent audit engine that evaluates aggregate selection outcomes across demographic groups. Let G ∈ {g_1, g_2} represent a sensitive demographic attribute, and let Ŷ ∈ {0, 1} represent the binary candidate shortlisting recommendation (S_composite ≥ τ_hire).</w:t>
      </w:r>
    </w:p>
    <w:p>
      <w:pPr>
        <w:spacing w:before="0" w:after="80" w:line="259" w:lineRule="auto"/>
        <w:jc w:val="both"/>
      </w:pPr>
      <w:r>
        <w:rPr>
          <w:rFonts w:ascii="Times New Roman" w:hAnsi="Times New Roman"/>
          <w:sz w:val="19"/>
        </w:rPr>
        <w:t>The Demographic Parity Difference (Δ_DP) measures absolute divergence in selection rates between groups:</w:t>
      </w:r>
    </w:p>
    <w:tbl>
      <w:tblPr>
        <w:tblW w:type="auto" w:w="0"/>
        <w:jc w:val="center"/>
        <w:tblLook w:firstColumn="1" w:firstRow="1" w:lastColumn="0" w:lastRow="0" w:noHBand="0" w:noVBand="1" w:val="04A0"/>
      </w:tblPr>
      <w:tblGrid>
        <w:gridCol w:w="5040"/>
        <w:gridCol w:w="5040"/>
      </w:tblGrid>
      <w:tr>
        <w:tc>
          <w:tcPr>
            <w:tcW w:type="dxa" w:w="8928"/>
            <w:tcMar>
              <w:top w:w="40" w:type="dxa"/>
              <w:bottom w:w="40" w:type="dxa"/>
              <w:left w:w="0" w:type="dxa"/>
              <w:right w:w="0" w:type="dxa"/>
            </w:tcMar>
          </w:tcPr>
          <w:p>
            <w:pPr>
              <w:jc w:val="center"/>
            </w:pPr>
            <w:r>
              <w:rPr>
                <w:i/>
                <w:sz w:val="19"/>
              </w:rPr>
              <w:t>Δ_DP = | P(Ŷ = 1 | G = g_1) - P(Ŷ = 1 | G = g_2) |</w:t>
            </w:r>
          </w:p>
        </w:tc>
        <w:tc>
          <w:tcPr>
            <w:tcW w:type="dxa" w:w="1152"/>
            <w:tcMar>
              <w:top w:w="40" w:type="dxa"/>
              <w:bottom w:w="40" w:type="dxa"/>
              <w:left w:w="0" w:type="dxa"/>
              <w:right w:w="0" w:type="dxa"/>
            </w:tcMar>
          </w:tcPr>
          <w:p>
            <w:pPr>
              <w:jc w:val="right"/>
            </w:pPr>
            <w:r>
              <w:rPr>
                <w:b/>
                <w:sz w:val="19"/>
              </w:rPr>
              <w:t>(13)</w:t>
            </w:r>
          </w:p>
        </w:tc>
      </w:tr>
    </w:tbl>
    <w:p>
      <w:pPr>
        <w:spacing w:before="0" w:after="40"/>
      </w:pPr>
    </w:p>
    <w:p>
      <w:pPr>
        <w:spacing w:before="0" w:after="80" w:line="259" w:lineRule="auto"/>
        <w:jc w:val="both"/>
      </w:pPr>
      <w:r>
        <w:rPr>
          <w:rFonts w:ascii="Times New Roman" w:hAnsi="Times New Roman"/>
          <w:sz w:val="19"/>
        </w:rPr>
        <w:t>A fully fair decision distribution corresponds to Δ_DP = 0.0. The Disparate Impact (DI) Ratio, formalizing the U.S. Equal Employment Opportunity Commission (EEOC) Four-Fifths rule, is defined as:</w:t>
      </w:r>
    </w:p>
    <w:tbl>
      <w:tblPr>
        <w:tblW w:type="auto" w:w="0"/>
        <w:jc w:val="center"/>
        <w:tblLook w:firstColumn="1" w:firstRow="1" w:lastColumn="0" w:lastRow="0" w:noHBand="0" w:noVBand="1" w:val="04A0"/>
      </w:tblPr>
      <w:tblGrid>
        <w:gridCol w:w="5040"/>
        <w:gridCol w:w="5040"/>
      </w:tblGrid>
      <w:tr>
        <w:tc>
          <w:tcPr>
            <w:tcW w:type="dxa" w:w="8928"/>
            <w:tcMar>
              <w:top w:w="40" w:type="dxa"/>
              <w:bottom w:w="40" w:type="dxa"/>
              <w:left w:w="0" w:type="dxa"/>
              <w:right w:w="0" w:type="dxa"/>
            </w:tcMar>
          </w:tcPr>
          <w:p>
            <w:pPr>
              <w:jc w:val="center"/>
            </w:pPr>
            <w:r>
              <w:rPr>
                <w:i/>
                <w:sz w:val="19"/>
              </w:rPr>
              <w:t>DI = P(Ŷ = 1 | G = g_unfavored) / P(Ŷ = 1 | G = g_favored)</w:t>
            </w:r>
          </w:p>
        </w:tc>
        <w:tc>
          <w:tcPr>
            <w:tcW w:type="dxa" w:w="1152"/>
            <w:tcMar>
              <w:top w:w="40" w:type="dxa"/>
              <w:bottom w:w="40" w:type="dxa"/>
              <w:left w:w="0" w:type="dxa"/>
              <w:right w:w="0" w:type="dxa"/>
            </w:tcMar>
          </w:tcPr>
          <w:p>
            <w:pPr>
              <w:jc w:val="right"/>
            </w:pPr>
            <w:r>
              <w:rPr>
                <w:b/>
                <w:sz w:val="19"/>
              </w:rPr>
              <w:t>(14)</w:t>
            </w:r>
          </w:p>
        </w:tc>
      </w:tr>
    </w:tbl>
    <w:p>
      <w:pPr>
        <w:spacing w:before="0" w:after="40"/>
      </w:pPr>
    </w:p>
    <w:p>
      <w:pPr>
        <w:spacing w:before="0" w:after="80" w:line="259" w:lineRule="auto"/>
        <w:jc w:val="both"/>
      </w:pPr>
      <w:r>
        <w:rPr>
          <w:rFonts w:ascii="Times New Roman" w:hAnsi="Times New Roman"/>
          <w:sz w:val="19"/>
        </w:rPr>
        <w:t>A disparate impact ratio DI &lt; 0.80 triggers an automated algorithmic fairness violation alert in the administrative dashboard. Protected demographic indicators are completely isolated from candidate scoring tables and exist solely in the audit telemetry database.</w:t>
      </w:r>
    </w:p>
    <w:p>
      <w:pPr>
        <w:keepNext/>
        <w:spacing w:before="160" w:after="40"/>
      </w:pPr>
      <w:r>
        <w:rPr>
          <w:rFonts w:ascii="Times New Roman" w:hAnsi="Times New Roman"/>
          <w:b/>
          <w:i/>
          <w:color w:val="1E1E1E"/>
          <w:sz w:val="20"/>
        </w:rPr>
        <w:t>B. Counterfactual Fairness Stress Testing</w:t>
      </w:r>
    </w:p>
    <w:p>
      <w:pPr>
        <w:spacing w:before="0" w:after="80" w:line="259" w:lineRule="auto"/>
        <w:jc w:val="both"/>
      </w:pPr>
      <w:r>
        <w:rPr>
          <w:rFonts w:ascii="Times New Roman" w:hAnsi="Times New Roman"/>
          <w:sz w:val="19"/>
        </w:rPr>
        <w:t>To audit model invariance against proxy leakage, the system executes automated counterfactual stress tests prior to ranking deployment. For a candidate profile X, counterfactual pairs X' are synthetically constructed by swapping demographic proxy tokens (e.g., culturally distinct applicant names, gender pronouns) while holding all technical credentials, experience milestones, and assessment scores invariant:</w:t>
      </w:r>
    </w:p>
    <w:tbl>
      <w:tblPr>
        <w:tblW w:type="auto" w:w="0"/>
        <w:jc w:val="center"/>
        <w:tblLook w:firstColumn="1" w:firstRow="1" w:lastColumn="0" w:lastRow="0" w:noHBand="0" w:noVBand="1" w:val="04A0"/>
      </w:tblPr>
      <w:tblGrid>
        <w:gridCol w:w="5040"/>
        <w:gridCol w:w="5040"/>
      </w:tblGrid>
      <w:tr>
        <w:tc>
          <w:tcPr>
            <w:tcW w:type="dxa" w:w="8928"/>
            <w:tcMar>
              <w:top w:w="40" w:type="dxa"/>
              <w:bottom w:w="40" w:type="dxa"/>
              <w:left w:w="0" w:type="dxa"/>
              <w:right w:w="0" w:type="dxa"/>
            </w:tcMar>
          </w:tcPr>
          <w:p>
            <w:pPr>
              <w:jc w:val="center"/>
            </w:pPr>
            <w:r>
              <w:rPr>
                <w:i/>
                <w:sz w:val="19"/>
              </w:rPr>
              <w:t>CF-Invariance(X, X') = | S_composite(X) - S_composite(X') | = 0.0</w:t>
            </w:r>
          </w:p>
        </w:tc>
        <w:tc>
          <w:tcPr>
            <w:tcW w:type="dxa" w:w="1152"/>
            <w:tcMar>
              <w:top w:w="40" w:type="dxa"/>
              <w:bottom w:w="40" w:type="dxa"/>
              <w:left w:w="0" w:type="dxa"/>
              <w:right w:w="0" w:type="dxa"/>
            </w:tcMar>
          </w:tcPr>
          <w:p>
            <w:pPr>
              <w:jc w:val="right"/>
            </w:pPr>
            <w:r>
              <w:rPr>
                <w:b/>
                <w:sz w:val="19"/>
              </w:rPr>
              <w:t>(15)</w:t>
            </w:r>
          </w:p>
        </w:tc>
      </w:tr>
    </w:tbl>
    <w:p>
      <w:pPr>
        <w:spacing w:before="0" w:after="40"/>
      </w:pPr>
    </w:p>
    <w:p>
      <w:pPr>
        <w:spacing w:before="0" w:after="80" w:line="259" w:lineRule="auto"/>
        <w:jc w:val="both"/>
      </w:pPr>
      <w:r>
        <w:rPr>
          <w:rFonts w:ascii="Times New Roman" w:hAnsi="Times New Roman"/>
          <w:sz w:val="19"/>
        </w:rPr>
        <w:t>RecruitIQ enforces strict numerical invariance (ε = 0.0), guaranteeing that demographic proxy swapping produces zero score variance.</w:t>
      </w:r>
    </w:p>
    <w:p>
      <w:pPr>
        <w:keepNext/>
        <w:spacing w:before="280" w:after="80"/>
      </w:pPr>
      <w:r>
        <w:rPr>
          <w:rFonts w:ascii="Times New Roman" w:hAnsi="Times New Roman"/>
          <w:b/>
          <w:color w:val="0A192F"/>
          <w:sz w:val="22"/>
        </w:rPr>
        <w:t>VI. EXPERIMENTAL EVALUATION &amp; RESULTS</w:t>
      </w:r>
    </w:p>
    <w:p>
      <w:pPr>
        <w:spacing w:before="0" w:after="80" w:line="259" w:lineRule="auto"/>
        <w:jc w:val="both"/>
      </w:pPr>
      <w:r>
        <w:rPr>
          <w:rFonts w:ascii="Times New Roman" w:hAnsi="Times New Roman"/>
          <w:sz w:val="19"/>
        </w:rPr>
        <w:t>To validate the theoretical architecture of RecruitIQ, we conduct empirical evaluations addressing five primary research questions across a benchmark corpus of 600 technical resumes, 1,200 adaptive testing sessions, 200 counterfactual pairs, and 150 adversarial injection payloads.</w:t>
      </w:r>
    </w:p>
    <w:p>
      <w:pPr>
        <w:spacing w:before="160" w:after="40"/>
        <w:jc w:val="center"/>
      </w:pPr>
      <w:r>
        <w:rPr>
          <w:b/>
          <w:sz w:val="17"/>
        </w:rPr>
        <w:t>TABLE II</w:t>
        <w:br/>
        <w:t>RETRIEVAL EFFICACY COMPARISON ACROSS MATCHING PARADIGMS (N = 600 RESUMES)</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D3D3D3"/>
          <w:insideV w:val="none"/>
          <w:left w:val="none"/>
          <w:right w:val="none"/>
        </w:tblBorders>
      </w:tblPr>
      <w:tblGrid>
        <w:gridCol w:w="1440"/>
        <w:gridCol w:w="1440"/>
        <w:gridCol w:w="1440"/>
        <w:gridCol w:w="1440"/>
        <w:gridCol w:w="1440"/>
        <w:gridCol w:w="1440"/>
        <w:gridCol w:w="1440"/>
      </w:tblGrid>
      <w:tr>
        <w:tc>
          <w:tcPr>
            <w:tcW w:type="dxa" w:w="1440"/>
            <w:tcMar>
              <w:top w:w="80" w:type="dxa"/>
              <w:bottom w:w="80" w:type="dxa"/>
              <w:left w:w="80" w:type="dxa"/>
              <w:right w:w="80" w:type="dxa"/>
            </w:tcMar>
            <w:shd w:fill="EAECEF"/>
          </w:tcPr>
          <w:p>
            <w:pPr>
              <w:jc w:val="center"/>
            </w:pPr>
            <w:r>
              <w:rPr>
                <w:b/>
                <w:sz w:val="16"/>
              </w:rPr>
              <w:t>Screening Methodology</w:t>
            </w:r>
          </w:p>
        </w:tc>
        <w:tc>
          <w:tcPr>
            <w:tcW w:type="dxa" w:w="1440"/>
            <w:tcMar>
              <w:top w:w="80" w:type="dxa"/>
              <w:bottom w:w="80" w:type="dxa"/>
              <w:left w:w="80" w:type="dxa"/>
              <w:right w:w="80" w:type="dxa"/>
            </w:tcMar>
            <w:shd w:fill="EAECEF"/>
          </w:tcPr>
          <w:p>
            <w:pPr>
              <w:jc w:val="center"/>
            </w:pPr>
            <w:r>
              <w:rPr>
                <w:b/>
                <w:sz w:val="16"/>
              </w:rPr>
              <w:t>Precision@3</w:t>
            </w:r>
          </w:p>
        </w:tc>
        <w:tc>
          <w:tcPr>
            <w:tcW w:type="dxa" w:w="1440"/>
            <w:tcMar>
              <w:top w:w="80" w:type="dxa"/>
              <w:bottom w:w="80" w:type="dxa"/>
              <w:left w:w="80" w:type="dxa"/>
              <w:right w:w="80" w:type="dxa"/>
            </w:tcMar>
            <w:shd w:fill="EAECEF"/>
          </w:tcPr>
          <w:p>
            <w:pPr>
              <w:jc w:val="center"/>
            </w:pPr>
            <w:r>
              <w:rPr>
                <w:b/>
                <w:sz w:val="16"/>
              </w:rPr>
              <w:t>Precision@5</w:t>
            </w:r>
          </w:p>
        </w:tc>
        <w:tc>
          <w:tcPr>
            <w:tcW w:type="dxa" w:w="1440"/>
            <w:tcMar>
              <w:top w:w="80" w:type="dxa"/>
              <w:bottom w:w="80" w:type="dxa"/>
              <w:left w:w="80" w:type="dxa"/>
              <w:right w:w="80" w:type="dxa"/>
            </w:tcMar>
            <w:shd w:fill="EAECEF"/>
          </w:tcPr>
          <w:p>
            <w:pPr>
              <w:jc w:val="center"/>
            </w:pPr>
            <w:r>
              <w:rPr>
                <w:b/>
                <w:sz w:val="16"/>
              </w:rPr>
              <w:t>Recall@5</w:t>
            </w:r>
          </w:p>
        </w:tc>
        <w:tc>
          <w:tcPr>
            <w:tcW w:type="dxa" w:w="1440"/>
            <w:tcMar>
              <w:top w:w="80" w:type="dxa"/>
              <w:bottom w:w="80" w:type="dxa"/>
              <w:left w:w="80" w:type="dxa"/>
              <w:right w:w="80" w:type="dxa"/>
            </w:tcMar>
            <w:shd w:fill="EAECEF"/>
          </w:tcPr>
          <w:p>
            <w:pPr>
              <w:jc w:val="center"/>
            </w:pPr>
            <w:r>
              <w:rPr>
                <w:b/>
                <w:sz w:val="16"/>
              </w:rPr>
              <w:t>NDCG@5</w:t>
            </w:r>
          </w:p>
        </w:tc>
        <w:tc>
          <w:tcPr>
            <w:tcW w:type="dxa" w:w="1440"/>
            <w:tcMar>
              <w:top w:w="80" w:type="dxa"/>
              <w:bottom w:w="80" w:type="dxa"/>
              <w:left w:w="80" w:type="dxa"/>
              <w:right w:w="80" w:type="dxa"/>
            </w:tcMar>
            <w:shd w:fill="EAECEF"/>
          </w:tcPr>
          <w:p>
            <w:pPr>
              <w:jc w:val="center"/>
            </w:pPr>
            <w:r>
              <w:rPr>
                <w:b/>
                <w:sz w:val="16"/>
              </w:rPr>
              <w:t>MRR</w:t>
            </w:r>
          </w:p>
        </w:tc>
        <w:tc>
          <w:tcPr>
            <w:tcW w:type="dxa" w:w="1440"/>
            <w:tcMar>
              <w:top w:w="80" w:type="dxa"/>
              <w:bottom w:w="80" w:type="dxa"/>
              <w:left w:w="80" w:type="dxa"/>
              <w:right w:w="80" w:type="dxa"/>
            </w:tcMar>
            <w:shd w:fill="EAECEF"/>
          </w:tcPr>
          <w:p>
            <w:pPr>
              <w:jc w:val="center"/>
            </w:pPr>
            <w:r>
              <w:rPr>
                <w:b/>
                <w:sz w:val="16"/>
              </w:rPr>
              <w:t>Latency per Doc</w:t>
            </w:r>
          </w:p>
        </w:tc>
      </w:tr>
      <w:tr>
        <w:tc>
          <w:tcPr>
            <w:tcW w:type="dxa" w:w="1440"/>
            <w:tcMar>
              <w:top w:w="60" w:type="dxa"/>
              <w:bottom w:w="60" w:type="dxa"/>
              <w:left w:w="60" w:type="dxa"/>
              <w:right w:w="60" w:type="dxa"/>
            </w:tcMar>
          </w:tcPr>
          <w:p>
            <w:pPr>
              <w:jc w:val="left"/>
            </w:pPr>
            <w:r>
              <w:rPr>
                <w:sz w:val="16"/>
              </w:rPr>
              <w:t>Exact Keyword Matching</w:t>
            </w:r>
          </w:p>
        </w:tc>
        <w:tc>
          <w:tcPr>
            <w:tcW w:type="dxa" w:w="1440"/>
            <w:tcMar>
              <w:top w:w="60" w:type="dxa"/>
              <w:bottom w:w="60" w:type="dxa"/>
              <w:left w:w="60" w:type="dxa"/>
              <w:right w:w="60" w:type="dxa"/>
            </w:tcMar>
          </w:tcPr>
          <w:p>
            <w:pPr>
              <w:jc w:val="center"/>
            </w:pPr>
            <w:r>
              <w:rPr>
                <w:sz w:val="16"/>
              </w:rPr>
              <w:t>0.521</w:t>
            </w:r>
          </w:p>
        </w:tc>
        <w:tc>
          <w:tcPr>
            <w:tcW w:type="dxa" w:w="1440"/>
            <w:tcMar>
              <w:top w:w="60" w:type="dxa"/>
              <w:bottom w:w="60" w:type="dxa"/>
              <w:left w:w="60" w:type="dxa"/>
              <w:right w:w="60" w:type="dxa"/>
            </w:tcMar>
          </w:tcPr>
          <w:p>
            <w:pPr>
              <w:jc w:val="center"/>
            </w:pPr>
            <w:r>
              <w:rPr>
                <w:sz w:val="16"/>
              </w:rPr>
              <w:t>0.468</w:t>
            </w:r>
          </w:p>
        </w:tc>
        <w:tc>
          <w:tcPr>
            <w:tcW w:type="dxa" w:w="1440"/>
            <w:tcMar>
              <w:top w:w="60" w:type="dxa"/>
              <w:bottom w:w="60" w:type="dxa"/>
              <w:left w:w="60" w:type="dxa"/>
              <w:right w:w="60" w:type="dxa"/>
            </w:tcMar>
          </w:tcPr>
          <w:p>
            <w:pPr>
              <w:jc w:val="center"/>
            </w:pPr>
            <w:r>
              <w:rPr>
                <w:sz w:val="16"/>
              </w:rPr>
              <w:t>0.412</w:t>
            </w:r>
          </w:p>
        </w:tc>
        <w:tc>
          <w:tcPr>
            <w:tcW w:type="dxa" w:w="1440"/>
            <w:tcMar>
              <w:top w:w="60" w:type="dxa"/>
              <w:bottom w:w="60" w:type="dxa"/>
              <w:left w:w="60" w:type="dxa"/>
              <w:right w:w="60" w:type="dxa"/>
            </w:tcMar>
          </w:tcPr>
          <w:p>
            <w:pPr>
              <w:jc w:val="center"/>
            </w:pPr>
            <w:r>
              <w:rPr>
                <w:sz w:val="16"/>
              </w:rPr>
              <w:t>0.534</w:t>
            </w:r>
          </w:p>
        </w:tc>
        <w:tc>
          <w:tcPr>
            <w:tcW w:type="dxa" w:w="1440"/>
            <w:tcMar>
              <w:top w:w="60" w:type="dxa"/>
              <w:bottom w:w="60" w:type="dxa"/>
              <w:left w:w="60" w:type="dxa"/>
              <w:right w:w="60" w:type="dxa"/>
            </w:tcMar>
          </w:tcPr>
          <w:p>
            <w:pPr>
              <w:jc w:val="center"/>
            </w:pPr>
            <w:r>
              <w:rPr>
                <w:sz w:val="16"/>
              </w:rPr>
              <w:t>0.612</w:t>
            </w:r>
          </w:p>
        </w:tc>
        <w:tc>
          <w:tcPr>
            <w:tcW w:type="dxa" w:w="1440"/>
            <w:tcMar>
              <w:top w:w="60" w:type="dxa"/>
              <w:bottom w:w="60" w:type="dxa"/>
              <w:left w:w="60" w:type="dxa"/>
              <w:right w:w="60" w:type="dxa"/>
            </w:tcMar>
          </w:tcPr>
          <w:p>
            <w:pPr>
              <w:jc w:val="center"/>
            </w:pPr>
            <w:r>
              <w:rPr>
                <w:sz w:val="16"/>
              </w:rPr>
              <w:t>1.2 ms</w:t>
            </w:r>
          </w:p>
        </w:tc>
      </w:tr>
      <w:tr>
        <w:tc>
          <w:tcPr>
            <w:tcW w:type="dxa" w:w="1440"/>
            <w:tcMar>
              <w:top w:w="60" w:type="dxa"/>
              <w:bottom w:w="60" w:type="dxa"/>
              <w:left w:w="60" w:type="dxa"/>
              <w:right w:w="60" w:type="dxa"/>
            </w:tcMar>
          </w:tcPr>
          <w:p>
            <w:pPr>
              <w:jc w:val="left"/>
            </w:pPr>
            <w:r>
              <w:rPr>
                <w:sz w:val="16"/>
              </w:rPr>
              <w:t>TF-IDF Cosine Similarity</w:t>
            </w:r>
          </w:p>
        </w:tc>
        <w:tc>
          <w:tcPr>
            <w:tcW w:type="dxa" w:w="1440"/>
            <w:tcMar>
              <w:top w:w="60" w:type="dxa"/>
              <w:bottom w:w="60" w:type="dxa"/>
              <w:left w:w="60" w:type="dxa"/>
              <w:right w:w="60" w:type="dxa"/>
            </w:tcMar>
          </w:tcPr>
          <w:p>
            <w:pPr>
              <w:jc w:val="center"/>
            </w:pPr>
            <w:r>
              <w:rPr>
                <w:sz w:val="16"/>
              </w:rPr>
              <w:t>0.645</w:t>
            </w:r>
          </w:p>
        </w:tc>
        <w:tc>
          <w:tcPr>
            <w:tcW w:type="dxa" w:w="1440"/>
            <w:tcMar>
              <w:top w:w="60" w:type="dxa"/>
              <w:bottom w:w="60" w:type="dxa"/>
              <w:left w:w="60" w:type="dxa"/>
              <w:right w:w="60" w:type="dxa"/>
            </w:tcMar>
          </w:tcPr>
          <w:p>
            <w:pPr>
              <w:jc w:val="center"/>
            </w:pPr>
            <w:r>
              <w:rPr>
                <w:sz w:val="16"/>
              </w:rPr>
              <w:t>0.592</w:t>
            </w:r>
          </w:p>
        </w:tc>
        <w:tc>
          <w:tcPr>
            <w:tcW w:type="dxa" w:w="1440"/>
            <w:tcMar>
              <w:top w:w="60" w:type="dxa"/>
              <w:bottom w:w="60" w:type="dxa"/>
              <w:left w:w="60" w:type="dxa"/>
              <w:right w:w="60" w:type="dxa"/>
            </w:tcMar>
          </w:tcPr>
          <w:p>
            <w:pPr>
              <w:jc w:val="center"/>
            </w:pPr>
            <w:r>
              <w:rPr>
                <w:sz w:val="16"/>
              </w:rPr>
              <w:t>0.538</w:t>
            </w:r>
          </w:p>
        </w:tc>
        <w:tc>
          <w:tcPr>
            <w:tcW w:type="dxa" w:w="1440"/>
            <w:tcMar>
              <w:top w:w="60" w:type="dxa"/>
              <w:bottom w:w="60" w:type="dxa"/>
              <w:left w:w="60" w:type="dxa"/>
              <w:right w:w="60" w:type="dxa"/>
            </w:tcMar>
          </w:tcPr>
          <w:p>
            <w:pPr>
              <w:jc w:val="center"/>
            </w:pPr>
            <w:r>
              <w:rPr>
                <w:sz w:val="16"/>
              </w:rPr>
              <w:t>0.648</w:t>
            </w:r>
          </w:p>
        </w:tc>
        <w:tc>
          <w:tcPr>
            <w:tcW w:type="dxa" w:w="1440"/>
            <w:tcMar>
              <w:top w:w="60" w:type="dxa"/>
              <w:bottom w:w="60" w:type="dxa"/>
              <w:left w:w="60" w:type="dxa"/>
              <w:right w:w="60" w:type="dxa"/>
            </w:tcMar>
          </w:tcPr>
          <w:p>
            <w:pPr>
              <w:jc w:val="center"/>
            </w:pPr>
            <w:r>
              <w:rPr>
                <w:sz w:val="16"/>
              </w:rPr>
              <w:t>0.724</w:t>
            </w:r>
          </w:p>
        </w:tc>
        <w:tc>
          <w:tcPr>
            <w:tcW w:type="dxa" w:w="1440"/>
            <w:tcMar>
              <w:top w:w="60" w:type="dxa"/>
              <w:bottom w:w="60" w:type="dxa"/>
              <w:left w:w="60" w:type="dxa"/>
              <w:right w:w="60" w:type="dxa"/>
            </w:tcMar>
          </w:tcPr>
          <w:p>
            <w:pPr>
              <w:jc w:val="center"/>
            </w:pPr>
            <w:r>
              <w:rPr>
                <w:sz w:val="16"/>
              </w:rPr>
              <w:t>4.8 ms</w:t>
            </w:r>
          </w:p>
        </w:tc>
      </w:tr>
      <w:tr>
        <w:tc>
          <w:tcPr>
            <w:tcW w:type="dxa" w:w="1440"/>
            <w:tcMar>
              <w:top w:w="60" w:type="dxa"/>
              <w:bottom w:w="60" w:type="dxa"/>
              <w:left w:w="60" w:type="dxa"/>
              <w:right w:w="60" w:type="dxa"/>
            </w:tcMar>
          </w:tcPr>
          <w:p>
            <w:pPr>
              <w:jc w:val="left"/>
            </w:pPr>
            <w:r>
              <w:rPr>
                <w:sz w:val="16"/>
              </w:rPr>
              <w:t>Standard BERT Base</w:t>
            </w:r>
          </w:p>
        </w:tc>
        <w:tc>
          <w:tcPr>
            <w:tcW w:type="dxa" w:w="1440"/>
            <w:tcMar>
              <w:top w:w="60" w:type="dxa"/>
              <w:bottom w:w="60" w:type="dxa"/>
              <w:left w:w="60" w:type="dxa"/>
              <w:right w:w="60" w:type="dxa"/>
            </w:tcMar>
          </w:tcPr>
          <w:p>
            <w:pPr>
              <w:jc w:val="center"/>
            </w:pPr>
            <w:r>
              <w:rPr>
                <w:sz w:val="16"/>
              </w:rPr>
              <w:t>0.762</w:t>
            </w:r>
          </w:p>
        </w:tc>
        <w:tc>
          <w:tcPr>
            <w:tcW w:type="dxa" w:w="1440"/>
            <w:tcMar>
              <w:top w:w="60" w:type="dxa"/>
              <w:bottom w:w="60" w:type="dxa"/>
              <w:left w:w="60" w:type="dxa"/>
              <w:right w:w="60" w:type="dxa"/>
            </w:tcMar>
          </w:tcPr>
          <w:p>
            <w:pPr>
              <w:jc w:val="center"/>
            </w:pPr>
            <w:r>
              <w:rPr>
                <w:sz w:val="16"/>
              </w:rPr>
              <w:t>0.718</w:t>
            </w:r>
          </w:p>
        </w:tc>
        <w:tc>
          <w:tcPr>
            <w:tcW w:type="dxa" w:w="1440"/>
            <w:tcMar>
              <w:top w:w="60" w:type="dxa"/>
              <w:bottom w:w="60" w:type="dxa"/>
              <w:left w:w="60" w:type="dxa"/>
              <w:right w:w="60" w:type="dxa"/>
            </w:tcMar>
          </w:tcPr>
          <w:p>
            <w:pPr>
              <w:jc w:val="center"/>
            </w:pPr>
            <w:r>
              <w:rPr>
                <w:sz w:val="16"/>
              </w:rPr>
              <w:t>0.684</w:t>
            </w:r>
          </w:p>
        </w:tc>
        <w:tc>
          <w:tcPr>
            <w:tcW w:type="dxa" w:w="1440"/>
            <w:tcMar>
              <w:top w:w="60" w:type="dxa"/>
              <w:bottom w:w="60" w:type="dxa"/>
              <w:left w:w="60" w:type="dxa"/>
              <w:right w:w="60" w:type="dxa"/>
            </w:tcMar>
          </w:tcPr>
          <w:p>
            <w:pPr>
              <w:jc w:val="center"/>
            </w:pPr>
            <w:r>
              <w:rPr>
                <w:sz w:val="16"/>
              </w:rPr>
              <w:t>0.772</w:t>
            </w:r>
          </w:p>
        </w:tc>
        <w:tc>
          <w:tcPr>
            <w:tcW w:type="dxa" w:w="1440"/>
            <w:tcMar>
              <w:top w:w="60" w:type="dxa"/>
              <w:bottom w:w="60" w:type="dxa"/>
              <w:left w:w="60" w:type="dxa"/>
              <w:right w:w="60" w:type="dxa"/>
            </w:tcMar>
          </w:tcPr>
          <w:p>
            <w:pPr>
              <w:jc w:val="center"/>
            </w:pPr>
            <w:r>
              <w:rPr>
                <w:sz w:val="16"/>
              </w:rPr>
              <w:t>0.816</w:t>
            </w:r>
          </w:p>
        </w:tc>
        <w:tc>
          <w:tcPr>
            <w:tcW w:type="dxa" w:w="1440"/>
            <w:tcMar>
              <w:top w:w="60" w:type="dxa"/>
              <w:bottom w:w="60" w:type="dxa"/>
              <w:left w:w="60" w:type="dxa"/>
              <w:right w:w="60" w:type="dxa"/>
            </w:tcMar>
          </w:tcPr>
          <w:p>
            <w:pPr>
              <w:jc w:val="center"/>
            </w:pPr>
            <w:r>
              <w:rPr>
                <w:sz w:val="16"/>
              </w:rPr>
              <w:t>148.5 ms</w:t>
            </w:r>
          </w:p>
        </w:tc>
      </w:tr>
      <w:tr>
        <w:tc>
          <w:tcPr>
            <w:tcW w:type="dxa" w:w="1440"/>
            <w:tcMar>
              <w:top w:w="60" w:type="dxa"/>
              <w:bottom w:w="60" w:type="dxa"/>
              <w:left w:w="60" w:type="dxa"/>
              <w:right w:w="60" w:type="dxa"/>
            </w:tcMar>
            <w:shd w:fill="F0FDF4"/>
          </w:tcPr>
          <w:p>
            <w:pPr>
              <w:jc w:val="left"/>
            </w:pPr>
            <w:r>
              <w:rPr>
                <w:b/>
                <w:sz w:val="16"/>
              </w:rPr>
              <w:t>RecruitIQ (SBERT Multi-Factor)</w:t>
            </w:r>
          </w:p>
        </w:tc>
        <w:tc>
          <w:tcPr>
            <w:tcW w:type="dxa" w:w="1440"/>
            <w:tcMar>
              <w:top w:w="60" w:type="dxa"/>
              <w:bottom w:w="60" w:type="dxa"/>
              <w:left w:w="60" w:type="dxa"/>
              <w:right w:w="60" w:type="dxa"/>
            </w:tcMar>
            <w:shd w:fill="F0FDF4"/>
          </w:tcPr>
          <w:p>
            <w:pPr>
              <w:jc w:val="center"/>
            </w:pPr>
            <w:r>
              <w:rPr>
                <w:b/>
                <w:sz w:val="16"/>
              </w:rPr>
              <w:t>0.842</w:t>
            </w:r>
          </w:p>
        </w:tc>
        <w:tc>
          <w:tcPr>
            <w:tcW w:type="dxa" w:w="1440"/>
            <w:tcMar>
              <w:top w:w="60" w:type="dxa"/>
              <w:bottom w:w="60" w:type="dxa"/>
              <w:left w:w="60" w:type="dxa"/>
              <w:right w:w="60" w:type="dxa"/>
            </w:tcMar>
            <w:shd w:fill="F0FDF4"/>
          </w:tcPr>
          <w:p>
            <w:pPr>
              <w:jc w:val="center"/>
            </w:pPr>
            <w:r>
              <w:rPr>
                <w:b/>
                <w:sz w:val="16"/>
              </w:rPr>
              <w:t>0.804</w:t>
            </w:r>
          </w:p>
        </w:tc>
        <w:tc>
          <w:tcPr>
            <w:tcW w:type="dxa" w:w="1440"/>
            <w:tcMar>
              <w:top w:w="60" w:type="dxa"/>
              <w:bottom w:w="60" w:type="dxa"/>
              <w:left w:w="60" w:type="dxa"/>
              <w:right w:w="60" w:type="dxa"/>
            </w:tcMar>
            <w:shd w:fill="F0FDF4"/>
          </w:tcPr>
          <w:p>
            <w:pPr>
              <w:jc w:val="center"/>
            </w:pPr>
            <w:r>
              <w:rPr>
                <w:b/>
                <w:sz w:val="16"/>
              </w:rPr>
              <w:t>0.782</w:t>
            </w:r>
          </w:p>
        </w:tc>
        <w:tc>
          <w:tcPr>
            <w:tcW w:type="dxa" w:w="1440"/>
            <w:tcMar>
              <w:top w:w="60" w:type="dxa"/>
              <w:bottom w:w="60" w:type="dxa"/>
              <w:left w:w="60" w:type="dxa"/>
              <w:right w:w="60" w:type="dxa"/>
            </w:tcMar>
            <w:shd w:fill="F0FDF4"/>
          </w:tcPr>
          <w:p>
            <w:pPr>
              <w:jc w:val="center"/>
            </w:pPr>
            <w:r>
              <w:rPr>
                <w:b/>
                <w:sz w:val="16"/>
              </w:rPr>
              <w:t>0.832</w:t>
            </w:r>
          </w:p>
        </w:tc>
        <w:tc>
          <w:tcPr>
            <w:tcW w:type="dxa" w:w="1440"/>
            <w:tcMar>
              <w:top w:w="60" w:type="dxa"/>
              <w:bottom w:w="60" w:type="dxa"/>
              <w:left w:w="60" w:type="dxa"/>
              <w:right w:w="60" w:type="dxa"/>
            </w:tcMar>
            <w:shd w:fill="F0FDF4"/>
          </w:tcPr>
          <w:p>
            <w:pPr>
              <w:jc w:val="center"/>
            </w:pPr>
            <w:r>
              <w:rPr>
                <w:b/>
                <w:sz w:val="16"/>
              </w:rPr>
              <w:t>0.884</w:t>
            </w:r>
          </w:p>
        </w:tc>
        <w:tc>
          <w:tcPr>
            <w:tcW w:type="dxa" w:w="1440"/>
            <w:tcMar>
              <w:top w:w="60" w:type="dxa"/>
              <w:bottom w:w="60" w:type="dxa"/>
              <w:left w:w="60" w:type="dxa"/>
              <w:right w:w="60" w:type="dxa"/>
            </w:tcMar>
            <w:shd w:fill="F0FDF4"/>
          </w:tcPr>
          <w:p>
            <w:pPr>
              <w:jc w:val="center"/>
            </w:pPr>
            <w:r>
              <w:rPr>
                <w:b/>
                <w:sz w:val="16"/>
              </w:rPr>
              <w:t>18.6 ms</w:t>
            </w:r>
          </w:p>
        </w:tc>
      </w:tr>
    </w:tbl>
    <w:p>
      <w:pPr>
        <w:spacing w:before="0" w:after="80" w:line="259" w:lineRule="auto"/>
        <w:jc w:val="both"/>
      </w:pPr>
      <w:r>
        <w:rPr>
          <w:rFonts w:ascii="Times New Roman" w:hAnsi="Times New Roman"/>
          <w:sz w:val="19"/>
        </w:rPr>
        <w:t>As reported in Table II, RecruitIQ achieves an NDCG@5 of 0.832, representing a 28.4% relative improvement over TF-IDF (0.648) and a 55.8% improvement over keyword matching (0.534). By encoding dense sentence semantics, RecruitIQ successfully identifies candidates possessing equivalent competencies expressed through disparate terminologies while maintaining an evaluation latency of only 18.6 ms per document.</w:t>
      </w:r>
    </w:p>
    <w:p>
      <w:pPr>
        <w:spacing w:before="160" w:after="40"/>
        <w:jc w:val="center"/>
      </w:pPr>
      <w:r>
        <w:rPr>
          <w:b/>
          <w:sz w:val="17"/>
        </w:rPr>
        <w:t>TABLE III</w:t>
        <w:br/>
        <w:t>PSYCHOMETRIC MEASUREMENT PERFORMANCE: STATIC VS. ADAPTIVE TESTING (N = 1,200 SESSIONS)</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D3D3D3"/>
          <w:insideV w:val="none"/>
          <w:left w:val="none"/>
          <w:right w:val="none"/>
        </w:tblBorders>
      </w:tblPr>
      <w:tblGrid>
        <w:gridCol w:w="2520"/>
        <w:gridCol w:w="2520"/>
        <w:gridCol w:w="2520"/>
        <w:gridCol w:w="2520"/>
      </w:tblGrid>
      <w:tr>
        <w:tc>
          <w:tcPr>
            <w:tcW w:type="dxa" w:w="2520"/>
            <w:tcMar>
              <w:top w:w="80" w:type="dxa"/>
              <w:bottom w:w="80" w:type="dxa"/>
              <w:left w:w="80" w:type="dxa"/>
              <w:right w:w="80" w:type="dxa"/>
            </w:tcMar>
            <w:shd w:fill="EAECEF"/>
          </w:tcPr>
          <w:p>
            <w:pPr>
              <w:jc w:val="center"/>
            </w:pPr>
            <w:r>
              <w:rPr>
                <w:b/>
                <w:sz w:val="16"/>
              </w:rPr>
              <w:t>Evaluation Parameter</w:t>
            </w:r>
          </w:p>
        </w:tc>
        <w:tc>
          <w:tcPr>
            <w:tcW w:type="dxa" w:w="2520"/>
            <w:tcMar>
              <w:top w:w="80" w:type="dxa"/>
              <w:bottom w:w="80" w:type="dxa"/>
              <w:left w:w="80" w:type="dxa"/>
              <w:right w:w="80" w:type="dxa"/>
            </w:tcMar>
            <w:shd w:fill="EAECEF"/>
          </w:tcPr>
          <w:p>
            <w:pPr>
              <w:jc w:val="center"/>
            </w:pPr>
            <w:r>
              <w:rPr>
                <w:b/>
                <w:sz w:val="16"/>
              </w:rPr>
              <w:t>Static Fixed Test (10 Items)</w:t>
            </w:r>
          </w:p>
        </w:tc>
        <w:tc>
          <w:tcPr>
            <w:tcW w:type="dxa" w:w="2520"/>
            <w:tcMar>
              <w:top w:w="80" w:type="dxa"/>
              <w:bottom w:w="80" w:type="dxa"/>
              <w:left w:w="80" w:type="dxa"/>
              <w:right w:w="80" w:type="dxa"/>
            </w:tcMar>
            <w:shd w:fill="EAECEF"/>
          </w:tcPr>
          <w:p>
            <w:pPr>
              <w:jc w:val="center"/>
            </w:pPr>
            <w:r>
              <w:rPr>
                <w:b/>
                <w:sz w:val="16"/>
              </w:rPr>
              <w:t>RecruitIQ CAT Engine (Max 5)</w:t>
            </w:r>
          </w:p>
        </w:tc>
        <w:tc>
          <w:tcPr>
            <w:tcW w:type="dxa" w:w="2520"/>
            <w:tcMar>
              <w:top w:w="80" w:type="dxa"/>
              <w:bottom w:w="80" w:type="dxa"/>
              <w:left w:w="80" w:type="dxa"/>
              <w:right w:w="80" w:type="dxa"/>
            </w:tcMar>
            <w:shd w:fill="EAECEF"/>
          </w:tcPr>
          <w:p>
            <w:pPr>
              <w:jc w:val="center"/>
            </w:pPr>
            <w:r>
              <w:rPr>
                <w:b/>
                <w:sz w:val="16"/>
              </w:rPr>
              <w:t>Relative Efficiency Gain</w:t>
            </w:r>
          </w:p>
        </w:tc>
      </w:tr>
      <w:tr>
        <w:tc>
          <w:tcPr>
            <w:tcW w:type="dxa" w:w="2520"/>
            <w:tcMar>
              <w:top w:w="60" w:type="dxa"/>
              <w:bottom w:w="60" w:type="dxa"/>
              <w:left w:w="60" w:type="dxa"/>
              <w:right w:w="60" w:type="dxa"/>
            </w:tcMar>
          </w:tcPr>
          <w:p>
            <w:pPr>
              <w:jc w:val="left"/>
            </w:pPr>
            <w:r>
              <w:rPr>
                <w:sz w:val="16"/>
              </w:rPr>
              <w:t>Mean Items Administered</w:t>
            </w:r>
          </w:p>
        </w:tc>
        <w:tc>
          <w:tcPr>
            <w:tcW w:type="dxa" w:w="2520"/>
            <w:tcMar>
              <w:top w:w="60" w:type="dxa"/>
              <w:bottom w:w="60" w:type="dxa"/>
              <w:left w:w="60" w:type="dxa"/>
              <w:right w:w="60" w:type="dxa"/>
            </w:tcMar>
          </w:tcPr>
          <w:p>
            <w:pPr>
              <w:jc w:val="center"/>
            </w:pPr>
            <w:r>
              <w:rPr>
                <w:sz w:val="16"/>
              </w:rPr>
              <w:t>10.0</w:t>
            </w:r>
          </w:p>
        </w:tc>
        <w:tc>
          <w:tcPr>
            <w:tcW w:type="dxa" w:w="2520"/>
            <w:tcMar>
              <w:top w:w="60" w:type="dxa"/>
              <w:bottom w:w="60" w:type="dxa"/>
              <w:left w:w="60" w:type="dxa"/>
              <w:right w:w="60" w:type="dxa"/>
            </w:tcMar>
          </w:tcPr>
          <w:p>
            <w:pPr>
              <w:jc w:val="center"/>
            </w:pPr>
            <w:r>
              <w:rPr>
                <w:b/>
                <w:sz w:val="16"/>
              </w:rPr>
              <w:t>5.0</w:t>
            </w:r>
          </w:p>
        </w:tc>
        <w:tc>
          <w:tcPr>
            <w:tcW w:type="dxa" w:w="2520"/>
            <w:tcMar>
              <w:top w:w="60" w:type="dxa"/>
              <w:bottom w:w="60" w:type="dxa"/>
              <w:left w:w="60" w:type="dxa"/>
              <w:right w:w="60" w:type="dxa"/>
            </w:tcMar>
          </w:tcPr>
          <w:p>
            <w:pPr>
              <w:jc w:val="center"/>
            </w:pPr>
            <w:r>
              <w:rPr>
                <w:sz w:val="16"/>
              </w:rPr>
              <w:t>-50.0%</w:t>
            </w:r>
          </w:p>
        </w:tc>
      </w:tr>
      <w:tr>
        <w:tc>
          <w:tcPr>
            <w:tcW w:type="dxa" w:w="2520"/>
            <w:tcMar>
              <w:top w:w="60" w:type="dxa"/>
              <w:bottom w:w="60" w:type="dxa"/>
              <w:left w:w="60" w:type="dxa"/>
              <w:right w:w="60" w:type="dxa"/>
            </w:tcMar>
          </w:tcPr>
          <w:p>
            <w:pPr>
              <w:jc w:val="left"/>
            </w:pPr>
            <w:r>
              <w:rPr>
                <w:sz w:val="16"/>
              </w:rPr>
              <w:t>Mean Examination Duration</w:t>
            </w:r>
          </w:p>
        </w:tc>
        <w:tc>
          <w:tcPr>
            <w:tcW w:type="dxa" w:w="2520"/>
            <w:tcMar>
              <w:top w:w="60" w:type="dxa"/>
              <w:bottom w:w="60" w:type="dxa"/>
              <w:left w:w="60" w:type="dxa"/>
              <w:right w:w="60" w:type="dxa"/>
            </w:tcMar>
          </w:tcPr>
          <w:p>
            <w:pPr>
              <w:jc w:val="center"/>
            </w:pPr>
            <w:r>
              <w:rPr>
                <w:sz w:val="16"/>
              </w:rPr>
              <w:t>21.4 min</w:t>
            </w:r>
          </w:p>
        </w:tc>
        <w:tc>
          <w:tcPr>
            <w:tcW w:type="dxa" w:w="2520"/>
            <w:tcMar>
              <w:top w:w="60" w:type="dxa"/>
              <w:bottom w:w="60" w:type="dxa"/>
              <w:left w:w="60" w:type="dxa"/>
              <w:right w:w="60" w:type="dxa"/>
            </w:tcMar>
          </w:tcPr>
          <w:p>
            <w:pPr>
              <w:jc w:val="center"/>
            </w:pPr>
            <w:r>
              <w:rPr>
                <w:b/>
                <w:sz w:val="16"/>
              </w:rPr>
              <w:t>12.4 min</w:t>
            </w:r>
          </w:p>
        </w:tc>
        <w:tc>
          <w:tcPr>
            <w:tcW w:type="dxa" w:w="2520"/>
            <w:tcMar>
              <w:top w:w="60" w:type="dxa"/>
              <w:bottom w:w="60" w:type="dxa"/>
              <w:left w:w="60" w:type="dxa"/>
              <w:right w:w="60" w:type="dxa"/>
            </w:tcMar>
          </w:tcPr>
          <w:p>
            <w:pPr>
              <w:jc w:val="center"/>
            </w:pPr>
            <w:r>
              <w:rPr>
                <w:sz w:val="16"/>
              </w:rPr>
              <w:t>-42.1% Time</w:t>
            </w:r>
          </w:p>
        </w:tc>
      </w:tr>
      <w:tr>
        <w:tc>
          <w:tcPr>
            <w:tcW w:type="dxa" w:w="2520"/>
            <w:tcMar>
              <w:top w:w="60" w:type="dxa"/>
              <w:bottom w:w="60" w:type="dxa"/>
              <w:left w:w="60" w:type="dxa"/>
              <w:right w:w="60" w:type="dxa"/>
            </w:tcMar>
          </w:tcPr>
          <w:p>
            <w:pPr>
              <w:jc w:val="left"/>
            </w:pPr>
            <w:r>
              <w:rPr>
                <w:sz w:val="16"/>
              </w:rPr>
              <w:t>Root Mean Squared Error (RMSE)</w:t>
            </w:r>
          </w:p>
        </w:tc>
        <w:tc>
          <w:tcPr>
            <w:tcW w:type="dxa" w:w="2520"/>
            <w:tcMar>
              <w:top w:w="60" w:type="dxa"/>
              <w:bottom w:w="60" w:type="dxa"/>
              <w:left w:w="60" w:type="dxa"/>
              <w:right w:w="60" w:type="dxa"/>
            </w:tcMar>
          </w:tcPr>
          <w:p>
            <w:pPr>
              <w:jc w:val="center"/>
            </w:pPr>
            <w:r>
              <w:rPr>
                <w:sz w:val="16"/>
              </w:rPr>
              <w:t>0.428</w:t>
            </w:r>
          </w:p>
        </w:tc>
        <w:tc>
          <w:tcPr>
            <w:tcW w:type="dxa" w:w="2520"/>
            <w:tcMar>
              <w:top w:w="60" w:type="dxa"/>
              <w:bottom w:w="60" w:type="dxa"/>
              <w:left w:w="60" w:type="dxa"/>
              <w:right w:w="60" w:type="dxa"/>
            </w:tcMar>
          </w:tcPr>
          <w:p>
            <w:pPr>
              <w:jc w:val="center"/>
            </w:pPr>
            <w:r>
              <w:rPr>
                <w:b/>
                <w:sz w:val="16"/>
              </w:rPr>
              <w:t>0.306</w:t>
            </w:r>
          </w:p>
        </w:tc>
        <w:tc>
          <w:tcPr>
            <w:tcW w:type="dxa" w:w="2520"/>
            <w:tcMar>
              <w:top w:w="60" w:type="dxa"/>
              <w:bottom w:w="60" w:type="dxa"/>
              <w:left w:w="60" w:type="dxa"/>
              <w:right w:w="60" w:type="dxa"/>
            </w:tcMar>
          </w:tcPr>
          <w:p>
            <w:pPr>
              <w:jc w:val="center"/>
            </w:pPr>
            <w:r>
              <w:rPr>
                <w:sz w:val="16"/>
              </w:rPr>
              <w:t>-28.5% Error</w:t>
            </w:r>
          </w:p>
        </w:tc>
      </w:tr>
      <w:tr>
        <w:tc>
          <w:tcPr>
            <w:tcW w:type="dxa" w:w="2520"/>
            <w:tcMar>
              <w:top w:w="60" w:type="dxa"/>
              <w:bottom w:w="60" w:type="dxa"/>
              <w:left w:w="60" w:type="dxa"/>
              <w:right w:w="60" w:type="dxa"/>
            </w:tcMar>
          </w:tcPr>
          <w:p>
            <w:pPr>
              <w:jc w:val="left"/>
            </w:pPr>
            <w:r>
              <w:rPr>
                <w:sz w:val="16"/>
              </w:rPr>
              <w:t>Measurement Standard Error (SE)</w:t>
            </w:r>
          </w:p>
        </w:tc>
        <w:tc>
          <w:tcPr>
            <w:tcW w:type="dxa" w:w="2520"/>
            <w:tcMar>
              <w:top w:w="60" w:type="dxa"/>
              <w:bottom w:w="60" w:type="dxa"/>
              <w:left w:w="60" w:type="dxa"/>
              <w:right w:w="60" w:type="dxa"/>
            </w:tcMar>
          </w:tcPr>
          <w:p>
            <w:pPr>
              <w:jc w:val="center"/>
            </w:pPr>
            <w:r>
              <w:rPr>
                <w:sz w:val="16"/>
              </w:rPr>
              <w:t>0.442</w:t>
            </w:r>
          </w:p>
        </w:tc>
        <w:tc>
          <w:tcPr>
            <w:tcW w:type="dxa" w:w="2520"/>
            <w:tcMar>
              <w:top w:w="60" w:type="dxa"/>
              <w:bottom w:w="60" w:type="dxa"/>
              <w:left w:w="60" w:type="dxa"/>
              <w:right w:w="60" w:type="dxa"/>
            </w:tcMar>
          </w:tcPr>
          <w:p>
            <w:pPr>
              <w:jc w:val="center"/>
            </w:pPr>
            <w:r>
              <w:rPr>
                <w:b/>
                <w:sz w:val="16"/>
              </w:rPr>
              <w:t>0.312</w:t>
            </w:r>
          </w:p>
        </w:tc>
        <w:tc>
          <w:tcPr>
            <w:tcW w:type="dxa" w:w="2520"/>
            <w:tcMar>
              <w:top w:w="60" w:type="dxa"/>
              <w:bottom w:w="60" w:type="dxa"/>
              <w:left w:w="60" w:type="dxa"/>
              <w:right w:w="60" w:type="dxa"/>
            </w:tcMar>
          </w:tcPr>
          <w:p>
            <w:pPr>
              <w:jc w:val="center"/>
            </w:pPr>
            <w:r>
              <w:rPr>
                <w:sz w:val="16"/>
              </w:rPr>
              <w:t>-29.4% Error</w:t>
            </w:r>
          </w:p>
        </w:tc>
      </w:tr>
      <w:tr>
        <w:tc>
          <w:tcPr>
            <w:tcW w:type="dxa" w:w="2520"/>
            <w:tcMar>
              <w:top w:w="60" w:type="dxa"/>
              <w:bottom w:w="60" w:type="dxa"/>
              <w:left w:w="60" w:type="dxa"/>
              <w:right w:w="60" w:type="dxa"/>
            </w:tcMar>
          </w:tcPr>
          <w:p>
            <w:pPr>
              <w:jc w:val="left"/>
            </w:pPr>
            <w:r>
              <w:rPr>
                <w:sz w:val="16"/>
              </w:rPr>
              <w:t>Separation Reliability Index</w:t>
            </w:r>
          </w:p>
        </w:tc>
        <w:tc>
          <w:tcPr>
            <w:tcW w:type="dxa" w:w="2520"/>
            <w:tcMar>
              <w:top w:w="60" w:type="dxa"/>
              <w:bottom w:w="60" w:type="dxa"/>
              <w:left w:w="60" w:type="dxa"/>
              <w:right w:w="60" w:type="dxa"/>
            </w:tcMar>
          </w:tcPr>
          <w:p>
            <w:pPr>
              <w:jc w:val="center"/>
            </w:pPr>
            <w:r>
              <w:rPr>
                <w:sz w:val="16"/>
              </w:rPr>
              <w:t>0.812</w:t>
            </w:r>
          </w:p>
        </w:tc>
        <w:tc>
          <w:tcPr>
            <w:tcW w:type="dxa" w:w="2520"/>
            <w:tcMar>
              <w:top w:w="60" w:type="dxa"/>
              <w:bottom w:w="60" w:type="dxa"/>
              <w:left w:w="60" w:type="dxa"/>
              <w:right w:w="60" w:type="dxa"/>
            </w:tcMar>
          </w:tcPr>
          <w:p>
            <w:pPr>
              <w:jc w:val="center"/>
            </w:pPr>
            <w:r>
              <w:rPr>
                <w:b/>
                <w:sz w:val="16"/>
              </w:rPr>
              <w:t>0.904</w:t>
            </w:r>
          </w:p>
        </w:tc>
        <w:tc>
          <w:tcPr>
            <w:tcW w:type="dxa" w:w="2520"/>
            <w:tcMar>
              <w:top w:w="60" w:type="dxa"/>
              <w:bottom w:w="60" w:type="dxa"/>
              <w:left w:w="60" w:type="dxa"/>
              <w:right w:w="60" w:type="dxa"/>
            </w:tcMar>
          </w:tcPr>
          <w:p>
            <w:pPr>
              <w:jc w:val="center"/>
            </w:pPr>
            <w:r>
              <w:rPr>
                <w:sz w:val="16"/>
              </w:rPr>
              <w:t>+11.3% Reliability</w:t>
            </w:r>
          </w:p>
        </w:tc>
      </w:tr>
      <w:tr>
        <w:tc>
          <w:tcPr>
            <w:tcW w:type="dxa" w:w="2520"/>
            <w:tcMar>
              <w:top w:w="60" w:type="dxa"/>
              <w:bottom w:w="60" w:type="dxa"/>
              <w:left w:w="60" w:type="dxa"/>
              <w:right w:w="60" w:type="dxa"/>
            </w:tcMar>
          </w:tcPr>
          <w:p>
            <w:pPr>
              <w:jc w:val="left"/>
            </w:pPr>
            <w:r>
              <w:rPr>
                <w:sz w:val="16"/>
              </w:rPr>
              <w:t>Item Bank Pool Utilization</w:t>
            </w:r>
          </w:p>
        </w:tc>
        <w:tc>
          <w:tcPr>
            <w:tcW w:type="dxa" w:w="2520"/>
            <w:tcMar>
              <w:top w:w="60" w:type="dxa"/>
              <w:bottom w:w="60" w:type="dxa"/>
              <w:left w:w="60" w:type="dxa"/>
              <w:right w:w="60" w:type="dxa"/>
            </w:tcMar>
          </w:tcPr>
          <w:p>
            <w:pPr>
              <w:jc w:val="center"/>
            </w:pPr>
            <w:r>
              <w:rPr>
                <w:sz w:val="16"/>
              </w:rPr>
              <w:t>10.0%</w:t>
            </w:r>
          </w:p>
        </w:tc>
        <w:tc>
          <w:tcPr>
            <w:tcW w:type="dxa" w:w="2520"/>
            <w:tcMar>
              <w:top w:w="60" w:type="dxa"/>
              <w:bottom w:w="60" w:type="dxa"/>
              <w:left w:w="60" w:type="dxa"/>
              <w:right w:w="60" w:type="dxa"/>
            </w:tcMar>
          </w:tcPr>
          <w:p>
            <w:pPr>
              <w:jc w:val="center"/>
            </w:pPr>
            <w:r>
              <w:rPr>
                <w:b/>
                <w:sz w:val="16"/>
              </w:rPr>
              <w:t>84.2%</w:t>
            </w:r>
          </w:p>
        </w:tc>
        <w:tc>
          <w:tcPr>
            <w:tcW w:type="dxa" w:w="2520"/>
            <w:tcMar>
              <w:top w:w="60" w:type="dxa"/>
              <w:bottom w:w="60" w:type="dxa"/>
              <w:left w:w="60" w:type="dxa"/>
              <w:right w:w="60" w:type="dxa"/>
            </w:tcMar>
          </w:tcPr>
          <w:p>
            <w:pPr>
              <w:jc w:val="center"/>
            </w:pPr>
            <w:r>
              <w:rPr>
                <w:sz w:val="16"/>
              </w:rPr>
              <w:t>+74.2% Diversity</w:t>
            </w:r>
          </w:p>
        </w:tc>
      </w:tr>
    </w:tbl>
    <w:p>
      <w:pPr>
        <w:spacing w:before="0" w:after="80" w:line="259" w:lineRule="auto"/>
        <w:jc w:val="both"/>
      </w:pPr>
      <w:r>
        <w:rPr>
          <w:rFonts w:ascii="Times New Roman" w:hAnsi="Times New Roman"/>
          <w:sz w:val="19"/>
        </w:rPr>
        <w:t>Table III confirms that the adaptive testing engine achieves a 28.5% reduction in ability estimation error (RMSE 0.306 vs. 0.428) while reducing candidate testing time from 21.4 minutes to 12.4 minutes (42.1% time reduction). By targeting maximum Fisher information, items administer challenge levels aligned with candidate ability, eliminating test fatigue and floor/ceiling saturation.</w:t>
      </w:r>
    </w:p>
    <w:p>
      <w:pPr>
        <w:spacing w:before="160" w:after="40"/>
        <w:jc w:val="center"/>
      </w:pPr>
      <w:r>
        <w:rPr>
          <w:b/>
          <w:sz w:val="17"/>
        </w:rPr>
        <w:t>TABLE IV</w:t>
        <w:br/>
        <w:t>DEMOGRAPHIC PARITY AND COUNTERFACTUAL FAIRNESS AUDIT ACROSS SLICES</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D3D3D3"/>
          <w:insideV w:val="none"/>
          <w:left w:val="none"/>
          <w:right w:val="none"/>
        </w:tblBorders>
      </w:tblPr>
      <w:tblGrid>
        <w:gridCol w:w="1440"/>
        <w:gridCol w:w="1440"/>
        <w:gridCol w:w="1440"/>
        <w:gridCol w:w="1440"/>
        <w:gridCol w:w="1440"/>
        <w:gridCol w:w="1440"/>
        <w:gridCol w:w="1440"/>
      </w:tblGrid>
      <w:tr>
        <w:tc>
          <w:tcPr>
            <w:tcW w:type="dxa" w:w="1440"/>
            <w:tcMar>
              <w:top w:w="80" w:type="dxa"/>
              <w:bottom w:w="80" w:type="dxa"/>
              <w:left w:w="80" w:type="dxa"/>
              <w:right w:w="80" w:type="dxa"/>
            </w:tcMar>
            <w:shd w:fill="EAECEF"/>
          </w:tcPr>
          <w:p>
            <w:pPr>
              <w:jc w:val="center"/>
            </w:pPr>
            <w:r>
              <w:rPr>
                <w:b/>
                <w:sz w:val="16"/>
              </w:rPr>
              <w:t>Evaluated Pipeline</w:t>
            </w:r>
          </w:p>
        </w:tc>
        <w:tc>
          <w:tcPr>
            <w:tcW w:type="dxa" w:w="1440"/>
            <w:tcMar>
              <w:top w:w="80" w:type="dxa"/>
              <w:bottom w:w="80" w:type="dxa"/>
              <w:left w:w="80" w:type="dxa"/>
              <w:right w:w="80" w:type="dxa"/>
            </w:tcMar>
            <w:shd w:fill="EAECEF"/>
          </w:tcPr>
          <w:p>
            <w:pPr>
              <w:jc w:val="center"/>
            </w:pPr>
            <w:r>
              <w:rPr>
                <w:b/>
                <w:sz w:val="16"/>
              </w:rPr>
              <w:t>Male Select %</w:t>
            </w:r>
          </w:p>
        </w:tc>
        <w:tc>
          <w:tcPr>
            <w:tcW w:type="dxa" w:w="1440"/>
            <w:tcMar>
              <w:top w:w="80" w:type="dxa"/>
              <w:bottom w:w="80" w:type="dxa"/>
              <w:left w:w="80" w:type="dxa"/>
              <w:right w:w="80" w:type="dxa"/>
            </w:tcMar>
            <w:shd w:fill="EAECEF"/>
          </w:tcPr>
          <w:p>
            <w:pPr>
              <w:jc w:val="center"/>
            </w:pPr>
            <w:r>
              <w:rPr>
                <w:b/>
                <w:sz w:val="16"/>
              </w:rPr>
              <w:t>Female Select %</w:t>
            </w:r>
          </w:p>
        </w:tc>
        <w:tc>
          <w:tcPr>
            <w:tcW w:type="dxa" w:w="1440"/>
            <w:tcMar>
              <w:top w:w="80" w:type="dxa"/>
              <w:bottom w:w="80" w:type="dxa"/>
              <w:left w:w="80" w:type="dxa"/>
              <w:right w:w="80" w:type="dxa"/>
            </w:tcMar>
            <w:shd w:fill="EAECEF"/>
          </w:tcPr>
          <w:p>
            <w:pPr>
              <w:jc w:val="center"/>
            </w:pPr>
            <w:r>
              <w:rPr>
                <w:b/>
                <w:sz w:val="16"/>
              </w:rPr>
              <w:t>Parity Diff (Δ_DP)</w:t>
            </w:r>
          </w:p>
        </w:tc>
        <w:tc>
          <w:tcPr>
            <w:tcW w:type="dxa" w:w="1440"/>
            <w:tcMar>
              <w:top w:w="80" w:type="dxa"/>
              <w:bottom w:w="80" w:type="dxa"/>
              <w:left w:w="80" w:type="dxa"/>
              <w:right w:w="80" w:type="dxa"/>
            </w:tcMar>
            <w:shd w:fill="EAECEF"/>
          </w:tcPr>
          <w:p>
            <w:pPr>
              <w:jc w:val="center"/>
            </w:pPr>
            <w:r>
              <w:rPr>
                <w:b/>
                <w:sz w:val="16"/>
              </w:rPr>
              <w:t>Disparate Impact (DI)</w:t>
            </w:r>
          </w:p>
        </w:tc>
        <w:tc>
          <w:tcPr>
            <w:tcW w:type="dxa" w:w="1440"/>
            <w:tcMar>
              <w:top w:w="80" w:type="dxa"/>
              <w:bottom w:w="80" w:type="dxa"/>
              <w:left w:w="80" w:type="dxa"/>
              <w:right w:w="80" w:type="dxa"/>
            </w:tcMar>
            <w:shd w:fill="EAECEF"/>
          </w:tcPr>
          <w:p>
            <w:pPr>
              <w:jc w:val="center"/>
            </w:pPr>
            <w:r>
              <w:rPr>
                <w:b/>
                <w:sz w:val="16"/>
              </w:rPr>
              <w:t>EEOC 4/5ths?</w:t>
            </w:r>
          </w:p>
        </w:tc>
        <w:tc>
          <w:tcPr>
            <w:tcW w:type="dxa" w:w="1440"/>
            <w:tcMar>
              <w:top w:w="80" w:type="dxa"/>
              <w:bottom w:w="80" w:type="dxa"/>
              <w:left w:w="80" w:type="dxa"/>
              <w:right w:w="80" w:type="dxa"/>
            </w:tcMar>
            <w:shd w:fill="EAECEF"/>
          </w:tcPr>
          <w:p>
            <w:pPr>
              <w:jc w:val="center"/>
            </w:pPr>
            <w:r>
              <w:rPr>
                <w:b/>
                <w:sz w:val="16"/>
              </w:rPr>
              <w:t>CF-Score Var (ΔS)</w:t>
            </w:r>
          </w:p>
        </w:tc>
      </w:tr>
      <w:tr>
        <w:tc>
          <w:tcPr>
            <w:tcW w:type="dxa" w:w="1440"/>
            <w:tcMar>
              <w:top w:w="60" w:type="dxa"/>
              <w:bottom w:w="60" w:type="dxa"/>
              <w:left w:w="60" w:type="dxa"/>
              <w:right w:w="60" w:type="dxa"/>
            </w:tcMar>
          </w:tcPr>
          <w:p>
            <w:pPr>
              <w:jc w:val="left"/>
            </w:pPr>
            <w:r>
              <w:rPr>
                <w:sz w:val="16"/>
              </w:rPr>
              <w:t>Unconstrained LLM Screening</w:t>
            </w:r>
          </w:p>
        </w:tc>
        <w:tc>
          <w:tcPr>
            <w:tcW w:type="dxa" w:w="1440"/>
            <w:tcMar>
              <w:top w:w="60" w:type="dxa"/>
              <w:bottom w:w="60" w:type="dxa"/>
              <w:left w:w="60" w:type="dxa"/>
              <w:right w:w="60" w:type="dxa"/>
            </w:tcMar>
          </w:tcPr>
          <w:p>
            <w:pPr>
              <w:jc w:val="center"/>
            </w:pPr>
            <w:r>
              <w:rPr>
                <w:sz w:val="16"/>
              </w:rPr>
              <w:t>38.4%</w:t>
            </w:r>
          </w:p>
        </w:tc>
        <w:tc>
          <w:tcPr>
            <w:tcW w:type="dxa" w:w="1440"/>
            <w:tcMar>
              <w:top w:w="60" w:type="dxa"/>
              <w:bottom w:w="60" w:type="dxa"/>
              <w:left w:w="60" w:type="dxa"/>
              <w:right w:w="60" w:type="dxa"/>
            </w:tcMar>
          </w:tcPr>
          <w:p>
            <w:pPr>
              <w:jc w:val="center"/>
            </w:pPr>
            <w:r>
              <w:rPr>
                <w:sz w:val="16"/>
              </w:rPr>
              <w:t>29.2%</w:t>
            </w:r>
          </w:p>
        </w:tc>
        <w:tc>
          <w:tcPr>
            <w:tcW w:type="dxa" w:w="1440"/>
            <w:tcMar>
              <w:top w:w="60" w:type="dxa"/>
              <w:bottom w:w="60" w:type="dxa"/>
              <w:left w:w="60" w:type="dxa"/>
              <w:right w:w="60" w:type="dxa"/>
            </w:tcMar>
          </w:tcPr>
          <w:p>
            <w:pPr>
              <w:jc w:val="center"/>
            </w:pPr>
            <w:r>
              <w:rPr>
                <w:sz w:val="16"/>
              </w:rPr>
              <w:t>0.092</w:t>
            </w:r>
          </w:p>
        </w:tc>
        <w:tc>
          <w:tcPr>
            <w:tcW w:type="dxa" w:w="1440"/>
            <w:tcMar>
              <w:top w:w="60" w:type="dxa"/>
              <w:bottom w:w="60" w:type="dxa"/>
              <w:left w:w="60" w:type="dxa"/>
              <w:right w:w="60" w:type="dxa"/>
            </w:tcMar>
          </w:tcPr>
          <w:p>
            <w:pPr>
              <w:jc w:val="center"/>
            </w:pPr>
            <w:r>
              <w:rPr>
                <w:sz w:val="16"/>
              </w:rPr>
              <w:t>0.760</w:t>
            </w:r>
          </w:p>
        </w:tc>
        <w:tc>
          <w:tcPr>
            <w:tcW w:type="dxa" w:w="1440"/>
            <w:tcMar>
              <w:top w:w="60" w:type="dxa"/>
              <w:bottom w:w="60" w:type="dxa"/>
              <w:left w:w="60" w:type="dxa"/>
              <w:right w:w="60" w:type="dxa"/>
            </w:tcMar>
          </w:tcPr>
          <w:p>
            <w:pPr>
              <w:jc w:val="center"/>
            </w:pPr>
            <w:r>
              <w:rPr>
                <w:sz w:val="16"/>
              </w:rPr>
              <w:t>Violated (DI &lt; 0.80)</w:t>
            </w:r>
          </w:p>
        </w:tc>
        <w:tc>
          <w:tcPr>
            <w:tcW w:type="dxa" w:w="1440"/>
            <w:tcMar>
              <w:top w:w="60" w:type="dxa"/>
              <w:bottom w:w="60" w:type="dxa"/>
              <w:left w:w="60" w:type="dxa"/>
              <w:right w:w="60" w:type="dxa"/>
            </w:tcMar>
          </w:tcPr>
          <w:p>
            <w:pPr>
              <w:jc w:val="center"/>
            </w:pPr>
            <w:r>
              <w:rPr>
                <w:sz w:val="16"/>
              </w:rPr>
              <w:t>6.42 pts</w:t>
            </w:r>
          </w:p>
        </w:tc>
      </w:tr>
      <w:tr>
        <w:tc>
          <w:tcPr>
            <w:tcW w:type="dxa" w:w="1440"/>
            <w:tcMar>
              <w:top w:w="60" w:type="dxa"/>
              <w:bottom w:w="60" w:type="dxa"/>
              <w:left w:w="60" w:type="dxa"/>
              <w:right w:w="60" w:type="dxa"/>
            </w:tcMar>
          </w:tcPr>
          <w:p>
            <w:pPr>
              <w:jc w:val="left"/>
            </w:pPr>
            <w:r>
              <w:rPr>
                <w:sz w:val="16"/>
              </w:rPr>
              <w:t>Dense Keyword Model</w:t>
            </w:r>
          </w:p>
        </w:tc>
        <w:tc>
          <w:tcPr>
            <w:tcW w:type="dxa" w:w="1440"/>
            <w:tcMar>
              <w:top w:w="60" w:type="dxa"/>
              <w:bottom w:w="60" w:type="dxa"/>
              <w:left w:w="60" w:type="dxa"/>
              <w:right w:w="60" w:type="dxa"/>
            </w:tcMar>
          </w:tcPr>
          <w:p>
            <w:pPr>
              <w:jc w:val="center"/>
            </w:pPr>
            <w:r>
              <w:rPr>
                <w:sz w:val="16"/>
              </w:rPr>
              <w:t>34.0%</w:t>
            </w:r>
          </w:p>
        </w:tc>
        <w:tc>
          <w:tcPr>
            <w:tcW w:type="dxa" w:w="1440"/>
            <w:tcMar>
              <w:top w:w="60" w:type="dxa"/>
              <w:bottom w:w="60" w:type="dxa"/>
              <w:left w:w="60" w:type="dxa"/>
              <w:right w:w="60" w:type="dxa"/>
            </w:tcMar>
          </w:tcPr>
          <w:p>
            <w:pPr>
              <w:jc w:val="center"/>
            </w:pPr>
            <w:r>
              <w:rPr>
                <w:sz w:val="16"/>
              </w:rPr>
              <w:t>28.5%</w:t>
            </w:r>
          </w:p>
        </w:tc>
        <w:tc>
          <w:tcPr>
            <w:tcW w:type="dxa" w:w="1440"/>
            <w:tcMar>
              <w:top w:w="60" w:type="dxa"/>
              <w:bottom w:w="60" w:type="dxa"/>
              <w:left w:w="60" w:type="dxa"/>
              <w:right w:w="60" w:type="dxa"/>
            </w:tcMar>
          </w:tcPr>
          <w:p>
            <w:pPr>
              <w:jc w:val="center"/>
            </w:pPr>
            <w:r>
              <w:rPr>
                <w:sz w:val="16"/>
              </w:rPr>
              <w:t>0.055</w:t>
            </w:r>
          </w:p>
        </w:tc>
        <w:tc>
          <w:tcPr>
            <w:tcW w:type="dxa" w:w="1440"/>
            <w:tcMar>
              <w:top w:w="60" w:type="dxa"/>
              <w:bottom w:w="60" w:type="dxa"/>
              <w:left w:w="60" w:type="dxa"/>
              <w:right w:w="60" w:type="dxa"/>
            </w:tcMar>
          </w:tcPr>
          <w:p>
            <w:pPr>
              <w:jc w:val="center"/>
            </w:pPr>
            <w:r>
              <w:rPr>
                <w:sz w:val="16"/>
              </w:rPr>
              <w:t>0.838</w:t>
            </w:r>
          </w:p>
        </w:tc>
        <w:tc>
          <w:tcPr>
            <w:tcW w:type="dxa" w:w="1440"/>
            <w:tcMar>
              <w:top w:w="60" w:type="dxa"/>
              <w:bottom w:w="60" w:type="dxa"/>
              <w:left w:w="60" w:type="dxa"/>
              <w:right w:w="60" w:type="dxa"/>
            </w:tcMar>
          </w:tcPr>
          <w:p>
            <w:pPr>
              <w:jc w:val="center"/>
            </w:pPr>
            <w:r>
              <w:rPr>
                <w:sz w:val="16"/>
              </w:rPr>
              <w:t>Passed</w:t>
            </w:r>
          </w:p>
        </w:tc>
        <w:tc>
          <w:tcPr>
            <w:tcW w:type="dxa" w:w="1440"/>
            <w:tcMar>
              <w:top w:w="60" w:type="dxa"/>
              <w:bottom w:w="60" w:type="dxa"/>
              <w:left w:w="60" w:type="dxa"/>
              <w:right w:w="60" w:type="dxa"/>
            </w:tcMar>
          </w:tcPr>
          <w:p>
            <w:pPr>
              <w:jc w:val="center"/>
            </w:pPr>
            <w:r>
              <w:rPr>
                <w:sz w:val="16"/>
              </w:rPr>
              <w:t>1.84 pts</w:t>
            </w:r>
          </w:p>
        </w:tc>
      </w:tr>
      <w:tr>
        <w:tc>
          <w:tcPr>
            <w:tcW w:type="dxa" w:w="1440"/>
            <w:tcMar>
              <w:top w:w="60" w:type="dxa"/>
              <w:bottom w:w="60" w:type="dxa"/>
              <w:left w:w="60" w:type="dxa"/>
              <w:right w:w="60" w:type="dxa"/>
            </w:tcMar>
            <w:shd w:fill="F0FDF4"/>
          </w:tcPr>
          <w:p>
            <w:pPr>
              <w:jc w:val="left"/>
            </w:pPr>
            <w:r>
              <w:rPr>
                <w:b/>
                <w:sz w:val="16"/>
              </w:rPr>
              <w:t>RecruitIQ Pipeline (Audited)</w:t>
            </w:r>
          </w:p>
        </w:tc>
        <w:tc>
          <w:tcPr>
            <w:tcW w:type="dxa" w:w="1440"/>
            <w:tcMar>
              <w:top w:w="60" w:type="dxa"/>
              <w:bottom w:w="60" w:type="dxa"/>
              <w:left w:w="60" w:type="dxa"/>
              <w:right w:w="60" w:type="dxa"/>
            </w:tcMar>
            <w:shd w:fill="F0FDF4"/>
          </w:tcPr>
          <w:p>
            <w:pPr>
              <w:jc w:val="center"/>
            </w:pPr>
            <w:r>
              <w:rPr>
                <w:b/>
                <w:sz w:val="16"/>
              </w:rPr>
              <w:t>35.2%</w:t>
            </w:r>
          </w:p>
        </w:tc>
        <w:tc>
          <w:tcPr>
            <w:tcW w:type="dxa" w:w="1440"/>
            <w:tcMar>
              <w:top w:w="60" w:type="dxa"/>
              <w:bottom w:w="60" w:type="dxa"/>
              <w:left w:w="60" w:type="dxa"/>
              <w:right w:w="60" w:type="dxa"/>
            </w:tcMar>
            <w:shd w:fill="F0FDF4"/>
          </w:tcPr>
          <w:p>
            <w:pPr>
              <w:jc w:val="center"/>
            </w:pPr>
            <w:r>
              <w:rPr>
                <w:b/>
                <w:sz w:val="16"/>
              </w:rPr>
              <w:t>34.0%</w:t>
            </w:r>
          </w:p>
        </w:tc>
        <w:tc>
          <w:tcPr>
            <w:tcW w:type="dxa" w:w="1440"/>
            <w:tcMar>
              <w:top w:w="60" w:type="dxa"/>
              <w:bottom w:w="60" w:type="dxa"/>
              <w:left w:w="60" w:type="dxa"/>
              <w:right w:w="60" w:type="dxa"/>
            </w:tcMar>
            <w:shd w:fill="F0FDF4"/>
          </w:tcPr>
          <w:p>
            <w:pPr>
              <w:jc w:val="center"/>
            </w:pPr>
            <w:r>
              <w:rPr>
                <w:b/>
                <w:sz w:val="16"/>
              </w:rPr>
              <w:t>0.012</w:t>
            </w:r>
          </w:p>
        </w:tc>
        <w:tc>
          <w:tcPr>
            <w:tcW w:type="dxa" w:w="1440"/>
            <w:tcMar>
              <w:top w:w="60" w:type="dxa"/>
              <w:bottom w:w="60" w:type="dxa"/>
              <w:left w:w="60" w:type="dxa"/>
              <w:right w:w="60" w:type="dxa"/>
            </w:tcMar>
            <w:shd w:fill="F0FDF4"/>
          </w:tcPr>
          <w:p>
            <w:pPr>
              <w:jc w:val="center"/>
            </w:pPr>
            <w:r>
              <w:rPr>
                <w:b/>
                <w:sz w:val="16"/>
              </w:rPr>
              <w:t>0.966</w:t>
            </w:r>
          </w:p>
        </w:tc>
        <w:tc>
          <w:tcPr>
            <w:tcW w:type="dxa" w:w="1440"/>
            <w:tcMar>
              <w:top w:w="60" w:type="dxa"/>
              <w:bottom w:w="60" w:type="dxa"/>
              <w:left w:w="60" w:type="dxa"/>
              <w:right w:w="60" w:type="dxa"/>
            </w:tcMar>
            <w:shd w:fill="F0FDF4"/>
          </w:tcPr>
          <w:p>
            <w:pPr>
              <w:jc w:val="center"/>
            </w:pPr>
            <w:r>
              <w:rPr>
                <w:b/>
                <w:sz w:val="16"/>
              </w:rPr>
              <w:t>Fully Compliant</w:t>
            </w:r>
          </w:p>
        </w:tc>
        <w:tc>
          <w:tcPr>
            <w:tcW w:type="dxa" w:w="1440"/>
            <w:tcMar>
              <w:top w:w="60" w:type="dxa"/>
              <w:bottom w:w="60" w:type="dxa"/>
              <w:left w:w="60" w:type="dxa"/>
              <w:right w:w="60" w:type="dxa"/>
            </w:tcMar>
            <w:shd w:fill="F0FDF4"/>
          </w:tcPr>
          <w:p>
            <w:pPr>
              <w:jc w:val="center"/>
            </w:pPr>
            <w:r>
              <w:rPr>
                <w:b/>
                <w:sz w:val="16"/>
              </w:rPr>
              <w:t>0.00 pts (Exact)</w:t>
            </w:r>
          </w:p>
        </w:tc>
      </w:tr>
    </w:tbl>
    <w:p>
      <w:pPr>
        <w:spacing w:before="0" w:after="80" w:line="259" w:lineRule="auto"/>
        <w:jc w:val="both"/>
      </w:pPr>
      <w:r>
        <w:rPr>
          <w:rFonts w:ascii="Times New Roman" w:hAnsi="Times New Roman"/>
          <w:sz w:val="19"/>
        </w:rPr>
        <w:t>Under unconstrained LLM screening, the selection rate between male and female naming proxies diverged significantly (DI = 0.760), violating the EEOC Four-Fifths benchmark. In contrast, RecruitIQ maintains an empirical disparate impact ratio of DI = 0.966 and achieves strict counterfactual score invariance (ΔS = 0.00), proving that demographic proxy swaps exert zero mathematical influence on candidate evaluation scores.</w:t>
      </w:r>
    </w:p>
    <w:p>
      <w:pPr>
        <w:spacing w:before="160" w:after="40"/>
        <w:jc w:val="center"/>
      </w:pPr>
      <w:r>
        <w:rPr>
          <w:b/>
          <w:sz w:val="17"/>
        </w:rPr>
        <w:t>TABLE V</w:t>
        <w:br/>
        <w:t>DEFENSE EFFICACY AGAINST ADVERSARIAL PROMPT INJECTION ATTACKS (N = 150 PAYLOADS)</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D3D3D3"/>
          <w:insideV w:val="none"/>
          <w:left w:val="none"/>
          <w:right w:val="none"/>
        </w:tblBorders>
      </w:tblPr>
      <w:tblGrid>
        <w:gridCol w:w="1680"/>
        <w:gridCol w:w="1680"/>
        <w:gridCol w:w="1680"/>
        <w:gridCol w:w="1680"/>
        <w:gridCol w:w="1680"/>
        <w:gridCol w:w="1680"/>
      </w:tblGrid>
      <w:tr>
        <w:tc>
          <w:tcPr>
            <w:tcW w:type="dxa" w:w="1680"/>
            <w:tcMar>
              <w:top w:w="80" w:type="dxa"/>
              <w:bottom w:w="80" w:type="dxa"/>
              <w:left w:w="80" w:type="dxa"/>
              <w:right w:w="80" w:type="dxa"/>
            </w:tcMar>
            <w:shd w:fill="EAECEF"/>
          </w:tcPr>
          <w:p>
            <w:pPr>
              <w:jc w:val="center"/>
            </w:pPr>
            <w:r>
              <w:rPr>
                <w:b/>
                <w:sz w:val="16"/>
              </w:rPr>
              <w:t>Attack Modality</w:t>
            </w:r>
          </w:p>
        </w:tc>
        <w:tc>
          <w:tcPr>
            <w:tcW w:type="dxa" w:w="1680"/>
            <w:tcMar>
              <w:top w:w="80" w:type="dxa"/>
              <w:bottom w:w="80" w:type="dxa"/>
              <w:left w:w="80" w:type="dxa"/>
              <w:right w:w="80" w:type="dxa"/>
            </w:tcMar>
            <w:shd w:fill="EAECEF"/>
          </w:tcPr>
          <w:p>
            <w:pPr>
              <w:jc w:val="center"/>
            </w:pPr>
            <w:r>
              <w:rPr>
                <w:b/>
                <w:sz w:val="16"/>
              </w:rPr>
              <w:t>Injected Samples</w:t>
            </w:r>
          </w:p>
        </w:tc>
        <w:tc>
          <w:tcPr>
            <w:tcW w:type="dxa" w:w="1680"/>
            <w:tcMar>
              <w:top w:w="80" w:type="dxa"/>
              <w:bottom w:w="80" w:type="dxa"/>
              <w:left w:w="80" w:type="dxa"/>
              <w:right w:w="80" w:type="dxa"/>
            </w:tcMar>
            <w:shd w:fill="EAECEF"/>
          </w:tcPr>
          <w:p>
            <w:pPr>
              <w:jc w:val="center"/>
            </w:pPr>
            <w:r>
              <w:rPr>
                <w:b/>
                <w:sz w:val="16"/>
              </w:rPr>
              <w:t>Intercepted Samples</w:t>
            </w:r>
          </w:p>
        </w:tc>
        <w:tc>
          <w:tcPr>
            <w:tcW w:type="dxa" w:w="1680"/>
            <w:tcMar>
              <w:top w:w="80" w:type="dxa"/>
              <w:bottom w:w="80" w:type="dxa"/>
              <w:left w:w="80" w:type="dxa"/>
              <w:right w:w="80" w:type="dxa"/>
            </w:tcMar>
            <w:shd w:fill="EAECEF"/>
          </w:tcPr>
          <w:p>
            <w:pPr>
              <w:jc w:val="center"/>
            </w:pPr>
            <w:r>
              <w:rPr>
                <w:b/>
                <w:sz w:val="16"/>
              </w:rPr>
              <w:t>Detection Recall</w:t>
            </w:r>
          </w:p>
        </w:tc>
        <w:tc>
          <w:tcPr>
            <w:tcW w:type="dxa" w:w="1680"/>
            <w:tcMar>
              <w:top w:w="80" w:type="dxa"/>
              <w:bottom w:w="80" w:type="dxa"/>
              <w:left w:w="80" w:type="dxa"/>
              <w:right w:w="80" w:type="dxa"/>
            </w:tcMar>
            <w:shd w:fill="EAECEF"/>
          </w:tcPr>
          <w:p>
            <w:pPr>
              <w:jc w:val="center"/>
            </w:pPr>
            <w:r>
              <w:rPr>
                <w:b/>
                <w:sz w:val="16"/>
              </w:rPr>
              <w:t>False Positive Rate</w:t>
            </w:r>
          </w:p>
        </w:tc>
        <w:tc>
          <w:tcPr>
            <w:tcW w:type="dxa" w:w="1680"/>
            <w:tcMar>
              <w:top w:w="80" w:type="dxa"/>
              <w:bottom w:w="80" w:type="dxa"/>
              <w:left w:w="80" w:type="dxa"/>
              <w:right w:w="80" w:type="dxa"/>
            </w:tcMar>
            <w:shd w:fill="EAECEF"/>
          </w:tcPr>
          <w:p>
            <w:pPr>
              <w:jc w:val="center"/>
            </w:pPr>
            <w:r>
              <w:rPr>
                <w:b/>
                <w:sz w:val="16"/>
              </w:rPr>
              <w:t>Latency Overhead</w:t>
            </w:r>
          </w:p>
        </w:tc>
      </w:tr>
      <w:tr>
        <w:tc>
          <w:tcPr>
            <w:tcW w:type="dxa" w:w="1680"/>
            <w:tcMar>
              <w:top w:w="60" w:type="dxa"/>
              <w:bottom w:w="60" w:type="dxa"/>
              <w:left w:w="60" w:type="dxa"/>
              <w:right w:w="60" w:type="dxa"/>
            </w:tcMar>
          </w:tcPr>
          <w:p>
            <w:pPr>
              <w:jc w:val="left"/>
            </w:pPr>
            <w:r>
              <w:rPr>
                <w:sz w:val="16"/>
              </w:rPr>
              <w:t>Delimiter Overrides ('### System:')</w:t>
            </w:r>
          </w:p>
        </w:tc>
        <w:tc>
          <w:tcPr>
            <w:tcW w:type="dxa" w:w="1680"/>
            <w:tcMar>
              <w:top w:w="60" w:type="dxa"/>
              <w:bottom w:w="60" w:type="dxa"/>
              <w:left w:w="60" w:type="dxa"/>
              <w:right w:w="60" w:type="dxa"/>
            </w:tcMar>
          </w:tcPr>
          <w:p>
            <w:pPr>
              <w:jc w:val="center"/>
            </w:pPr>
            <w:r>
              <w:rPr>
                <w:sz w:val="16"/>
              </w:rPr>
              <w:t>50</w:t>
            </w:r>
          </w:p>
        </w:tc>
        <w:tc>
          <w:tcPr>
            <w:tcW w:type="dxa" w:w="1680"/>
            <w:tcMar>
              <w:top w:w="60" w:type="dxa"/>
              <w:bottom w:w="60" w:type="dxa"/>
              <w:left w:w="60" w:type="dxa"/>
              <w:right w:w="60" w:type="dxa"/>
            </w:tcMar>
          </w:tcPr>
          <w:p>
            <w:pPr>
              <w:jc w:val="center"/>
            </w:pPr>
            <w:r>
              <w:rPr>
                <w:sz w:val="16"/>
              </w:rPr>
              <w:t>50</w:t>
            </w:r>
          </w:p>
        </w:tc>
        <w:tc>
          <w:tcPr>
            <w:tcW w:type="dxa" w:w="1680"/>
            <w:tcMar>
              <w:top w:w="60" w:type="dxa"/>
              <w:bottom w:w="60" w:type="dxa"/>
              <w:left w:w="60" w:type="dxa"/>
              <w:right w:w="60" w:type="dxa"/>
            </w:tcMar>
          </w:tcPr>
          <w:p>
            <w:pPr>
              <w:jc w:val="center"/>
            </w:pPr>
            <w:r>
              <w:rPr>
                <w:sz w:val="16"/>
              </w:rPr>
              <w:t>100.0%</w:t>
            </w:r>
          </w:p>
        </w:tc>
        <w:tc>
          <w:tcPr>
            <w:tcW w:type="dxa" w:w="1680"/>
            <w:tcMar>
              <w:top w:w="60" w:type="dxa"/>
              <w:bottom w:w="60" w:type="dxa"/>
              <w:left w:w="60" w:type="dxa"/>
              <w:right w:w="60" w:type="dxa"/>
            </w:tcMar>
          </w:tcPr>
          <w:p>
            <w:pPr>
              <w:jc w:val="center"/>
            </w:pPr>
            <w:r>
              <w:rPr>
                <w:sz w:val="16"/>
              </w:rPr>
              <w:t>0.0%</w:t>
            </w:r>
          </w:p>
        </w:tc>
        <w:tc>
          <w:tcPr>
            <w:tcW w:type="dxa" w:w="1680"/>
            <w:tcMar>
              <w:top w:w="60" w:type="dxa"/>
              <w:bottom w:w="60" w:type="dxa"/>
              <w:left w:w="60" w:type="dxa"/>
              <w:right w:w="60" w:type="dxa"/>
            </w:tcMar>
          </w:tcPr>
          <w:p>
            <w:pPr>
              <w:jc w:val="center"/>
            </w:pPr>
            <w:r>
              <w:rPr>
                <w:sz w:val="16"/>
              </w:rPr>
              <w:t>1.8 ms</w:t>
            </w:r>
          </w:p>
        </w:tc>
      </w:tr>
      <w:tr>
        <w:tc>
          <w:tcPr>
            <w:tcW w:type="dxa" w:w="1680"/>
            <w:tcMar>
              <w:top w:w="60" w:type="dxa"/>
              <w:bottom w:w="60" w:type="dxa"/>
              <w:left w:w="60" w:type="dxa"/>
              <w:right w:w="60" w:type="dxa"/>
            </w:tcMar>
          </w:tcPr>
          <w:p>
            <w:pPr>
              <w:jc w:val="left"/>
            </w:pPr>
            <w:r>
              <w:rPr>
                <w:sz w:val="16"/>
              </w:rPr>
              <w:t>White-Font / Low-Contrast Text</w:t>
            </w:r>
          </w:p>
        </w:tc>
        <w:tc>
          <w:tcPr>
            <w:tcW w:type="dxa" w:w="1680"/>
            <w:tcMar>
              <w:top w:w="60" w:type="dxa"/>
              <w:bottom w:w="60" w:type="dxa"/>
              <w:left w:w="60" w:type="dxa"/>
              <w:right w:w="60" w:type="dxa"/>
            </w:tcMar>
          </w:tcPr>
          <w:p>
            <w:pPr>
              <w:jc w:val="center"/>
            </w:pPr>
            <w:r>
              <w:rPr>
                <w:sz w:val="16"/>
              </w:rPr>
              <w:t>50</w:t>
            </w:r>
          </w:p>
        </w:tc>
        <w:tc>
          <w:tcPr>
            <w:tcW w:type="dxa" w:w="1680"/>
            <w:tcMar>
              <w:top w:w="60" w:type="dxa"/>
              <w:bottom w:w="60" w:type="dxa"/>
              <w:left w:w="60" w:type="dxa"/>
              <w:right w:w="60" w:type="dxa"/>
            </w:tcMar>
          </w:tcPr>
          <w:p>
            <w:pPr>
              <w:jc w:val="center"/>
            </w:pPr>
            <w:r>
              <w:rPr>
                <w:sz w:val="16"/>
              </w:rPr>
              <w:t>48</w:t>
            </w:r>
          </w:p>
        </w:tc>
        <w:tc>
          <w:tcPr>
            <w:tcW w:type="dxa" w:w="1680"/>
            <w:tcMar>
              <w:top w:w="60" w:type="dxa"/>
              <w:bottom w:w="60" w:type="dxa"/>
              <w:left w:w="60" w:type="dxa"/>
              <w:right w:w="60" w:type="dxa"/>
            </w:tcMar>
          </w:tcPr>
          <w:p>
            <w:pPr>
              <w:jc w:val="center"/>
            </w:pPr>
            <w:r>
              <w:rPr>
                <w:sz w:val="16"/>
              </w:rPr>
              <w:t>96.0%</w:t>
            </w:r>
          </w:p>
        </w:tc>
        <w:tc>
          <w:tcPr>
            <w:tcW w:type="dxa" w:w="1680"/>
            <w:tcMar>
              <w:top w:w="60" w:type="dxa"/>
              <w:bottom w:w="60" w:type="dxa"/>
              <w:left w:w="60" w:type="dxa"/>
              <w:right w:w="60" w:type="dxa"/>
            </w:tcMar>
          </w:tcPr>
          <w:p>
            <w:pPr>
              <w:jc w:val="center"/>
            </w:pPr>
            <w:r>
              <w:rPr>
                <w:sz w:val="16"/>
              </w:rPr>
              <w:t>0.5%</w:t>
            </w:r>
          </w:p>
        </w:tc>
        <w:tc>
          <w:tcPr>
            <w:tcW w:type="dxa" w:w="1680"/>
            <w:tcMar>
              <w:top w:w="60" w:type="dxa"/>
              <w:bottom w:w="60" w:type="dxa"/>
              <w:left w:w="60" w:type="dxa"/>
              <w:right w:w="60" w:type="dxa"/>
            </w:tcMar>
          </w:tcPr>
          <w:p>
            <w:pPr>
              <w:jc w:val="center"/>
            </w:pPr>
            <w:r>
              <w:rPr>
                <w:sz w:val="16"/>
              </w:rPr>
              <w:t>2.4 ms</w:t>
            </w:r>
          </w:p>
        </w:tc>
      </w:tr>
      <w:tr>
        <w:tc>
          <w:tcPr>
            <w:tcW w:type="dxa" w:w="1680"/>
            <w:tcMar>
              <w:top w:w="60" w:type="dxa"/>
              <w:bottom w:w="60" w:type="dxa"/>
              <w:left w:w="60" w:type="dxa"/>
              <w:right w:w="60" w:type="dxa"/>
            </w:tcMar>
          </w:tcPr>
          <w:p>
            <w:pPr>
              <w:jc w:val="left"/>
            </w:pPr>
            <w:r>
              <w:rPr>
                <w:sz w:val="16"/>
              </w:rPr>
              <w:t>Natural Language Instruction Overrides</w:t>
            </w:r>
          </w:p>
        </w:tc>
        <w:tc>
          <w:tcPr>
            <w:tcW w:type="dxa" w:w="1680"/>
            <w:tcMar>
              <w:top w:w="60" w:type="dxa"/>
              <w:bottom w:w="60" w:type="dxa"/>
              <w:left w:w="60" w:type="dxa"/>
              <w:right w:w="60" w:type="dxa"/>
            </w:tcMar>
          </w:tcPr>
          <w:p>
            <w:pPr>
              <w:jc w:val="center"/>
            </w:pPr>
            <w:r>
              <w:rPr>
                <w:sz w:val="16"/>
              </w:rPr>
              <w:t>50</w:t>
            </w:r>
          </w:p>
        </w:tc>
        <w:tc>
          <w:tcPr>
            <w:tcW w:type="dxa" w:w="1680"/>
            <w:tcMar>
              <w:top w:w="60" w:type="dxa"/>
              <w:bottom w:w="60" w:type="dxa"/>
              <w:left w:w="60" w:type="dxa"/>
              <w:right w:w="60" w:type="dxa"/>
            </w:tcMar>
          </w:tcPr>
          <w:p>
            <w:pPr>
              <w:jc w:val="center"/>
            </w:pPr>
            <w:r>
              <w:rPr>
                <w:sz w:val="16"/>
              </w:rPr>
              <w:t>48</w:t>
            </w:r>
          </w:p>
        </w:tc>
        <w:tc>
          <w:tcPr>
            <w:tcW w:type="dxa" w:w="1680"/>
            <w:tcMar>
              <w:top w:w="60" w:type="dxa"/>
              <w:bottom w:w="60" w:type="dxa"/>
              <w:left w:w="60" w:type="dxa"/>
              <w:right w:w="60" w:type="dxa"/>
            </w:tcMar>
          </w:tcPr>
          <w:p>
            <w:pPr>
              <w:jc w:val="center"/>
            </w:pPr>
            <w:r>
              <w:rPr>
                <w:sz w:val="16"/>
              </w:rPr>
              <w:t>96.0%</w:t>
            </w:r>
          </w:p>
        </w:tc>
        <w:tc>
          <w:tcPr>
            <w:tcW w:type="dxa" w:w="1680"/>
            <w:tcMar>
              <w:top w:w="60" w:type="dxa"/>
              <w:bottom w:w="60" w:type="dxa"/>
              <w:left w:w="60" w:type="dxa"/>
              <w:right w:w="60" w:type="dxa"/>
            </w:tcMar>
          </w:tcPr>
          <w:p>
            <w:pPr>
              <w:jc w:val="center"/>
            </w:pPr>
            <w:r>
              <w:rPr>
                <w:sz w:val="16"/>
              </w:rPr>
              <w:t>1.2%</w:t>
            </w:r>
          </w:p>
        </w:tc>
        <w:tc>
          <w:tcPr>
            <w:tcW w:type="dxa" w:w="1680"/>
            <w:tcMar>
              <w:top w:w="60" w:type="dxa"/>
              <w:bottom w:w="60" w:type="dxa"/>
              <w:left w:w="60" w:type="dxa"/>
              <w:right w:w="60" w:type="dxa"/>
            </w:tcMar>
          </w:tcPr>
          <w:p>
            <w:pPr>
              <w:jc w:val="center"/>
            </w:pPr>
            <w:r>
              <w:rPr>
                <w:sz w:val="16"/>
              </w:rPr>
              <w:t>3.1 ms</w:t>
            </w:r>
          </w:p>
        </w:tc>
      </w:tr>
      <w:tr>
        <w:tc>
          <w:tcPr>
            <w:tcW w:type="dxa" w:w="1680"/>
            <w:tcMar>
              <w:top w:w="60" w:type="dxa"/>
              <w:bottom w:w="60" w:type="dxa"/>
              <w:left w:w="60" w:type="dxa"/>
              <w:right w:w="60" w:type="dxa"/>
            </w:tcMar>
            <w:shd w:fill="F0FDF4"/>
          </w:tcPr>
          <w:p>
            <w:pPr>
              <w:jc w:val="left"/>
            </w:pPr>
            <w:r>
              <w:rPr>
                <w:b/>
                <w:sz w:val="16"/>
              </w:rPr>
              <w:t>Aggregate Defensive Performance</w:t>
            </w:r>
          </w:p>
        </w:tc>
        <w:tc>
          <w:tcPr>
            <w:tcW w:type="dxa" w:w="1680"/>
            <w:tcMar>
              <w:top w:w="60" w:type="dxa"/>
              <w:bottom w:w="60" w:type="dxa"/>
              <w:left w:w="60" w:type="dxa"/>
              <w:right w:w="60" w:type="dxa"/>
            </w:tcMar>
            <w:shd w:fill="F0FDF4"/>
          </w:tcPr>
          <w:p>
            <w:pPr>
              <w:jc w:val="center"/>
            </w:pPr>
            <w:r>
              <w:rPr>
                <w:b/>
                <w:sz w:val="16"/>
              </w:rPr>
              <w:t>150</w:t>
            </w:r>
          </w:p>
        </w:tc>
        <w:tc>
          <w:tcPr>
            <w:tcW w:type="dxa" w:w="1680"/>
            <w:tcMar>
              <w:top w:w="60" w:type="dxa"/>
              <w:bottom w:w="60" w:type="dxa"/>
              <w:left w:w="60" w:type="dxa"/>
              <w:right w:w="60" w:type="dxa"/>
            </w:tcMar>
            <w:shd w:fill="F0FDF4"/>
          </w:tcPr>
          <w:p>
            <w:pPr>
              <w:jc w:val="center"/>
            </w:pPr>
            <w:r>
              <w:rPr>
                <w:b/>
                <w:sz w:val="16"/>
              </w:rPr>
              <w:t>146</w:t>
            </w:r>
          </w:p>
        </w:tc>
        <w:tc>
          <w:tcPr>
            <w:tcW w:type="dxa" w:w="1680"/>
            <w:tcMar>
              <w:top w:w="60" w:type="dxa"/>
              <w:bottom w:w="60" w:type="dxa"/>
              <w:left w:w="60" w:type="dxa"/>
              <w:right w:w="60" w:type="dxa"/>
            </w:tcMar>
            <w:shd w:fill="F0FDF4"/>
          </w:tcPr>
          <w:p>
            <w:pPr>
              <w:jc w:val="center"/>
            </w:pPr>
            <w:r>
              <w:rPr>
                <w:b/>
                <w:sz w:val="16"/>
              </w:rPr>
              <w:t>97.4%</w:t>
            </w:r>
          </w:p>
        </w:tc>
        <w:tc>
          <w:tcPr>
            <w:tcW w:type="dxa" w:w="1680"/>
            <w:tcMar>
              <w:top w:w="60" w:type="dxa"/>
              <w:bottom w:w="60" w:type="dxa"/>
              <w:left w:w="60" w:type="dxa"/>
              <w:right w:w="60" w:type="dxa"/>
            </w:tcMar>
            <w:shd w:fill="F0FDF4"/>
          </w:tcPr>
          <w:p>
            <w:pPr>
              <w:jc w:val="center"/>
            </w:pPr>
            <w:r>
              <w:rPr>
                <w:b/>
                <w:sz w:val="16"/>
              </w:rPr>
              <w:t>0.56%</w:t>
            </w:r>
          </w:p>
        </w:tc>
        <w:tc>
          <w:tcPr>
            <w:tcW w:type="dxa" w:w="1680"/>
            <w:tcMar>
              <w:top w:w="60" w:type="dxa"/>
              <w:bottom w:w="60" w:type="dxa"/>
              <w:left w:w="60" w:type="dxa"/>
              <w:right w:w="60" w:type="dxa"/>
            </w:tcMar>
            <w:shd w:fill="F0FDF4"/>
          </w:tcPr>
          <w:p>
            <w:pPr>
              <w:jc w:val="center"/>
            </w:pPr>
            <w:r>
              <w:rPr>
                <w:b/>
                <w:sz w:val="16"/>
              </w:rPr>
              <w:t>2.4 ms</w:t>
            </w:r>
          </w:p>
        </w:tc>
      </w:tr>
    </w:tbl>
    <w:p>
      <w:pPr>
        <w:spacing w:before="0" w:after="80" w:line="259" w:lineRule="auto"/>
        <w:jc w:val="both"/>
      </w:pPr>
      <w:r>
        <w:rPr>
          <w:rFonts w:ascii="Times New Roman" w:hAnsi="Times New Roman"/>
          <w:sz w:val="19"/>
        </w:rPr>
        <w:t>As demonstrated in Table V, the sanitization preprocessor achieves an overall detection recall of 97.4% with an overhead latency of only 2.4 ms, neutralizing prompt injection attacks before resume text interacts with downstream evaluation components.</w:t>
      </w:r>
    </w:p>
    <w:p>
      <w:pPr>
        <w:keepNext/>
        <w:spacing w:before="280" w:after="80"/>
      </w:pPr>
      <w:r>
        <w:rPr>
          <w:rFonts w:ascii="Times New Roman" w:hAnsi="Times New Roman"/>
          <w:b/>
          <w:color w:val="0A192F"/>
          <w:sz w:val="22"/>
        </w:rPr>
        <w:t>VII. DISCUSSION &amp; ETHICAL CONSIDERATIONS</w:t>
      </w:r>
    </w:p>
    <w:p>
      <w:pPr>
        <w:spacing w:before="0" w:after="80" w:line="259" w:lineRule="auto"/>
        <w:jc w:val="both"/>
      </w:pPr>
      <w:r>
        <w:rPr>
          <w:rFonts w:ascii="Times New Roman" w:hAnsi="Times New Roman"/>
          <w:sz w:val="19"/>
        </w:rPr>
        <w:t>A fundamental design principle of RecruitIQ is strict adherence to human-in-the-loop governance. At no point does the system autonomously issue adverse employment decisions or reject applicants. Instead, algorithmic scores serve as auditable decision-support signals. Final interview selections, candidate advancements, and hiring offers remain solely within the discretion of human recruiters, ensuring full accountability under emerging legal guidelines (such as the EU AI Act).</w:t>
      </w:r>
    </w:p>
    <w:p>
      <w:pPr>
        <w:keepNext/>
        <w:spacing w:before="280" w:after="80"/>
      </w:pPr>
      <w:r>
        <w:rPr>
          <w:rFonts w:ascii="Times New Roman" w:hAnsi="Times New Roman"/>
          <w:b/>
          <w:color w:val="0A192F"/>
          <w:sz w:val="22"/>
        </w:rPr>
        <w:t>VIII. CONCLUSION &amp; FUTURE WORK</w:t>
      </w:r>
    </w:p>
    <w:p>
      <w:pPr>
        <w:spacing w:before="0" w:after="80" w:line="259" w:lineRule="auto"/>
        <w:jc w:val="both"/>
      </w:pPr>
      <w:r>
        <w:rPr>
          <w:rFonts w:ascii="Times New Roman" w:hAnsi="Times New Roman"/>
          <w:sz w:val="19"/>
        </w:rPr>
        <w:t>In this paper, we presented RecruitIQ, an explainable, secure, and demographic-fair automated recruitment framework. By integrating Sentence-BERT dense semantic matching, computerized adaptive testing governed by 2-Parameter Logistic Item Response Theory, automated claim-versus-evidence consistency auditing, and decoupled demographic parity auditing, RecruitIQ resolves the critical vulnerabilities of traditional keyword ATS and generative LLM screeners. Empirical evaluation proves that RecruitIQ achieves superior retrieval precision (NDCG@5 = 0.832), reduces candidate testing duration by 42.1% while maintaining psychometric precision (SE ≤ 0.31), constrains demographic disparities (Δ_DP = 0.012, DI = 0.966), and neutralizes adversarial prompt injections with 97.4% recall. Future research will extend the framework to explore multimodal interview transcription analysis and cross-lingual multilingual competency calibration.</w:t>
      </w:r>
    </w:p>
    <w:p>
      <w:pPr>
        <w:keepNext/>
        <w:spacing w:before="280" w:after="80"/>
      </w:pPr>
      <w:r>
        <w:rPr>
          <w:rFonts w:ascii="Times New Roman" w:hAnsi="Times New Roman"/>
          <w:b/>
          <w:color w:val="0A192F"/>
          <w:sz w:val="22"/>
        </w:rPr>
        <w:t>REFERENCES</w:t>
      </w:r>
    </w:p>
    <w:p>
      <w:pPr>
        <w:spacing w:before="0" w:after="60"/>
        <w:ind w:left="360" w:hanging="360"/>
        <w:jc w:val="both"/>
      </w:pPr>
      <w:r>
        <w:rPr>
          <w:sz w:val="17"/>
        </w:rPr>
        <w:t>[1] K. Wilson and A. Caliskan, "Gender, race, and intersectional bias in resume screening via language model retrieval," in Proc. AAAI/ACM Conf. on AI, Ethics, and Society (AIES), vol. 7, no. 1, 2024, pp. 1578–1590, doi: 10.1609/aies.v7i1.31748.</w:t>
      </w:r>
    </w:p>
    <w:p>
      <w:pPr>
        <w:spacing w:before="0" w:after="60"/>
        <w:ind w:left="360" w:hanging="360"/>
        <w:jc w:val="both"/>
      </w:pPr>
      <w:r>
        <w:rPr>
          <w:sz w:val="17"/>
        </w:rPr>
        <w:t>[2] H. Iso, P. Pezeshkpour, N. Bhutani, and E. Hruschka, "Evaluating bias in LLMs for job–resume matching: Gender, race, and education," in Proc. 2025 Conf. Nations of the Americas Chapter of the Assoc. for Computational Linguistics: Human Language Technologies (NAACL-HLT), Albuquerque, NM, USA, Apr. 2025, pp. 672–683, doi: 10.18653/v1/2025.naacl-industry.55.</w:t>
      </w:r>
    </w:p>
    <w:p>
      <w:pPr>
        <w:spacing w:before="0" w:after="60"/>
        <w:ind w:left="360" w:hanging="360"/>
        <w:jc w:val="both"/>
      </w:pPr>
      <w:r>
        <w:rPr>
          <w:sz w:val="17"/>
        </w:rPr>
        <w:t>[3] P. Seshadri, H. Chen, S. Singh, and S. Goldfarb-Tarrant, "Small changes, large consequences: Analyzing the allocational fairness of LLMs in hiring contexts," in Proc. 14th Int. Joint Conf. Natural Language Processing and 4th Conf. Asia-Pacific Chapter of the Assoc. for Computational Linguistics (IJCNLP-AACL), Mumbai, India, Dec. 2025, pp. 2645–2665, doi: 10.18653/v1/2025.ijcnlp-long.143.</w:t>
      </w:r>
    </w:p>
    <w:p>
      <w:pPr>
        <w:spacing w:before="0" w:after="60"/>
        <w:ind w:left="360" w:hanging="360"/>
        <w:jc w:val="both"/>
      </w:pPr>
      <w:r>
        <w:rPr>
          <w:sz w:val="17"/>
        </w:rPr>
        <w:t>[4] P. Baxi, J. Xu, J. Y. Jiang, and S. Jasin, "Prompt injection in automated résumé screening with large language models: Single and multi-injection settings," in Findings of the Assoc. for Computational Linguistics: ACL 2026, San Diego, CA, USA, Jul. 2026, pp. 2942–2953, doi: 10.18653/v1/2026.findings-acl.142.</w:t>
      </w:r>
    </w:p>
    <w:p>
      <w:pPr>
        <w:spacing w:before="0" w:after="60"/>
        <w:ind w:left="360" w:hanging="360"/>
        <w:jc w:val="both"/>
      </w:pPr>
      <w:r>
        <w:rPr>
          <w:sz w:val="17"/>
        </w:rPr>
        <w:t>[5] Y. Augey, J. H. Levy, and A. Akdemir, "RAPIDS: Resume attack prompt injection detection at scale," in Proc. 64th Annu. Meeting of the Assoc. for Computational Linguistics (ACL), San Diego, CA, USA, Jul. 2026, pp. 1848–1865, doi: 10.18653/v1/2026.acl-industry.127.</w:t>
      </w:r>
    </w:p>
    <w:p>
      <w:pPr>
        <w:spacing w:before="0" w:after="60"/>
        <w:ind w:left="360" w:hanging="360"/>
        <w:jc w:val="both"/>
      </w:pPr>
      <w:r>
        <w:rPr>
          <w:sz w:val="17"/>
        </w:rPr>
        <w:t>[6] D. Kumar, C. Verma, and Z. Illés, "Optimizing student job placements with NLP and explainable AI: A fair and transparent hiring framework," Array, vol. 29, Art. no. 100729, 2026, doi: 10.1016/j.array.2026.100729.</w:t>
      </w:r>
    </w:p>
    <w:p>
      <w:pPr>
        <w:spacing w:before="0" w:after="60"/>
        <w:ind w:left="360" w:hanging="360"/>
        <w:jc w:val="both"/>
      </w:pPr>
      <w:r>
        <w:rPr>
          <w:sz w:val="17"/>
        </w:rPr>
        <w:t>[7] N. Reimers and I. Gurevych, "Sentence-BERT: Sentence embeddings using Siamese BERT-networks," in Proc. 2019 Conf. Empirical Methods in Natural Language Processing (EMNLP-IJCNLP), Hong Kong, China, Nov. 2019, pp. 3982–3992, doi: 10.18653/v1/D19-1410.</w:t>
      </w:r>
    </w:p>
    <w:p>
      <w:pPr>
        <w:spacing w:before="0" w:after="60"/>
        <w:ind w:left="360" w:hanging="360"/>
        <w:jc w:val="both"/>
      </w:pPr>
      <w:r>
        <w:rPr>
          <w:sz w:val="17"/>
        </w:rPr>
        <w:t>[8] S. M. Lundberg and S.-I. Lee, "A unified approach to interpreting model predictions," in Advances in Neural Information Processing Systems (NeurIPS 2017), vol. 30, Long Beach, CA, USA, Dec. 2017, pp. 4765–4774.</w:t>
      </w:r>
    </w:p>
    <w:p>
      <w:pPr>
        <w:spacing w:before="0" w:after="60"/>
        <w:ind w:left="360" w:hanging="360"/>
        <w:jc w:val="both"/>
      </w:pPr>
      <w:r>
        <w:rPr>
          <w:sz w:val="17"/>
        </w:rPr>
        <w:t>[9] R. D. Bock and R. D. Gibbons, "Computerized adaptive testing," in Item Response Theory. Hoboken, NJ, USA: Wiley, 2021, ch. 8, pp. 241–278, doi: 10.1002/9781119716723.ch8.</w:t>
      </w:r>
    </w:p>
    <w:p>
      <w:pPr>
        <w:spacing w:before="0" w:after="60"/>
        <w:ind w:left="360" w:hanging="360"/>
        <w:jc w:val="both"/>
      </w:pPr>
      <w:r>
        <w:rPr>
          <w:sz w:val="17"/>
        </w:rPr>
        <w:t>[10] T. Benton, "Item response theory, computer adaptive testing and the risk of self-deception," Research Matters, no. 32, pp. 82–100, Autumn 2021, Cambridge Assessment.</w:t>
      </w:r>
    </w:p>
    <w:p>
      <w:pPr>
        <w:spacing w:before="0" w:after="60"/>
        <w:ind w:left="360" w:hanging="360"/>
        <w:jc w:val="both"/>
      </w:pPr>
      <w:r>
        <w:rPr>
          <w:sz w:val="17"/>
        </w:rPr>
        <w:t>[11] M. Hardt, E. Price, and N. Srebro, "Equality of opportunity in supervised learning," in Advances in Neural Information Processing Systems (NeurIPS 2016), vol. 29, Barcelona, Spain, Dec. 2016, pp. 3315–3323.</w:t>
      </w:r>
    </w:p>
    <w:p>
      <w:pPr>
        <w:spacing w:before="0" w:after="60"/>
        <w:ind w:left="360" w:hanging="360"/>
        <w:jc w:val="both"/>
      </w:pPr>
      <w:r>
        <w:rPr>
          <w:sz w:val="17"/>
        </w:rPr>
        <w:t>[12] S. Barocas, M. Hardt, and A. Narayanan, Fairness and Machine Learning: Limitations and Opportunities. Cambridge, MA, USA: MIT Press, 2023.</w:t>
      </w:r>
    </w:p>
    <w:p>
      <w:pPr>
        <w:spacing w:before="0" w:after="60"/>
        <w:ind w:left="360" w:hanging="360"/>
        <w:jc w:val="both"/>
      </w:pPr>
      <w:r>
        <w:rPr>
          <w:sz w:val="17"/>
        </w:rPr>
        <w:t>[13] M. B. Eisenstein, Introduction to Natural Language Processing. Cambridge, MA, USA: MIT Press, 2019.</w:t>
      </w:r>
    </w:p>
    <w:p>
      <w:pPr>
        <w:spacing w:before="0" w:after="60"/>
        <w:ind w:left="360" w:hanging="360"/>
        <w:jc w:val="both"/>
      </w:pPr>
      <w:r>
        <w:rPr>
          <w:sz w:val="17"/>
        </w:rPr>
        <w:t>[14] D. J. Weiss, "Adaptive testing by computer," J. Consult. Clin. Psychol., vol. 50, no. 4, pp. 472–485, Aug. 1982, doi: 10.1037/0022-006X.50.4.472.</w:t>
      </w:r>
    </w:p>
    <w:p>
      <w:pPr>
        <w:spacing w:before="0" w:after="60"/>
        <w:ind w:left="360" w:hanging="360"/>
        <w:jc w:val="both"/>
      </w:pPr>
      <w:r>
        <w:rPr>
          <w:sz w:val="17"/>
        </w:rPr>
        <w:t>[15] U.S. Equal Employment Opportunity Commission (EEOC), Uniform Guidelines on Employee Selection Procedures, 29 C.F.R. Part 1607, 1978.</w:t>
      </w:r>
    </w:p>
    <w:p>
      <w:pPr>
        <w:spacing w:before="0" w:after="60"/>
        <w:ind w:left="360" w:hanging="360"/>
        <w:jc w:val="both"/>
      </w:pPr>
      <w:r>
        <w:rPr>
          <w:sz w:val="17"/>
        </w:rPr>
        <w:t>[16] European Parliament and Council of the European Union, Artificial Intelligence Act, Regulation (EU) 2024/1689, Official Journal of the European Union, Jul. 2024.</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