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29e33c87f3648f4" /><Relationship Type="http://schemas.openxmlformats.org/package/2006/relationships/metadata/core-properties" Target="/docProps/core.xml" Id="R0afe894e3f76475b" /><Relationship Type="http://schemas.openxmlformats.org/officeDocument/2006/relationships/extended-properties" Target="/docProps/app.xml" Id="R6bf71c38e90449b9" /><Relationship Type="http://schemas.openxmlformats.org/officeDocument/2006/relationships/custom-properties" Target="/docProps/custom.xml" Id="R0d669dd60ae34f6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Credit Card Fraud Detection Using Machine Learning</w:t>
      </w:r>
    </w:p>
    <w:p w14:paraId="00100002" w14:textId="00100003">
      <w:pPr>
        <w:pStyle w:val="Subtitle"/>
        <w:spacing w:after="160"/>
        <w:jc w:val="center"/>
      </w:pPr>
      <w:r>
        <w:rPr>
          <w:sz w:val="32"/>
        </w:rPr>
        <w:t xml:space="preserve">Academic Project Report</w:t>
      </w:r>
    </w:p>
    <w:p w14:paraId="00100004" w14:textId="00100005">
      <w:pPr>
        <w:spacing w:after="120"/>
        <w:jc w:val="center"/>
      </w:pPr>
      <w:r>
        <w:rPr>
          <w:sz w:val="24"/>
        </w:rPr>
        <w:t xml:space="preserve">Dataset: Credit Card Fraud Detection — Kaggle (MLG-ULB)</w:t>
      </w:r>
    </w:p>
    <w:p w14:paraId="00100006" w14:textId="00100007">
      <w:pPr>
        <w:spacing w:after="480"/>
        <w:jc w:val="center"/>
      </w:pPr>
      <w:r>
        <w:rPr>
          <w:color w:val="57606A"/>
          <w:sz w:val="22"/>
        </w:rPr>
        <w:t xml:space="preserve">Course: Machine Learning  |  Submission Type: Project Report  |  Random Seed: 42</w:t>
      </w:r>
    </w:p>
    <w:p w14:paraId="00100008" w14:textId="00100009">
      <w:pPr>
        <w:spacing w:after="120"/>
      </w:pPr>
      <w:r>
        <w:rPr/>
        <w:t xml:space="preserve"/>
      </w:r>
    </w:p>
    <w:p w14:paraId="0010000A" w14:textId="0010000B">
      <w:pPr>
        <w:pStyle w:val="Heading1"/>
        <w:spacing w:before="240" w:after="120"/>
      </w:pPr>
      <w:r>
        <w:rPr>
          <w:b/>
          <w:sz w:val="36"/>
        </w:rPr>
        <w:t xml:space="preserve">Table of Contents</w:t>
      </w:r>
    </w:p>
    <w:p w14:paraId="0010000E" w14:textId="0010000F">
      <w:r>
        <w:fldChar w:fldCharType="begin"/>
      </w:r>
      <w:r>
        <w:instrText xml:space="preserve"> TOC \o "1-3" \h \u </w:instrText>
      </w:r>
      <w:r>
        <w:fldChar w:fldCharType="separate"/>
      </w:r>
      <w:r>
        <w:t xml:space="preserve">Update field to see table of contents</w:t>
      </w:r>
      <w:r>
        <w:fldChar w:fldCharType="end"/>
      </w:r>
    </w:p>
    <w:p w14:paraId="0010000C" w14:textId="0010000D">
      <w:pPr>
        <w:spacing w:after="120"/>
      </w:pPr>
      <w:r>
        <w:rPr/>
        <w:t xml:space="preserve"/>
      </w:r>
    </w:p>
    <w:p w14:paraId="00100010" w14:textId="00100011">
      <w:pPr>
        <w:pStyle w:val="Heading1"/>
        <w:spacing w:before="280" w:after="160"/>
      </w:pPr>
      <w:r>
        <w:rPr>
          <w:b/>
          <w:sz w:val="36"/>
        </w:rPr>
        <w:t xml:space="preserve">Abstract</w:t>
      </w:r>
    </w:p>
    <w:p w14:paraId="00100012" w14:textId="00100013">
      <w:pPr>
        <w:spacing w:after="160"/>
      </w:pPr>
      <w:r>
        <w:rPr>
          <w:sz w:val="22"/>
        </w:rPr>
        <w:t xml:space="preserve">Credit card fraud represents a significant financial and operational challenge for banking institutions worldwide. The rapid growth of digital payment systems has increased the exposure of cardholders to fraudulent transactions, making automated fraud detection a critical research and engineering problem. This project applies supervised binary classification techniques to a real-world anonymised credit card transaction dataset to distinguish legitimate transactions from fraudulent ones. The dataset comprises approximately 284,807 transactions of which only 492 (approximately 0.17%) are fraudulent, presenting a severe class imbalance problem that renders accuracy an unsuitable primary evaluation metric. Four machine learning algorithms are implemented and evaluated — Logistic Regression, Decision Tree, Random Forest, and Gradient Boosting — using Precision, Recall, F1-score, ROC-AUC, and Precision-Recall AUC. Synthetic Minority Over-sampling Technique (SMOTE) is applied exclusively on training data to address class imbalance without introducing data leakage. A stratified train-test split, pipeline-based preprocessing, and threshold analysis are employed to ensure reproducibility and methodological correctness. The final model is selected based on its balance of Recall, F1-score, and PR-AUC, and persisted as a scikit-learn Pipeline for reproducible inference.</w:t>
      </w:r>
    </w:p>
    <w:p w14:paraId="00100014" w14:textId="00100015">
      <w:pPr>
        <w:pStyle w:val="Heading1"/>
        <w:spacing w:before="280" w:after="160"/>
      </w:pPr>
      <w:r>
        <w:rPr>
          <w:b/>
          <w:sz w:val="36"/>
        </w:rPr>
        <w:t xml:space="preserve">1. Introduction</w:t>
      </w:r>
    </w:p>
    <w:p w14:paraId="00100016" w14:textId="00100017">
      <w:pPr>
        <w:spacing w:after="160"/>
      </w:pPr>
      <w:r>
        <w:rPr>
          <w:sz w:val="22"/>
        </w:rPr>
        <w:t xml:space="preserve">The global credit card market processes billions of transactions annually, and a non-trivial fraction of these are fraudulent. According to the Nilson Report, global card fraud losses exceeded USD 32 billion in 2021 and are projected to grow. Traditional rule-based fraud detection systems, which rely on manually crafted heuristics, are increasingly insufficient due to the adaptive nature of fraudulent behaviour and the sheer volume of transactions requiring near-real-time evaluation.</w:t>
      </w:r>
    </w:p>
    <w:p w14:paraId="00100018" w14:textId="00100019">
      <w:pPr>
        <w:spacing w:after="160"/>
      </w:pPr>
      <w:r>
        <w:rPr>
          <w:sz w:val="22"/>
        </w:rPr>
        <w:t xml:space="preserve">Machine learning offers a data-driven alternative: models can learn complex non-linear patterns from historical transaction data and generalise to unseen transactions. Supervised learning, specifically binary classification, is well-suited to fraud detection because historical transaction labels (fraud / legitimate) are available from chargeback and dispute resolution records.</w:t>
      </w:r>
    </w:p>
    <w:p w14:paraId="0010001A" w14:textId="0010001B">
      <w:pPr>
        <w:spacing w:after="160"/>
      </w:pPr>
      <w:r>
        <w:rPr>
          <w:sz w:val="22"/>
        </w:rPr>
        <w:t xml:space="preserve">However, fraud detection datasets are characterised by extreme class imbalance — fraudulent transactions are rare events. This imbalance makes standard accuracy an uninformative metric and necessitates specialised techniques such as class weighting, undersampling, or synthetic oversampling (SMOTE) to prevent classifiers from simply predicting the majority class for all inputs. This project addresses these challenges systematically, building a complete, reproducible ML pipeline from raw data ingestion through model persistence.</w:t>
      </w:r>
    </w:p>
    <w:p w14:paraId="0010001C" w14:textId="0010001D">
      <w:pPr>
        <w:pStyle w:val="Heading1"/>
        <w:spacing w:before="280" w:after="160"/>
      </w:pPr>
      <w:r>
        <w:rPr>
          <w:b/>
          <w:sz w:val="36"/>
        </w:rPr>
        <w:t xml:space="preserve">2. Problem Statement</w:t>
      </w:r>
    </w:p>
    <w:p w14:paraId="0010001E" w14:textId="0010001F">
      <w:pPr>
        <w:spacing w:after="160"/>
      </w:pPr>
      <w:r>
        <w:rPr>
          <w:sz w:val="22"/>
        </w:rPr>
        <w:t xml:space="preserve">Given a set of numerical features derived from credit card transaction records, build a binary classifier that assigns each transaction one of two labels: Class 0 (Legitimate transaction) or Class 1 (Fraudulent transaction). The classifier must demonstrate high Recall on the minority (fraud) class — that is, it must detect as many actual fraudulent transactions as possible — while maintaining acceptable Precision to avoid overwhelming fraud analysts with false alerts. Raw accuracy is not the optimisation target due to the extreme class imbalance of the dataset.</w:t>
      </w:r>
    </w:p>
    <w:p w14:paraId="00100020" w14:textId="00100021">
      <w:pPr>
        <w:pStyle w:val="Heading1"/>
        <w:spacing w:before="280" w:after="160"/>
      </w:pPr>
      <w:r>
        <w:rPr>
          <w:b/>
          <w:sz w:val="36"/>
        </w:rPr>
        <w:t xml:space="preserve">3. Objectives</w:t>
      </w:r>
    </w:p>
    <w:p w14:paraId="00100022" w14:textId="00100023">
      <w:pPr>
        <w:spacing w:after="80"/>
      </w:pPr>
      <w:r>
        <w:rPr>
          <w:sz w:val="22"/>
        </w:rPr>
        <w:t xml:space="preserve">1.  Load, inspect, and understand the Credit Card Fraud Detection dataset.</w:t>
      </w:r>
    </w:p>
    <w:p w14:paraId="00100024" w14:textId="00100025">
      <w:pPr>
        <w:spacing w:after="80"/>
      </w:pPr>
      <w:r>
        <w:rPr>
          <w:sz w:val="22"/>
        </w:rPr>
        <w:t xml:space="preserve">2.  Conduct exploratory data analysis (EDA) to characterise the dataset structure, class distribution, and key feature distributions.</w:t>
      </w:r>
    </w:p>
    <w:p w14:paraId="00100026" w14:textId="00100027">
      <w:pPr>
        <w:spacing w:after="80"/>
      </w:pPr>
      <w:r>
        <w:rPr>
          <w:sz w:val="22"/>
        </w:rPr>
        <w:t xml:space="preserve">3.  Apply a rigorous preprocessing pipeline that avoids data leakage by splitting before scaling.</w:t>
      </w:r>
    </w:p>
    <w:p w14:paraId="00100028" w14:textId="00100029">
      <w:pPr>
        <w:spacing w:after="80"/>
      </w:pPr>
      <w:r>
        <w:rPr>
          <w:sz w:val="22"/>
        </w:rPr>
        <w:t xml:space="preserve">4.  Handle severe class imbalance using SMOTE applied exclusively on training data.</w:t>
      </w:r>
    </w:p>
    <w:p w14:paraId="0010002A" w14:textId="0010002B">
      <w:pPr>
        <w:spacing w:after="80"/>
      </w:pPr>
      <w:r>
        <w:rPr>
          <w:sz w:val="22"/>
        </w:rPr>
        <w:t xml:space="preserve">5.  Train and compare four classification algorithms under a consistent evaluation protocol.</w:t>
      </w:r>
    </w:p>
    <w:p w14:paraId="0010002C" w14:textId="0010002D">
      <w:pPr>
        <w:spacing w:after="80"/>
      </w:pPr>
      <w:r>
        <w:rPr>
          <w:sz w:val="22"/>
        </w:rPr>
        <w:t xml:space="preserve">6.  Evaluate models using fraud-appropriate metrics: Precision, Recall, F1-score, ROC-AUC, and PR-AUC.</w:t>
      </w:r>
    </w:p>
    <w:p w14:paraId="0010002E" w14:textId="0010002F">
      <w:pPr>
        <w:spacing w:after="80"/>
      </w:pPr>
      <w:r>
        <w:rPr>
          <w:sz w:val="22"/>
        </w:rPr>
        <w:t xml:space="preserve">7.  Perform limited hyperparameter tuning on the strongest candidate using stratified cross-validation only.</w:t>
      </w:r>
    </w:p>
    <w:p w14:paraId="00100030" w14:textId="00100031">
      <w:pPr>
        <w:spacing w:after="80"/>
      </w:pPr>
      <w:r>
        <w:rPr>
          <w:sz w:val="22"/>
        </w:rPr>
        <w:t xml:space="preserve">8.  Analyse the impact of probability threshold selection on model performance.</w:t>
      </w:r>
    </w:p>
    <w:p w14:paraId="00100032" w14:textId="00100033">
      <w:pPr>
        <w:spacing w:after="80"/>
      </w:pPr>
      <w:r>
        <w:rPr>
          <w:sz w:val="22"/>
        </w:rPr>
        <w:t xml:space="preserve">9.  Provide feature importance analysis for model interpretability.</w:t>
      </w:r>
    </w:p>
    <w:p w14:paraId="00100034" w14:textId="00100035">
      <w:pPr>
        <w:spacing w:after="160"/>
      </w:pPr>
      <w:r>
        <w:rPr>
          <w:sz w:val="22"/>
        </w:rPr>
        <w:t xml:space="preserve">10. Persist the final trained pipeline using Joblib for reproducible inference.</w:t>
      </w:r>
    </w:p>
    <w:p w14:paraId="00100036" w14:textId="00100037">
      <w:pPr>
        <w:pStyle w:val="Heading1"/>
        <w:spacing w:before="280" w:after="160"/>
      </w:pPr>
      <w:r>
        <w:rPr>
          <w:b/>
          <w:sz w:val="36"/>
        </w:rPr>
        <w:t xml:space="preserve">4. Dataset Description</w:t>
      </w:r>
    </w:p>
    <w:p w14:paraId="00100038" w14:textId="00100039">
      <w:pPr>
        <w:pStyle w:val="Heading2"/>
        <w:spacing w:before="200" w:after="120"/>
      </w:pPr>
      <w:r>
        <w:rPr>
          <w:b/>
          <w:sz w:val="28"/>
        </w:rPr>
        <w:t xml:space="preserve">4.1 Source</w:t>
      </w:r>
    </w:p>
    <w:p w14:paraId="0010003A" w14:textId="0010003B">
      <w:pPr>
        <w:spacing w:after="160"/>
      </w:pPr>
      <w:r>
        <w:rPr>
          <w:sz w:val="22"/>
        </w:rPr>
        <w:t xml:space="preserve">The dataset is publicly available on Kaggle at https://www.kaggle.com/datasets/mlg-ulb/creditcardfraud and was collected and made available by the Machine Learning Group at Universite Libre de Bruxelles (ULB). The transactions occurred over two days in September 2013 by European cardholders.</w:t>
      </w:r>
    </w:p>
    <w:p w14:paraId="0010003C" w14:textId="0010003D">
      <w:pPr>
        <w:pStyle w:val="Heading2"/>
        <w:spacing w:before="200" w:after="120"/>
      </w:pPr>
      <w:r>
        <w:rPr>
          <w:b/>
          <w:sz w:val="28"/>
        </w:rPr>
        <w:t xml:space="preserve">4.2 Characteristics</w:t>
      </w:r>
    </w:p>
    <w:p w14:paraId="0010003E" w14:textId="0010003F">
      <w:pPr>
        <w:spacing w:after="120"/>
      </w:pPr>
      <w:r>
        <w:rPr>
          <w:sz w:val="22"/>
        </w:rPr>
        <w:t xml:space="preserve">The table below summarises the key dataset properties: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0" w14:textId="00100041">
            <w:r>
              <w:t xml:space="preserve">Property</w:t>
            </w:r>
          </w:p>
        </w:tc>
        <w:tc>
          <w:p w14:paraId="00100042" w14:textId="00100043">
            <w:r>
              <w:t xml:space="preserve">Value</w:t>
            </w:r>
          </w:p>
        </w:tc>
      </w:tr>
      <w:tr>
        <w:trPr/>
        <w:tc>
          <w:p w14:paraId="00100044" w14:textId="00100045">
            <w:r>
              <w:t xml:space="preserve">Total Observations</w:t>
            </w:r>
          </w:p>
        </w:tc>
        <w:tc>
          <w:p w14:paraId="00100046" w14:textId="00100047">
            <w:r>
              <w:t xml:space="preserve">284,807 transactions</w:t>
            </w:r>
          </w:p>
        </w:tc>
      </w:tr>
      <w:tr>
        <w:trPr/>
        <w:tc>
          <w:p w14:paraId="00100048" w14:textId="00100049">
            <w:r>
              <w:t xml:space="preserve">Fraudulent Transactions</w:t>
            </w:r>
          </w:p>
        </w:tc>
        <w:tc>
          <w:p w14:paraId="0010004A" w14:textId="0010004B">
            <w:r>
              <w:t xml:space="preserve">492 (approx. 0.17%)</w:t>
            </w:r>
          </w:p>
        </w:tc>
      </w:tr>
      <w:tr>
        <w:trPr/>
        <w:tc>
          <w:p w14:paraId="0010004C" w14:textId="0010004D">
            <w:r>
              <w:t xml:space="preserve">Legitimate Transactions</w:t>
            </w:r>
          </w:p>
        </w:tc>
        <w:tc>
          <w:p w14:paraId="0010004E" w14:textId="0010004F">
            <w:r>
              <w:t xml:space="preserve">284,315 (approx. 99.83%)</w:t>
            </w:r>
          </w:p>
        </w:tc>
      </w:tr>
      <w:tr>
        <w:trPr/>
        <w:tc>
          <w:p w14:paraId="00100050" w14:textId="00100051">
            <w:r>
              <w:t xml:space="preserve">Number of Features</w:t>
            </w:r>
          </w:p>
        </w:tc>
        <w:tc>
          <w:p w14:paraId="00100052" w14:textId="00100053">
            <w:r>
              <w:t xml:space="preserve">30 (excluding target column)</w:t>
            </w:r>
          </w:p>
        </w:tc>
      </w:tr>
      <w:tr>
        <w:trPr/>
        <w:tc>
          <w:p w14:paraId="00100054" w14:textId="00100055">
            <w:r>
              <w:t xml:space="preserve">Target Column</w:t>
            </w:r>
          </w:p>
        </w:tc>
        <w:tc>
          <w:p w14:paraId="00100056" w14:textId="00100057">
            <w:r>
              <w:t xml:space="preserve">Class  —  0 = Legitimate,  1 = Fraud</w:t>
            </w:r>
          </w:p>
        </w:tc>
      </w:tr>
      <w:tr>
        <w:trPr/>
        <w:tc>
          <w:p w14:paraId="00100058" w14:textId="00100059">
            <w:r>
              <w:t xml:space="preserve">Missing Values</w:t>
            </w:r>
          </w:p>
        </w:tc>
        <w:tc>
          <w:p w14:paraId="0010005A" w14:textId="0010005B">
            <w:r>
              <w:t xml:space="preserve">None</w:t>
            </w:r>
          </w:p>
        </w:tc>
      </w:tr>
      <w:tr>
        <w:trPr/>
        <w:tc>
          <w:p w14:paraId="0010005C" w14:textId="0010005D">
            <w:r>
              <w:t xml:space="preserve">Dataset License</w:t>
            </w:r>
          </w:p>
        </w:tc>
        <w:tc>
          <w:p w14:paraId="0010005E" w14:textId="0010005F">
            <w:r>
              <w:t xml:space="preserve">Open Database License (ODbL)</w:t>
            </w:r>
          </w:p>
        </w:tc>
      </w:tr>
    </w:tbl>
    <w:p w14:paraId="00100060" w14:textId="00100061">
      <w:pPr>
        <w:spacing w:after="80"/>
      </w:pPr>
      <w:r>
        <w:rPr/>
        <w:t xml:space="preserve"/>
      </w:r>
    </w:p>
    <w:p w14:paraId="00100062" w14:textId="00100063">
      <w:pPr>
        <w:pStyle w:val="Heading2"/>
        <w:spacing w:before="200" w:after="120"/>
      </w:pPr>
      <w:r>
        <w:rPr>
          <w:b/>
          <w:sz w:val="28"/>
        </w:rPr>
        <w:t xml:space="preserve">4.3 Feature Description</w:t>
      </w:r>
    </w:p>
    <w:p w14:paraId="00100064" w14:textId="00100065">
      <w:pPr>
        <w:spacing w:after="120"/>
      </w:pPr>
      <w:r>
        <w:rPr>
          <w:sz w:val="22"/>
        </w:rPr>
        <w:t xml:space="preserve">The dataset contains 31 columns. All features are numerical (float64); no categorical encoding is required.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6" w14:textId="00100067">
            <w:r>
              <w:t xml:space="preserve">Feature</w:t>
            </w:r>
          </w:p>
        </w:tc>
        <w:tc>
          <w:p w14:paraId="00100068" w14:textId="00100069">
            <w:r>
              <w:t xml:space="preserve">Description</w:t>
            </w:r>
          </w:p>
        </w:tc>
      </w:tr>
      <w:tr>
        <w:trPr/>
        <w:tc>
          <w:p w14:paraId="0010006A" w14:textId="0010006B">
            <w:r>
              <w:t xml:space="preserve">Time</w:t>
            </w:r>
          </w:p>
        </w:tc>
        <w:tc>
          <w:p w14:paraId="0010006C" w14:textId="0010006D">
            <w:r>
              <w:t xml:space="preserve">Seconds elapsed since the first transaction in the dataset (spans approx. 2 days)</w:t>
            </w:r>
          </w:p>
        </w:tc>
      </w:tr>
      <w:tr>
        <w:trPr/>
        <w:tc>
          <w:p w14:paraId="0010006E" w14:textId="0010006F">
            <w:r>
              <w:t xml:space="preserve">Amount</w:t>
            </w:r>
          </w:p>
        </w:tc>
        <w:tc>
          <w:p w14:paraId="00100070" w14:textId="00100071">
            <w:r>
              <w:t xml:space="preserve">Transaction amount in Euros; right-skewed distribution</w:t>
            </w:r>
          </w:p>
        </w:tc>
      </w:tr>
      <w:tr>
        <w:trPr/>
        <w:tc>
          <w:p w14:paraId="00100072" w14:textId="00100073">
            <w:r>
              <w:t xml:space="preserve">V1 – V28</w:t>
            </w:r>
          </w:p>
        </w:tc>
        <w:tc>
          <w:p w14:paraId="00100074" w14:textId="00100075">
            <w:r>
              <w:t xml:space="preserve">Anonymised, PCA-transformed numerical features protecting cardholder confidentiality</w:t>
            </w:r>
          </w:p>
        </w:tc>
      </w:tr>
      <w:tr>
        <w:trPr/>
        <w:tc>
          <w:p w14:paraId="00100076" w14:textId="00100077">
            <w:r>
              <w:t xml:space="preserve">Class</w:t>
            </w:r>
          </w:p>
        </w:tc>
        <w:tc>
          <w:p w14:paraId="00100078" w14:textId="00100079">
            <w:r>
              <w:t xml:space="preserve">Target label: 0 = Legitimate transaction,  1 = Fraudulent transaction</w:t>
            </w:r>
          </w:p>
        </w:tc>
      </w:tr>
    </w:tbl>
    <w:p w14:paraId="0010007A" w14:textId="0010007B">
      <w:pPr>
        <w:spacing w:after="80"/>
      </w:pPr>
      <w:r>
        <w:rPr/>
        <w:t xml:space="preserve"/>
      </w:r>
    </w:p>
    <w:p w14:paraId="0010007C" w14:textId="0010007D">
      <w:pPr>
        <w:spacing w:after="160"/>
      </w:pPr>
      <w:r>
        <w:rPr>
          <w:color w:val="57606A"/>
          <w:sz w:val="22"/>
        </w:rPr>
        <w:t xml:space="preserve">Note: V1 through V28 are anonymised PCA-transformed features. The original feature names and business meanings are not disclosed to protect cardholder confidentiality. Direct domain interpretation of these features is not possible.</w:t>
      </w:r>
    </w:p>
    <w:p w14:paraId="0010007E" w14:textId="0010007F">
      <w:pPr>
        <w:pStyle w:val="Heading1"/>
        <w:spacing w:before="280" w:after="160"/>
      </w:pPr>
      <w:r>
        <w:rPr>
          <w:b/>
          <w:sz w:val="36"/>
        </w:rPr>
        <w:t xml:space="preserve">5. Exploratory Data Analysis</w:t>
      </w:r>
    </w:p>
    <w:p w14:paraId="00100080" w14:textId="00100081">
      <w:pPr>
        <w:pStyle w:val="Heading2"/>
        <w:spacing w:before="200" w:after="120"/>
      </w:pPr>
      <w:r>
        <w:rPr>
          <w:b/>
          <w:sz w:val="28"/>
        </w:rPr>
        <w:t xml:space="preserve">5.1 Dataset Structure</w:t>
      </w:r>
    </w:p>
    <w:p w14:paraId="00100082" w14:textId="00100083">
      <w:pPr>
        <w:spacing w:after="160"/>
      </w:pPr>
      <w:r>
        <w:rPr>
          <w:sz w:val="22"/>
        </w:rPr>
        <w:t xml:space="preserve">The dataset loads as a 284,807-row by 31-column DataFrame. All 31 columns contain numeric (float64) values. No categorical encoding is required, which simplifies the preprocessing pipeline considerably.</w:t>
      </w:r>
    </w:p>
    <w:p w14:paraId="00100084" w14:textId="00100085">
      <w:pPr>
        <w:pStyle w:val="Heading2"/>
        <w:spacing w:before="200" w:after="120"/>
      </w:pPr>
      <w:r>
        <w:rPr>
          <w:b/>
          <w:sz w:val="28"/>
        </w:rPr>
        <w:t xml:space="preserve">5.2 Missing Values</w:t>
      </w:r>
    </w:p>
    <w:p w14:paraId="00100086" w14:textId="00100087">
      <w:pPr>
        <w:spacing w:after="160"/>
      </w:pPr>
      <w:r>
        <w:rPr>
          <w:sz w:val="22"/>
        </w:rPr>
        <w:t xml:space="preserve">A systematic isnull().sum() check confirms that no features contain missing values. This removes the need for imputation strategies such as mean, median, or KNN filling, and simplifies the preprocessing stage. This finding is consistent with the dataset documentation published by MLG-ULB on Kaggle.</w:t>
      </w:r>
    </w:p>
    <w:p w14:paraId="00100088" w14:textId="00100089">
      <w:pPr>
        <w:pStyle w:val="Heading2"/>
        <w:spacing w:before="200" w:after="120"/>
      </w:pPr>
      <w:r>
        <w:rPr>
          <w:b/>
          <w:sz w:val="28"/>
        </w:rPr>
        <w:t xml:space="preserve">5.3 Duplicate Records</w:t>
      </w:r>
    </w:p>
    <w:p w14:paraId="0010008A" w14:textId="0010008B">
      <w:pPr>
        <w:spacing w:after="160"/>
      </w:pPr>
      <w:r>
        <w:rPr>
          <w:sz w:val="22"/>
        </w:rPr>
        <w:t xml:space="preserve">Duplicate rows are checked using df.duplicated().sum(). A small number of exact duplicates (all 31 columns identical) may be present in the dataset. In a transaction context, duplicate rows could represent real repeated transactions (same amount, same elapsed second) or data entry artefacts. For this project, duplicates are dropped after explicit confirmation to prevent the model from training on repeated identical records, which could introduce subtle memorisation bias without adding genuine pattern diversity.</w:t>
      </w:r>
    </w:p>
    <w:p w14:paraId="0010008C" w14:textId="0010008D">
      <w:pPr>
        <w:pStyle w:val="Heading2"/>
        <w:spacing w:before="200" w:after="120"/>
      </w:pPr>
      <w:r>
        <w:rPr>
          <w:b/>
          <w:sz w:val="28"/>
        </w:rPr>
        <w:t xml:space="preserve">5.4 Class Imbalance</w:t>
      </w:r>
    </w:p>
    <w:p w14:paraId="0010008E" w14:textId="0010008F">
      <w:pPr>
        <w:spacing w:after="160"/>
      </w:pPr>
      <w:r>
        <w:rPr>
          <w:sz w:val="22"/>
        </w:rPr>
        <w:t xml:space="preserve">The class distribution is severely imbalanced: Class 0 (Legitimate) accounts for approximately 284,315 transactions (99.83%), while Class 1 (Fraud) accounts for only 492 transactions (0.17%). This imbalance motivates the use of SMOTE and the selection of PR-AUC as a primary evaluation metric. A classifier that always predicts Legitimate achieves 99.83% accuracy yet detects zero frauds — demonstrating why accuracy is an inappropriate metric for this problem.</w:t>
      </w:r>
    </w:p>
    <w:p w14:paraId="00100090" w14:textId="00100091">
      <w:pPr>
        <w:pStyle w:val="Heading2"/>
        <w:spacing w:before="200" w:after="120"/>
      </w:pPr>
      <w:r>
        <w:rPr>
          <w:b/>
          <w:sz w:val="28"/>
        </w:rPr>
        <w:t xml:space="preserve">5.5 Transaction Amount Analysis</w:t>
      </w:r>
    </w:p>
    <w:p w14:paraId="00100092" w14:textId="00100093">
      <w:pPr>
        <w:spacing w:after="160"/>
      </w:pPr>
      <w:r>
        <w:rPr>
          <w:sz w:val="22"/>
        </w:rPr>
        <w:t xml:space="preserve">The Amount feature is right-skewed, with the majority of transactions below EUR 100 and a long tail extending to several thousand Euros. Fraudulent transactions tend to cluster at lower median amounts compared to legitimate ones, though the distributions overlap significantly. This overlap confirms that Amount alone is insufficient for reliable fraud detection and that multi-feature modelling is necessary. Amount requires standardisation before modelling, which is applied post-split using StandardScaler.</w:t>
      </w:r>
    </w:p>
    <w:p w14:paraId="00100094" w14:textId="00100095">
      <w:pPr>
        <w:pStyle w:val="Heading2"/>
        <w:spacing w:before="200" w:after="120"/>
      </w:pPr>
      <w:r>
        <w:rPr>
          <w:b/>
          <w:sz w:val="28"/>
        </w:rPr>
        <w:t xml:space="preserve">5.6 Time Feature Analysis</w:t>
      </w:r>
    </w:p>
    <w:p w14:paraId="00100096" w14:textId="00100097">
      <w:pPr>
        <w:spacing w:after="160"/>
      </w:pPr>
      <w:r>
        <w:rPr>
          <w:sz w:val="22"/>
        </w:rPr>
        <w:t xml:space="preserve">The Time feature represents seconds elapsed since the first transaction in the dataset (not a standard clock timestamp) and spans approximately 172,800 seconds across two days. Its distribution shows two peaks corresponding to daytime activity on Day 1 and Day 2. Time is retained and standardised along with Amount. The V1-V28 features are already in a normalised PCA space and do not require further scaling.</w:t>
      </w:r>
    </w:p>
    <w:p w14:paraId="00100098" w14:textId="00100099">
      <w:pPr>
        <w:pStyle w:val="Heading2"/>
        <w:spacing w:before="200" w:after="120"/>
      </w:pPr>
      <w:r>
        <w:rPr>
          <w:b/>
          <w:sz w:val="28"/>
        </w:rPr>
        <w:t xml:space="preserve">5.7 Key EDA Observations</w:t>
      </w:r>
    </w:p>
    <w:p w14:paraId="0010009A" w14:textId="0010009B">
      <w:pPr>
        <w:spacing w:after="80"/>
      </w:pPr>
      <w:r>
        <w:rPr>
          <w:sz w:val="22"/>
        </w:rPr>
        <w:t xml:space="preserve">1.  No missing data — preprocessing is simplified.</w:t>
      </w:r>
    </w:p>
    <w:p w14:paraId="0010009C" w14:textId="0010009D">
      <w:pPr>
        <w:spacing w:after="80"/>
      </w:pPr>
      <w:r>
        <w:rPr>
          <w:sz w:val="22"/>
        </w:rPr>
        <w:t xml:space="preserve">2.  Extreme class imbalance (0.17% fraud) requires dedicated handling via SMOTE.</w:t>
      </w:r>
    </w:p>
    <w:p w14:paraId="0010009E" w14:textId="0010009F">
      <w:pPr>
        <w:spacing w:after="80"/>
      </w:pPr>
      <w:r>
        <w:rPr>
          <w:sz w:val="22"/>
        </w:rPr>
        <w:t xml:space="preserve">3.  All features are numerical — no categorical encoding required.</w:t>
      </w:r>
    </w:p>
    <w:p w14:paraId="001000A0" w14:textId="001000A1">
      <w:pPr>
        <w:spacing w:after="80"/>
      </w:pPr>
      <w:r>
        <w:rPr>
          <w:sz w:val="22"/>
        </w:rPr>
        <w:t xml:space="preserve">4.  PCA features prevent direct domain interpretation of individual features.</w:t>
      </w:r>
    </w:p>
    <w:p w14:paraId="001000A2" w14:textId="001000A3">
      <w:pPr>
        <w:spacing w:after="160"/>
      </w:pPr>
      <w:r>
        <w:rPr>
          <w:sz w:val="22"/>
        </w:rPr>
        <w:t xml:space="preserve">5.  Amount and Time are the only features with potential direct business meaning.</w:t>
      </w:r>
    </w:p>
    <w:p w14:paraId="001000A4" w14:textId="001000A5">
      <w:pPr>
        <w:pStyle w:val="Heading1"/>
        <w:spacing w:before="280" w:after="160"/>
      </w:pPr>
      <w:r>
        <w:rPr>
          <w:b/>
          <w:sz w:val="36"/>
        </w:rPr>
        <w:t xml:space="preserve">6. Data Preprocessing</w:t>
      </w:r>
    </w:p>
    <w:p w14:paraId="001000A6" w14:textId="001000A7">
      <w:pPr>
        <w:pStyle w:val="Heading2"/>
        <w:spacing w:before="200" w:after="120"/>
      </w:pPr>
      <w:r>
        <w:rPr>
          <w:b/>
          <w:sz w:val="28"/>
        </w:rPr>
        <w:t xml:space="preserve">6.1 Train-Test Split</w:t>
      </w:r>
    </w:p>
    <w:p w14:paraId="001000A8" w14:textId="001000A9">
      <w:pPr>
        <w:spacing w:after="120"/>
      </w:pPr>
      <w:r>
        <w:rPr>
          <w:sz w:val="22"/>
        </w:rPr>
        <w:t xml:space="preserve">The dataset is split into training (80%) and testing (20%) sets using a stratified split. Stratification is critical here: because fraud accounts for only 0.17% of records, an unstratified random split could by chance place disproportionately few or many fraud cases in the test set. Using stratify=y ensures both splits maintain approximately the same class ratio as the original dataset.</w:t>
      </w:r>
    </w:p>
    <w:p w14:paraId="001000AA" w14:textId="001000AB">
      <w:pPr>
        <w:spacing w:after="160"/>
      </w:pPr>
      <w:r>
        <w:rPr>
          <w:color w:val="57606A"/>
          <w:sz w:val="22"/>
        </w:rPr>
        <w:t xml:space="preserve">Training set: approximately 227,845 rows  |  Test set: approximately 56,962 rows  |  Fraud in test set: approximately 98 cases</w:t>
      </w:r>
    </w:p>
    <w:p w14:paraId="001000AC" w14:textId="001000AD">
      <w:pPr>
        <w:pStyle w:val="Heading2"/>
        <w:spacing w:before="200" w:after="120"/>
      </w:pPr>
      <w:r>
        <w:rPr>
          <w:b/>
          <w:sz w:val="28"/>
        </w:rPr>
        <w:t xml:space="preserve">6.2 Feature Scaling</w:t>
      </w:r>
    </w:p>
    <w:p w14:paraId="001000AE" w14:textId="001000AF">
      <w:pPr>
        <w:spacing w:after="160"/>
      </w:pPr>
      <w:r>
        <w:rPr>
          <w:sz w:val="22"/>
        </w:rPr>
        <w:t xml:space="preserve">Only Amount and Time require scaling; V1-V28 are already in a normalised PCA space. StandardScaler is applied. The critical methodological requirement is that the scaler is fitted only on training data (fit_transform) and applied via transform-only to the test set. Fitting the scaler on the full dataset would allow test-set statistics to influence the training transformation — a form of data leakage that would produce overly optimistic evaluation results.</w:t>
      </w:r>
    </w:p>
    <w:p w14:paraId="001000B0" w14:textId="001000B1">
      <w:pPr>
        <w:pStyle w:val="Heading2"/>
        <w:spacing w:before="200" w:after="120"/>
      </w:pPr>
      <w:r>
        <w:rPr>
          <w:b/>
          <w:sz w:val="28"/>
        </w:rPr>
        <w:t xml:space="preserve">6.3 Class Imbalance Handling (SMOTE)</w:t>
      </w:r>
    </w:p>
    <w:p w14:paraId="001000B2" w14:textId="001000B3">
      <w:pPr>
        <w:spacing w:after="120"/>
      </w:pPr>
      <w:r>
        <w:rPr>
          <w:sz w:val="22"/>
        </w:rPr>
        <w:t xml:space="preserve">Synthetic Minority Over-sampling Technique (SMOTE) is applied to the training set only. SMOTE generates synthetic fraud examples by interpolating between existing minority-class samples in feature space. This creates a more balanced training distribution without simply duplicating examples. The test set is never resampled — it retains the original class distribution so that evaluation metrics reflect real-world conditions.</w:t>
      </w:r>
    </w:p>
    <w:p w14:paraId="001000B4" w14:textId="001000B5">
      <w:pPr>
        <w:spacing w:after="160"/>
      </w:pPr>
      <w:r>
        <w:rPr>
          <w:color w:val="57606A"/>
          <w:sz w:val="22"/>
        </w:rPr>
        <w:t xml:space="preserve">Before SMOTE: approx. 227,449 legitimate / 394 fraud in training set. After SMOTE: approx. 227,449 legitimate / 227,449 fraud (balanced).</w:t>
      </w:r>
    </w:p>
    <w:p w14:paraId="001000B6" w14:textId="001000B7">
      <w:pPr>
        <w:pStyle w:val="Heading2"/>
        <w:spacing w:before="200" w:after="120"/>
      </w:pPr>
      <w:r>
        <w:rPr>
          <w:b/>
          <w:sz w:val="28"/>
        </w:rPr>
        <w:t xml:space="preserve">6.4 Data Leakage Prevention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8" w14:textId="001000B9">
            <w:r>
              <w:t xml:space="preserve">Operation</w:t>
            </w:r>
          </w:p>
        </w:tc>
        <w:tc>
          <w:p w14:paraId="001000BA" w14:textId="001000BB">
            <w:r>
              <w:t xml:space="preserve">Correct Approach Applied</w:t>
            </w:r>
          </w:p>
        </w:tc>
      </w:tr>
      <w:tr>
        <w:trPr/>
        <w:tc>
          <w:p w14:paraId="001000BC" w14:textId="001000BD">
            <w:r>
              <w:t xml:space="preserve">Train-test split</w:t>
            </w:r>
          </w:p>
        </w:tc>
        <w:tc>
          <w:p w14:paraId="001000BE" w14:textId="001000BF">
            <w:r>
              <w:t xml:space="preserve">Performed before all transformations</w:t>
            </w:r>
          </w:p>
        </w:tc>
      </w:tr>
      <w:tr>
        <w:trPr/>
        <w:tc>
          <w:p w14:paraId="001000C0" w14:textId="001000C1">
            <w:r>
              <w:t xml:space="preserve">StandardScaler</w:t>
            </w:r>
          </w:p>
        </w:tc>
        <w:tc>
          <w:p w14:paraId="001000C2" w14:textId="001000C3">
            <w:r>
              <w:t xml:space="preserve">fit_transform on train only; transform on test only</w:t>
            </w:r>
          </w:p>
        </w:tc>
      </w:tr>
      <w:tr>
        <w:trPr/>
        <w:tc>
          <w:p w14:paraId="001000C4" w14:textId="001000C5">
            <w:r>
              <w:t xml:space="preserve">SMOTE</w:t>
            </w:r>
          </w:p>
        </w:tc>
        <w:tc>
          <w:p w14:paraId="001000C6" w14:textId="001000C7">
            <w:r>
              <w:t xml:space="preserve">Applied to training data only; test set never resampled</w:t>
            </w:r>
          </w:p>
        </w:tc>
      </w:tr>
      <w:tr>
        <w:trPr/>
        <w:tc>
          <w:p w14:paraId="001000C8" w14:textId="001000C9">
            <w:r>
              <w:t xml:space="preserve">Model selection</w:t>
            </w:r>
          </w:p>
        </w:tc>
        <w:tc>
          <w:p w14:paraId="001000CA" w14:textId="001000CB">
            <w:r>
              <w:t xml:space="preserve">Cross-validation on train; final evaluation once on test</w:t>
            </w:r>
          </w:p>
        </w:tc>
      </w:tr>
    </w:tbl>
    <w:p w14:paraId="001000CC" w14:textId="001000CD">
      <w:pPr>
        <w:spacing w:after="80"/>
      </w:pPr>
      <w:r>
        <w:rPr/>
        <w:t xml:space="preserve"/>
      </w:r>
    </w:p>
    <w:p w14:paraId="001000CE" w14:textId="001000CF">
      <w:pPr>
        <w:pStyle w:val="Heading1"/>
        <w:spacing w:before="280" w:after="160"/>
      </w:pPr>
      <w:r>
        <w:rPr>
          <w:b/>
          <w:sz w:val="36"/>
        </w:rPr>
        <w:t xml:space="preserve">7. Machine Learning Models</w:t>
      </w:r>
    </w:p>
    <w:p w14:paraId="001000D0" w14:textId="001000D1">
      <w:pPr>
        <w:pStyle w:val="Heading2"/>
        <w:spacing w:before="200" w:after="120"/>
      </w:pPr>
      <w:r>
        <w:rPr>
          <w:b/>
          <w:sz w:val="28"/>
        </w:rPr>
        <w:t xml:space="preserve">7.1 Logistic Regression</w:t>
      </w:r>
    </w:p>
    <w:p w14:paraId="001000D2" w14:textId="001000D3">
      <w:pPr>
        <w:spacing w:after="160"/>
      </w:pPr>
      <w:r>
        <w:rPr>
          <w:sz w:val="22"/>
        </w:rPr>
        <w:t xml:space="preserve">Logistic Regression models the probability of a binary outcome using a sigmoid function applied to a linear combination of input features. It is computationally efficient, provides directly interpretable coefficients, and serves as a strong linear baseline. The class_weight='balanced' parameter is used to compensate for class imbalance at the model level. Suitability: fast training, interpretable, establishes a linear lower bound for model performance comparison.</w:t>
      </w:r>
    </w:p>
    <w:p w14:paraId="001000D4" w14:textId="001000D5">
      <w:pPr>
        <w:pStyle w:val="Heading2"/>
        <w:spacing w:before="200" w:after="120"/>
      </w:pPr>
      <w:r>
        <w:rPr>
          <w:b/>
          <w:sz w:val="28"/>
        </w:rPr>
        <w:t xml:space="preserve">7.2 Decision Tree</w:t>
      </w:r>
    </w:p>
    <w:p w14:paraId="001000D6" w14:textId="001000D7">
      <w:pPr>
        <w:spacing w:after="160"/>
      </w:pPr>
      <w:r>
        <w:rPr>
          <w:sz w:val="22"/>
        </w:rPr>
        <w:t xml:space="preserve">A Decision Tree classifier recursively partitions the feature space by selecting splits that maximise information gain or minimise Gini impurity. It is highly interpretable — the full decision path for any prediction can be traced through the tree. However, Decision Trees are prone to overfitting on training data, which is expected to limit generalisation. class_weight='balanced' is applied. Max depth is set to 10 to reduce overfitting.</w:t>
      </w:r>
    </w:p>
    <w:p w14:paraId="001000D8" w14:textId="001000D9">
      <w:pPr>
        <w:pStyle w:val="Heading2"/>
        <w:spacing w:before="200" w:after="120"/>
      </w:pPr>
      <w:r>
        <w:rPr>
          <w:b/>
          <w:sz w:val="28"/>
        </w:rPr>
        <w:t xml:space="preserve">7.3 Random Forest</w:t>
      </w:r>
    </w:p>
    <w:p w14:paraId="001000DA" w14:textId="001000DB">
      <w:pPr>
        <w:spacing w:after="160"/>
      </w:pPr>
      <w:r>
        <w:rPr>
          <w:sz w:val="22"/>
        </w:rPr>
        <w:t xml:space="preserve">Random Forest is a bagging ensemble of decorrelated decision trees. Each tree is trained on a bootstrap sample of the training data, and predictions are aggregated by majority vote. Decorrelation is achieved by restricting each split to a random subset of features. This ensemble approach reduces variance compared to a single decision tree. Random Forest is typically robust to overfitting, handles class imbalance well with class_weight='balanced', and produces reliable feature importance estimates via mean decrease in impurity.</w:t>
      </w:r>
    </w:p>
    <w:p w14:paraId="001000DC" w14:textId="001000DD">
      <w:pPr>
        <w:pStyle w:val="Heading2"/>
        <w:spacing w:before="200" w:after="120"/>
      </w:pPr>
      <w:r>
        <w:rPr>
          <w:b/>
          <w:sz w:val="28"/>
        </w:rPr>
        <w:t xml:space="preserve">7.4 Gradient Boosting</w:t>
      </w:r>
    </w:p>
    <w:p w14:paraId="001000DE" w14:textId="001000DF">
      <w:pPr>
        <w:spacing w:after="160"/>
      </w:pPr>
      <w:r>
        <w:rPr>
          <w:sz w:val="22"/>
        </w:rPr>
        <w:t xml:space="preserve">Gradient Boosting builds an ensemble sequentially: each tree is trained to predict the residual errors of the preceding ensemble. The scikit-learn GradientBoostingClassifier implementation is used. Unlike bagging (Random Forest), boosting is a sequential, adaptive process that focuses on harder-to-classify examples. It is a powerful algorithm on tabular data and often achieves strong performance on imbalanced classification. Because GradientBoostingClassifier does not natively support class_weight, the imbalance is handled through the upstream SMOTE step.</w:t>
      </w:r>
    </w:p>
    <w:p w14:paraId="001000E0" w14:textId="001000E1">
      <w:pPr>
        <w:pStyle w:val="Heading1"/>
        <w:spacing w:before="280" w:after="160"/>
      </w:pPr>
      <w:r>
        <w:rPr>
          <w:b/>
          <w:sz w:val="36"/>
        </w:rPr>
        <w:t xml:space="preserve">8. Model Evaluation</w:t>
      </w:r>
    </w:p>
    <w:p w14:paraId="001000E2" w14:textId="001000E3">
      <w:pPr>
        <w:pStyle w:val="Heading2"/>
        <w:spacing w:before="200" w:after="120"/>
      </w:pPr>
      <w:r>
        <w:rPr>
          <w:b/>
          <w:sz w:val="28"/>
        </w:rPr>
        <w:t xml:space="preserve">8.1 Why Accuracy Is Insufficient</w:t>
      </w:r>
    </w:p>
    <w:p w14:paraId="001000E4" w14:textId="001000E5">
      <w:pPr>
        <w:spacing w:after="160"/>
      </w:pPr>
      <w:r>
        <w:rPr>
          <w:sz w:val="22"/>
        </w:rPr>
        <w:t xml:space="preserve">Given the class imbalance of approximately 99.83% legitimate transactions, a naive classifier that always predicts Legitimate achieves 99.83% accuracy but detects zero fraud cases. Accuracy is therefore a misleading metric for this problem and is reported only for completeness. The evaluation strategy prioritises Recall, F1-score, and PR-AUC.</w:t>
      </w:r>
    </w:p>
    <w:p w14:paraId="001000E6" w14:textId="001000E7">
      <w:pPr>
        <w:pStyle w:val="Heading2"/>
        <w:spacing w:before="200" w:after="120"/>
      </w:pPr>
      <w:r>
        <w:rPr>
          <w:b/>
          <w:sz w:val="28"/>
        </w:rPr>
        <w:t xml:space="preserve">8.2 Evaluation Metrics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8" w14:textId="001000E9">
            <w:r>
              <w:t xml:space="preserve">Metric</w:t>
            </w:r>
          </w:p>
        </w:tc>
        <w:tc>
          <w:p w14:paraId="001000EA" w14:textId="001000EB">
            <w:r>
              <w:t xml:space="preserve">Formula</w:t>
            </w:r>
          </w:p>
        </w:tc>
        <w:tc>
          <w:p w14:paraId="001000EC" w14:textId="001000ED">
            <w:r>
              <w:t xml:space="preserve">Relevance to Fraud Detection</w:t>
            </w:r>
          </w:p>
        </w:tc>
      </w:tr>
      <w:tr>
        <w:trPr/>
        <w:tc>
          <w:p w14:paraId="001000EE" w14:textId="001000EF">
            <w:r>
              <w:t xml:space="preserve">Accuracy</w:t>
            </w:r>
          </w:p>
        </w:tc>
        <w:tc>
          <w:p w14:paraId="001000F0" w14:textId="001000F1">
            <w:r>
              <w:t xml:space="preserve">(TP+TN) / Total</w:t>
            </w:r>
          </w:p>
        </w:tc>
        <w:tc>
          <w:p w14:paraId="001000F2" w14:textId="001000F3">
            <w:r>
              <w:t xml:space="preserve">Misleading under class imbalance; reported for completeness only</w:t>
            </w:r>
          </w:p>
        </w:tc>
      </w:tr>
      <w:tr>
        <w:trPr/>
        <w:tc>
          <w:p w14:paraId="001000F4" w14:textId="001000F5">
            <w:r>
              <w:t xml:space="preserve">Precision</w:t>
            </w:r>
          </w:p>
        </w:tc>
        <w:tc>
          <w:p w14:paraId="001000F6" w14:textId="001000F7">
            <w:r>
              <w:t xml:space="preserve">TP / (TP + FP)</w:t>
            </w:r>
          </w:p>
        </w:tc>
        <w:tc>
          <w:p w14:paraId="001000F8" w14:textId="001000F9">
            <w:r>
              <w:t xml:space="preserve">Of all fraud predictions, how many are correct? Reduces false alarms</w:t>
            </w:r>
          </w:p>
        </w:tc>
      </w:tr>
      <w:tr>
        <w:trPr/>
        <w:tc>
          <w:p w14:paraId="001000FA" w14:textId="001000FB">
            <w:r>
              <w:t xml:space="preserve">Recall (Sensitivity)</w:t>
            </w:r>
          </w:p>
        </w:tc>
        <w:tc>
          <w:p w14:paraId="001000FC" w14:textId="001000FD">
            <w:r>
              <w:t xml:space="preserve">TP / (TP + FN)</w:t>
            </w:r>
          </w:p>
        </w:tc>
        <w:tc>
          <w:p w14:paraId="001000FE" w14:textId="001000FF">
            <w:r>
              <w:t xml:space="preserve">Of all actual frauds, how many were detected? Primary objective metric</w:t>
            </w:r>
          </w:p>
        </w:tc>
      </w:tr>
      <w:tr>
        <w:trPr/>
        <w:tc>
          <w:p w14:paraId="00100100" w14:textId="00100101">
            <w:r>
              <w:t xml:space="preserve">F1-score</w:t>
            </w:r>
          </w:p>
        </w:tc>
        <w:tc>
          <w:p w14:paraId="00100102" w14:textId="00100103">
            <w:r>
              <w:t xml:space="preserve">2 x (Prec x Recall) / (Prec + Recall)</w:t>
            </w:r>
          </w:p>
        </w:tc>
        <w:tc>
          <w:p w14:paraId="00100104" w14:textId="00100105">
            <w:r>
              <w:t xml:space="preserve">Harmonic mean balancing precision and recall; key selection metric</w:t>
            </w:r>
          </w:p>
        </w:tc>
      </w:tr>
      <w:tr>
        <w:trPr/>
        <w:tc>
          <w:p w14:paraId="00100106" w14:textId="00100107">
            <w:r>
              <w:t xml:space="preserve">ROC-AUC</w:t>
            </w:r>
          </w:p>
        </w:tc>
        <w:tc>
          <w:p w14:paraId="00100108" w14:textId="00100109">
            <w:r>
              <w:t xml:space="preserve">Area under ROC curve</w:t>
            </w:r>
          </w:p>
        </w:tc>
        <w:tc>
          <w:p w14:paraId="0010010A" w14:textId="0010010B">
            <w:r>
              <w:t xml:space="preserve">Ranking/discrimination ability across all thresholds</w:t>
            </w:r>
          </w:p>
        </w:tc>
      </w:tr>
      <w:tr>
        <w:trPr/>
        <w:tc>
          <w:p w14:paraId="0010010C" w14:textId="0010010D">
            <w:r>
              <w:t xml:space="preserve">PR-AUC</w:t>
            </w:r>
          </w:p>
        </w:tc>
        <w:tc>
          <w:p w14:paraId="0010010E" w14:textId="0010010F">
            <w:r>
              <w:t xml:space="preserve">Area under PR curve</w:t>
            </w:r>
          </w:p>
        </w:tc>
        <w:tc>
          <w:p w14:paraId="00100110" w14:textId="00100111">
            <w:r>
              <w:t xml:space="preserve">Most informative metric for heavily imbalanced data; primary comparison metric</w:t>
            </w:r>
          </w:p>
        </w:tc>
      </w:tr>
    </w:tbl>
    <w:p w14:paraId="00100112" w14:textId="00100113">
      <w:pPr>
        <w:spacing w:after="80"/>
      </w:pPr>
      <w:r>
        <w:rPr/>
        <w:t xml:space="preserve"/>
      </w:r>
    </w:p>
    <w:p w14:paraId="00100114" w14:textId="00100115">
      <w:pPr>
        <w:pStyle w:val="Heading2"/>
        <w:spacing w:before="200" w:after="120"/>
      </w:pPr>
      <w:r>
        <w:rPr>
          <w:b/>
          <w:sz w:val="28"/>
        </w:rPr>
        <w:t xml:space="preserve">8.3 Confusion Matrix Interpretation</w:t>
      </w:r>
    </w:p>
    <w:p w14:paraId="00100116" w14:textId="00100117">
      <w:pPr>
        <w:spacing w:after="120"/>
      </w:pPr>
      <w:r>
        <w:rPr>
          <w:sz w:val="22"/>
        </w:rPr>
        <w:t xml:space="preserve">The confusion matrix for the final model identifies four outcome categories. True Positive (TP): fraud correctly detected — the ideal outcome. True Negative (TN): legitimate transaction correctly identified. False Negative (FN): fraud missed, classified as legitimate — the most costly error, representing direct financial loss to the cardholder or issuing bank. False Positive (FP): legitimate transaction incorrectly flagged as fraud — erodes customer trust and incurs operational cost from fraud investigations and declined transactions.</w:t>
      </w:r>
    </w:p>
    <w:p w14:paraId="00100118" w14:textId="00100119">
      <w:pPr>
        <w:spacing w:after="160"/>
      </w:pPr>
      <w:r>
        <w:rPr>
          <w:sz w:val="22"/>
        </w:rPr>
        <w:t xml:space="preserve">The relative cost of FN versus FP is a business decision. Most fraud detection systems accept a higher FP rate to minimise FN, reflecting the asymmetric cost structure of financial fraud.</w:t>
      </w:r>
    </w:p>
    <w:p w14:paraId="0010011A" w14:textId="0010011B">
      <w:pPr>
        <w:pStyle w:val="Heading1"/>
        <w:spacing w:before="280" w:after="160"/>
      </w:pPr>
      <w:r>
        <w:rPr>
          <w:b/>
          <w:sz w:val="36"/>
        </w:rPr>
        <w:t xml:space="preserve">9. Experimental Results</w:t>
      </w:r>
    </w:p>
    <w:p w14:paraId="0010011C" w14:textId="0010011D">
      <w:pPr>
        <w:spacing w:after="160"/>
      </w:pPr>
      <w:r>
        <w:rPr>
          <w:sz w:val="22"/>
        </w:rPr>
        <w:t xml:space="preserve">The table below contains the model comparison results generated by executing the notebook. All values are computed on the held-out test set (20% of the dataset, stratified). The table is sorted by PR-AUC, which is the primary comparison metric for this imbalanced classification problem. Populate this table by running the notebook end-to-end.</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11E" w14:textId="0010011F">
            <w:r>
              <w:t xml:space="preserve">Model</w:t>
            </w:r>
          </w:p>
        </w:tc>
        <w:tc>
          <w:p w14:paraId="00100120" w14:textId="00100121">
            <w:r>
              <w:t xml:space="preserve">Accuracy</w:t>
            </w:r>
          </w:p>
        </w:tc>
        <w:tc>
          <w:p w14:paraId="00100122" w14:textId="00100123">
            <w:r>
              <w:t xml:space="preserve">Precision</w:t>
            </w:r>
          </w:p>
        </w:tc>
        <w:tc>
          <w:p w14:paraId="00100124" w14:textId="00100125">
            <w:r>
              <w:t xml:space="preserve">Recall</w:t>
            </w:r>
          </w:p>
        </w:tc>
        <w:tc>
          <w:p w14:paraId="00100126" w14:textId="00100127">
            <w:r>
              <w:t xml:space="preserve">F1</w:t>
            </w:r>
          </w:p>
        </w:tc>
        <w:tc>
          <w:p w14:paraId="00100128" w14:textId="00100129">
            <w:r>
              <w:t xml:space="preserve">ROC-AUC</w:t>
            </w:r>
          </w:p>
        </w:tc>
        <w:tc>
          <w:p w14:paraId="0010012A" w14:textId="0010012B">
            <w:r>
              <w:t xml:space="preserve">PR-AUC</w:t>
            </w:r>
          </w:p>
        </w:tc>
      </w:tr>
      <w:tr>
        <w:trPr/>
        <w:tc>
          <w:p w14:paraId="0010012C" w14:textId="0010012D">
            <w:r>
              <w:t xml:space="preserve">Logistic Regression</w:t>
            </w:r>
          </w:p>
        </w:tc>
        <w:tc>
          <w:p w14:paraId="0010012E" w14:textId="0010012F">
            <w:r>
              <w:t xml:space="preserve">(notebook)</w:t>
            </w:r>
          </w:p>
        </w:tc>
        <w:tc>
          <w:p w14:paraId="00100130" w14:textId="00100131">
            <w:r>
              <w:t xml:space="preserve">(notebook)</w:t>
            </w:r>
          </w:p>
        </w:tc>
        <w:tc>
          <w:p w14:paraId="00100132" w14:textId="00100133">
            <w:r>
              <w:t xml:space="preserve">(notebook)</w:t>
            </w:r>
          </w:p>
        </w:tc>
        <w:tc>
          <w:p w14:paraId="00100134" w14:textId="00100135">
            <w:r>
              <w:t xml:space="preserve">(notebook)</w:t>
            </w:r>
          </w:p>
        </w:tc>
        <w:tc>
          <w:p w14:paraId="00100136" w14:textId="00100137">
            <w:r>
              <w:t xml:space="preserve">(notebook)</w:t>
            </w:r>
          </w:p>
        </w:tc>
        <w:tc>
          <w:p w14:paraId="00100138" w14:textId="00100139">
            <w:r>
              <w:t xml:space="preserve">(notebook)</w:t>
            </w:r>
          </w:p>
        </w:tc>
      </w:tr>
      <w:tr>
        <w:trPr/>
        <w:tc>
          <w:p w14:paraId="0010013A" w14:textId="0010013B">
            <w:r>
              <w:t xml:space="preserve">Decision Tree</w:t>
            </w:r>
          </w:p>
        </w:tc>
        <w:tc>
          <w:p w14:paraId="0010013C" w14:textId="0010013D">
            <w:r>
              <w:t xml:space="preserve">(notebook)</w:t>
            </w:r>
          </w:p>
        </w:tc>
        <w:tc>
          <w:p w14:paraId="0010013E" w14:textId="0010013F">
            <w:r>
              <w:t xml:space="preserve">(notebook)</w:t>
            </w:r>
          </w:p>
        </w:tc>
        <w:tc>
          <w:p w14:paraId="00100140" w14:textId="00100141">
            <w:r>
              <w:t xml:space="preserve">(notebook)</w:t>
            </w:r>
          </w:p>
        </w:tc>
        <w:tc>
          <w:p w14:paraId="00100142" w14:textId="00100143">
            <w:r>
              <w:t xml:space="preserve">(notebook)</w:t>
            </w:r>
          </w:p>
        </w:tc>
        <w:tc>
          <w:p w14:paraId="00100144" w14:textId="00100145">
            <w:r>
              <w:t xml:space="preserve">(notebook)</w:t>
            </w:r>
          </w:p>
        </w:tc>
        <w:tc>
          <w:p w14:paraId="00100146" w14:textId="00100147">
            <w:r>
              <w:t xml:space="preserve">(notebook)</w:t>
            </w:r>
          </w:p>
        </w:tc>
      </w:tr>
      <w:tr>
        <w:trPr/>
        <w:tc>
          <w:p w14:paraId="00100148" w14:textId="00100149">
            <w:r>
              <w:t xml:space="preserve">Random Forest</w:t>
            </w:r>
          </w:p>
        </w:tc>
        <w:tc>
          <w:p w14:paraId="0010014A" w14:textId="0010014B">
            <w:r>
              <w:t xml:space="preserve">(notebook)</w:t>
            </w:r>
          </w:p>
        </w:tc>
        <w:tc>
          <w:p w14:paraId="0010014C" w14:textId="0010014D">
            <w:r>
              <w:t xml:space="preserve">(notebook)</w:t>
            </w:r>
          </w:p>
        </w:tc>
        <w:tc>
          <w:p w14:paraId="0010014E" w14:textId="0010014F">
            <w:r>
              <w:t xml:space="preserve">(notebook)</w:t>
            </w:r>
          </w:p>
        </w:tc>
        <w:tc>
          <w:p w14:paraId="00100150" w14:textId="00100151">
            <w:r>
              <w:t xml:space="preserve">(notebook)</w:t>
            </w:r>
          </w:p>
        </w:tc>
        <w:tc>
          <w:p w14:paraId="00100152" w14:textId="00100153">
            <w:r>
              <w:t xml:space="preserve">(notebook)</w:t>
            </w:r>
          </w:p>
        </w:tc>
        <w:tc>
          <w:p w14:paraId="00100154" w14:textId="00100155">
            <w:r>
              <w:t xml:space="preserve">(notebook)</w:t>
            </w:r>
          </w:p>
        </w:tc>
      </w:tr>
      <w:tr>
        <w:trPr/>
        <w:tc>
          <w:p w14:paraId="00100156" w14:textId="00100157">
            <w:r>
              <w:t xml:space="preserve">Gradient Boosting</w:t>
            </w:r>
          </w:p>
        </w:tc>
        <w:tc>
          <w:p w14:paraId="00100158" w14:textId="00100159">
            <w:r>
              <w:t xml:space="preserve">(notebook)</w:t>
            </w:r>
          </w:p>
        </w:tc>
        <w:tc>
          <w:p w14:paraId="0010015A" w14:textId="0010015B">
            <w:r>
              <w:t xml:space="preserve">(notebook)</w:t>
            </w:r>
          </w:p>
        </w:tc>
        <w:tc>
          <w:p w14:paraId="0010015C" w14:textId="0010015D">
            <w:r>
              <w:t xml:space="preserve">(notebook)</w:t>
            </w:r>
          </w:p>
        </w:tc>
        <w:tc>
          <w:p w14:paraId="0010015E" w14:textId="0010015F">
            <w:r>
              <w:t xml:space="preserve">(notebook)</w:t>
            </w:r>
          </w:p>
        </w:tc>
        <w:tc>
          <w:p w14:paraId="00100160" w14:textId="00100161">
            <w:r>
              <w:t xml:space="preserve">(notebook)</w:t>
            </w:r>
          </w:p>
        </w:tc>
        <w:tc>
          <w:p w14:paraId="00100162" w14:textId="00100163">
            <w:r>
              <w:t xml:space="preserve">(notebook)</w:t>
            </w:r>
          </w:p>
        </w:tc>
      </w:tr>
      <w:tr>
        <w:trPr/>
        <w:tc>
          <w:p w14:paraId="00100164" w14:textId="00100165">
            <w:r>
              <w:t xml:space="preserve">Best Model (Tuned)</w:t>
            </w:r>
          </w:p>
        </w:tc>
        <w:tc>
          <w:p w14:paraId="00100166" w14:textId="00100167">
            <w:r>
              <w:t xml:space="preserve">(notebook)</w:t>
            </w:r>
          </w:p>
        </w:tc>
        <w:tc>
          <w:p w14:paraId="00100168" w14:textId="00100169">
            <w:r>
              <w:t xml:space="preserve">(notebook)</w:t>
            </w:r>
          </w:p>
        </w:tc>
        <w:tc>
          <w:p w14:paraId="0010016A" w14:textId="0010016B">
            <w:r>
              <w:t xml:space="preserve">(notebook)</w:t>
            </w:r>
          </w:p>
        </w:tc>
        <w:tc>
          <w:p w14:paraId="0010016C" w14:textId="0010016D">
            <w:r>
              <w:t xml:space="preserve">(notebook)</w:t>
            </w:r>
          </w:p>
        </w:tc>
        <w:tc>
          <w:p w14:paraId="0010016E" w14:textId="0010016F">
            <w:r>
              <w:t xml:space="preserve">(notebook)</w:t>
            </w:r>
          </w:p>
        </w:tc>
        <w:tc>
          <w:p w14:paraId="00100170" w14:textId="00100171">
            <w:r>
              <w:t xml:space="preserve">(notebook)</w:t>
            </w:r>
          </w:p>
        </w:tc>
      </w:tr>
    </w:tbl>
    <w:p w14:paraId="00100172" w14:textId="00100173">
      <w:pPr>
        <w:spacing w:after="80"/>
      </w:pPr>
      <w:r>
        <w:rPr/>
        <w:t xml:space="preserve"/>
      </w:r>
    </w:p>
    <w:p w14:paraId="00100174" w14:textId="00100175">
      <w:pPr>
        <w:spacing w:after="160"/>
      </w:pPr>
      <w:r>
        <w:rPr>
          <w:color w:val="57606A"/>
          <w:sz w:val="22"/>
        </w:rPr>
        <w:t xml:space="preserve">Note: Run the notebook (notebooks/credit_card_fraud_detection.ipynb) end-to-end to compute actual metric values. Do not substitute fabricated numbers.</w:t>
      </w:r>
    </w:p>
    <w:p w14:paraId="00100176" w14:textId="00100177">
      <w:pPr>
        <w:pStyle w:val="Heading1"/>
        <w:spacing w:before="280" w:after="160"/>
      </w:pPr>
      <w:r>
        <w:rPr>
          <w:b/>
          <w:sz w:val="36"/>
        </w:rPr>
        <w:t xml:space="preserve">10. Final Model Selection</w:t>
      </w:r>
    </w:p>
    <w:p w14:paraId="00100178" w14:textId="00100179">
      <w:pPr>
        <w:spacing w:after="160"/>
      </w:pPr>
      <w:r>
        <w:rPr>
          <w:sz w:val="22"/>
        </w:rPr>
        <w:t xml:space="preserve">The final model is selected as the algorithm achieving the best PR-AUC among models with competitive Recall and F1-score on the held-out test set. Hyperparameter tuning is performed using RandomizedSearchCV with stratified 5-fold cross-validation on the SMOTE-resampled training data, scoring on average_precision (PR-AUC). The test set is touched exactly once — for the final evaluation after tuning is complete.</w:t>
      </w:r>
    </w:p>
    <w:p w14:paraId="0010017A" w14:textId="0010017B">
      <w:pPr>
        <w:spacing w:after="160"/>
      </w:pPr>
      <w:r>
        <w:rPr>
          <w:b/>
          <w:sz w:val="22"/>
        </w:rPr>
        <w:t xml:space="preserve">Selection criterion: The best model was selected based on the balance between Recall, Precision, F1-score, and PR-AUC rather than accuracy alone, prioritising fraud detection capability over raw classification accuracy.</w:t>
      </w:r>
    </w:p>
    <w:p w14:paraId="0010017C" w14:textId="0010017D">
      <w:pPr>
        <w:pStyle w:val="Heading1"/>
        <w:spacing w:before="280" w:after="160"/>
      </w:pPr>
      <w:r>
        <w:rPr>
          <w:b/>
          <w:sz w:val="36"/>
        </w:rPr>
        <w:t xml:space="preserve">11. Threshold Analysis</w:t>
      </w:r>
    </w:p>
    <w:p w14:paraId="0010017E" w14:textId="0010017F">
      <w:pPr>
        <w:spacing w:after="160"/>
      </w:pPr>
      <w:r>
        <w:rPr>
          <w:sz w:val="22"/>
        </w:rPr>
        <w:t xml:space="preserve">The standard classification threshold of 0.5 is not necessarily optimal for fraud detection. By lowering the threshold, the classifier predicts fraud more aggressively — increasing Recall (fewer missed frauds) at the cost of Precision (more false alarms). By raising the threshold, the opposite effect is observed.</w:t>
      </w:r>
    </w:p>
    <w:p w14:paraId="00100180" w14:textId="00100181">
      <w:pPr>
        <w:spacing w:after="160"/>
      </w:pPr>
      <w:r>
        <w:rPr>
          <w:sz w:val="22"/>
        </w:rPr>
        <w:t xml:space="preserve">The notebook evaluates Precision, Recall, and F1-score at nine thresholds from 0.1 to 0.9. The optimal threshold is selected as the point that maximises F1-score. This analysis demonstrates that threshold selection is a business decision: a financial institution with strict loss-minimisation goals would select a lower threshold, while a system prioritising customer experience might accept a higher one.</w:t>
      </w:r>
    </w:p>
    <w:p w14:paraId="00100182" w14:textId="00100183">
      <w:pPr>
        <w:pStyle w:val="Heading1"/>
        <w:spacing w:before="280" w:after="160"/>
      </w:pPr>
      <w:r>
        <w:rPr>
          <w:b/>
          <w:sz w:val="36"/>
        </w:rPr>
        <w:t xml:space="preserve">12. Feature Importance and Interpretability</w:t>
      </w:r>
    </w:p>
    <w:p w14:paraId="00100184" w14:textId="00100185">
      <w:pPr>
        <w:spacing w:after="160"/>
      </w:pPr>
      <w:r>
        <w:rPr>
          <w:sz w:val="22"/>
        </w:rPr>
        <w:t xml:space="preserve">For tree-based models (Random Forest, Gradient Boosting, Decision Tree), feature importance is derived from the mean decrease in impurity across all trees. For Logistic Regression, feature importance is approximated by the absolute value of the standardised coefficients. The top 15 features are visualised in the notebook (Section 16).</w:t>
      </w:r>
    </w:p>
    <w:p w14:paraId="00100186" w14:textId="00100187">
      <w:pPr>
        <w:spacing w:after="160"/>
      </w:pPr>
      <w:r>
        <w:rPr>
          <w:sz w:val="22"/>
        </w:rPr>
        <w:t xml:space="preserve">Interpretation caveat: Features V1 through V28 are anonymised PCA components. While the model may assign high importance to specific V features, their meaning in terms of original transaction attributes — such as merchant type, time of day, geographic location, or card type — cannot be recovered from the published dataset. Amount is the only feature with direct monetary interpretation. Time reflects elapsed seconds and may capture day-versus-night transaction pattern differences.</w:t>
      </w:r>
    </w:p>
    <w:p w14:paraId="00100188" w14:textId="00100189">
      <w:pPr>
        <w:pStyle w:val="Heading1"/>
        <w:spacing w:before="280" w:after="160"/>
      </w:pPr>
      <w:r>
        <w:rPr>
          <w:b/>
          <w:sz w:val="36"/>
        </w:rPr>
        <w:t xml:space="preserve">13. Limitations</w:t>
      </w:r>
    </w:p>
    <w:p w14:paraId="0010018A" w14:textId="0010018B">
      <w:pPr>
        <w:spacing w:after="80"/>
      </w:pPr>
      <w:r>
        <w:rPr>
          <w:sz w:val="22"/>
        </w:rPr>
        <w:t xml:space="preserve">1.  Anonymised features: V1-V28 are PCA-transformed. Direct business interpretation of individual feature importance is not possible, limiting actionable insight for domain experts and compliance teams.</w:t>
      </w:r>
    </w:p>
    <w:p w14:paraId="0010018C" w14:textId="0010018D">
      <w:pPr>
        <w:spacing w:after="80"/>
      </w:pPr>
      <w:r>
        <w:rPr>
          <w:sz w:val="22"/>
        </w:rPr>
        <w:t xml:space="preserve">2.  Static, historical dataset: The model is trained on 2013 data from European cardholders. Fraud patterns evolve over time (concept drift), and the model's performance will degrade without periodic retraining on fresh labelled data.</w:t>
      </w:r>
    </w:p>
    <w:p w14:paraId="0010018E" w14:textId="0010018F">
      <w:pPr>
        <w:spacing w:after="80"/>
      </w:pPr>
      <w:r>
        <w:rPr>
          <w:sz w:val="22"/>
        </w:rPr>
        <w:t xml:space="preserve">3.  Geographic and temporal scope: Transactions are from a narrow geographic region over only two days. Generalisation to other geographies, card types, or time periods is not guaranteed.</w:t>
      </w:r>
    </w:p>
    <w:p w14:paraId="00100190" w14:textId="00100191">
      <w:pPr>
        <w:spacing w:after="80"/>
      </w:pPr>
      <w:r>
        <w:rPr>
          <w:sz w:val="22"/>
        </w:rPr>
        <w:t xml:space="preserve">4.  No transaction context: Features such as merchant category, cardholder spending history, device fingerprint, and geolocation are absent. Modern production fraud detection systems incorporate these signals for significantly stronger performance.</w:t>
      </w:r>
    </w:p>
    <w:p w14:paraId="00100192" w14:textId="00100193">
      <w:pPr>
        <w:spacing w:after="80"/>
      </w:pPr>
      <w:r>
        <w:rPr>
          <w:sz w:val="22"/>
        </w:rPr>
        <w:t xml:space="preserve">5.  Threshold dependency: Model performance is sensitive to the classification threshold. An operationally deployed system would require continuous threshold recalibration as fraud patterns change.</w:t>
      </w:r>
    </w:p>
    <w:p w14:paraId="00100194" w14:textId="00100195">
      <w:pPr>
        <w:spacing w:after="80"/>
      </w:pPr>
      <w:r>
        <w:rPr>
          <w:sz w:val="22"/>
        </w:rPr>
        <w:t xml:space="preserve">6.  SMOTE limitations: SMOTE generates synthetic samples via linear interpolation in feature space. In high-dimensional PCA space, these synthetic points may not accurately represent genuine fraud patterns.</w:t>
      </w:r>
    </w:p>
    <w:p w14:paraId="00100196" w14:textId="00100197">
      <w:pPr>
        <w:spacing w:after="160"/>
      </w:pPr>
      <w:r>
        <w:rPr>
          <w:sz w:val="22"/>
        </w:rPr>
        <w:t xml:space="preserve">7.  Not production-ready: The saved pipeline is suitable for offline inference demonstrations only. A production system would require real-time serving infrastructure, monitoring, versioning, and regulatory compliance validation.</w:t>
      </w:r>
    </w:p>
    <w:p w14:paraId="00100198" w14:textId="00100199">
      <w:pPr>
        <w:pStyle w:val="Heading1"/>
        <w:spacing w:before="280" w:after="160"/>
      </w:pPr>
      <w:r>
        <w:rPr>
          <w:b/>
          <w:sz w:val="36"/>
        </w:rPr>
        <w:t xml:space="preserve">14. Applications</w:t>
      </w:r>
    </w:p>
    <w:p w14:paraId="0010019A" w14:textId="0010019B">
      <w:pPr>
        <w:spacing w:after="120"/>
      </w:pPr>
      <w:r>
        <w:rPr>
          <w:sz w:val="22"/>
        </w:rPr>
        <w:t xml:space="preserve">The fraud detection methodology developed in this project is applicable across a range of financial and commercial domains:</w:t>
      </w:r>
    </w:p>
    <w:p w14:paraId="0010019C" w14:textId="0010019D">
      <w:pPr>
        <w:spacing w:after="160"/>
      </w:pPr>
      <w:r>
        <w:rPr>
          <w:sz w:val="22"/>
        </w:rPr>
        <w:t xml:space="preserve">Banking: Automated screening of card-not-present (CNP) transactions in real-time authorisation pipelines. Payment Gateways: Transaction scoring in payment processing networks such as Visa, Mastercard, and Stripe. Digital Wallets: Fraud detection in mobile payment platforms (Apple Pay, Google Pay, PayPal). E-commerce: Protecting merchants and customers from fraudulent online purchases. Financial Institutions: Monitoring internal transfer anomalies and account takeover attempts. Insurance: Detecting fraudulent claims using the same binary classification framing.</w:t>
      </w:r>
    </w:p>
    <w:p w14:paraId="0010019E" w14:textId="0010019F">
      <w:pPr>
        <w:pStyle w:val="Heading1"/>
        <w:spacing w:before="280" w:after="160"/>
      </w:pPr>
      <w:r>
        <w:rPr>
          <w:b/>
          <w:sz w:val="36"/>
        </w:rPr>
        <w:t xml:space="preserve">15. Future Scope</w:t>
      </w:r>
    </w:p>
    <w:p w14:paraId="001001A0" w14:textId="001001A1">
      <w:pPr>
        <w:spacing w:after="80"/>
      </w:pPr>
      <w:r>
        <w:rPr>
          <w:sz w:val="22"/>
        </w:rPr>
        <w:t xml:space="preserve">1.  Real-time fraud detection: Deploy the model as a low-latency scoring service integrated with transaction processing pipelines using Apache Kafka or AWS Kinesis for sub-100ms response times.</w:t>
      </w:r>
    </w:p>
    <w:p w14:paraId="001001A2" w14:textId="001001A3">
      <w:pPr>
        <w:spacing w:after="80"/>
      </w:pPr>
      <w:r>
        <w:rPr>
          <w:sz w:val="22"/>
        </w:rPr>
        <w:t xml:space="preserve">2.  Online and incremental learning: Algorithms that update continuously without full retraining, such as Hoeffding Trees or River-based models, to adapt to evolving fraud patterns.</w:t>
      </w:r>
    </w:p>
    <w:p w14:paraId="001001A4" w14:textId="001001A5">
      <w:pPr>
        <w:spacing w:after="80"/>
      </w:pPr>
      <w:r>
        <w:rPr>
          <w:sz w:val="22"/>
        </w:rPr>
        <w:t xml:space="preserve">3.  Concept drift detection: Monitor prediction confidence distributions over time using drift detectors such as ADWIN or Page-Hinkley to trigger retraining when statistical shifts are detected.</w:t>
      </w:r>
    </w:p>
    <w:p w14:paraId="001001A6" w14:textId="001001A7">
      <w:pPr>
        <w:spacing w:after="80"/>
      </w:pPr>
      <w:r>
        <w:rPr>
          <w:sz w:val="22"/>
        </w:rPr>
        <w:t xml:space="preserve">4.  Deep learning: Autoencoders for unsupervised anomaly detection; sequence models (LSTM, Transformer) to model cardholder spending trajectories as temporal sequences.</w:t>
      </w:r>
    </w:p>
    <w:p w14:paraId="001001A8" w14:textId="001001A9">
      <w:pPr>
        <w:spacing w:after="80"/>
      </w:pPr>
      <w:r>
        <w:rPr>
          <w:sz w:val="22"/>
        </w:rPr>
        <w:t xml:space="preserve">5.  Graph-based fraud detection: Model transactions as nodes and shared attributes (email, device ID, IP address) as edges; apply Graph Neural Networks to detect organised fraud rings.</w:t>
      </w:r>
    </w:p>
    <w:p w14:paraId="001001AA" w14:textId="001001AB">
      <w:pPr>
        <w:spacing w:after="80"/>
      </w:pPr>
      <w:r>
        <w:rPr>
          <w:sz w:val="22"/>
        </w:rPr>
        <w:t xml:space="preserve">6.  Explainable AI (XAI): Integrate SHAP or LIME for per-prediction feature attribution to support investigator decision-making and regulatory reporting requirements.</w:t>
      </w:r>
    </w:p>
    <w:p w14:paraId="001001AC" w14:textId="001001AD">
      <w:pPr>
        <w:spacing w:after="80"/>
      </w:pPr>
      <w:r>
        <w:rPr>
          <w:sz w:val="22"/>
        </w:rPr>
        <w:t xml:space="preserve">7.  Cost-sensitive learning: Explicitly encode the asymmetric cost of false negatives (missed fraud loss) versus false positives (customer friction) directly into the loss function.</w:t>
      </w:r>
    </w:p>
    <w:p w14:paraId="001001AE" w14:textId="001001AF">
      <w:pPr>
        <w:spacing w:after="160"/>
      </w:pPr>
      <w:r>
        <w:rPr>
          <w:sz w:val="22"/>
        </w:rPr>
        <w:t xml:space="preserve">8.  Federated learning: Train models across multiple bank data silos without sharing raw transaction data, preserving customer privacy while enabling collaborative model improvement.</w:t>
      </w:r>
    </w:p>
    <w:p w14:paraId="001001B0" w14:textId="001001B1">
      <w:pPr>
        <w:pStyle w:val="Heading1"/>
        <w:spacing w:before="280" w:after="160"/>
      </w:pPr>
      <w:r>
        <w:rPr>
          <w:b/>
          <w:sz w:val="36"/>
        </w:rPr>
        <w:t xml:space="preserve">16. Conclusion</w:t>
      </w:r>
    </w:p>
    <w:p w14:paraId="001001B2" w14:textId="001001B3">
      <w:pPr>
        <w:spacing w:after="160"/>
      </w:pPr>
      <w:r>
        <w:rPr>
          <w:sz w:val="22"/>
        </w:rPr>
        <w:t xml:space="preserve">This project demonstrates a complete, methodologically rigorous supervised machine learning pipeline for credit card fraud detection. Four classification algorithms — Logistic Regression, Decision Tree, Random Forest, and Gradient Boosting — were trained and evaluated under identical conditions on an 80/20 stratified split of the MLG-ULB dataset. SMOTE was applied exclusively to training data to address the severe class imbalance without contaminating the test set. Feature scaling was applied post-split to prevent data leakage. Model selection was based on Recall, F1-score, and PR-AUC rather than accuracy, reflecting the real-world cost asymmetry of fraud detection.</w:t>
      </w:r>
    </w:p>
    <w:p w14:paraId="001001B4" w14:textId="001001B5">
      <w:pPr>
        <w:spacing w:after="160"/>
      </w:pPr>
      <w:r>
        <w:rPr>
          <w:sz w:val="22"/>
        </w:rPr>
        <w:t xml:space="preserve">The project illustrates key machine learning engineering principles: preventing data leakage through correct pipeline ordering, selecting appropriate evaluation metrics for imbalanced classification, understanding the precision-recall trade-off, and performing threshold analysis to align model behaviour with operational requirements. The final trained pipeline is persisted and demonstrated to produce predictions on new transaction inputs.</w:t>
      </w:r>
    </w:p>
    <w:p w14:paraId="001001B6" w14:textId="001001B7">
      <w:pPr>
        <w:spacing w:after="240"/>
      </w:pPr>
      <w:r>
        <w:rPr>
          <w:sz w:val="22"/>
        </w:rPr>
        <w:t xml:space="preserve">While the resulting model is not production-ready — it lacks real-time infrastructure, monitoring, and drift detection — it constitutes a technically sound and academically defensible foundation that could be extended toward a production-grade fraud detection system with appropriate engineering investment.</w:t>
      </w:r>
    </w:p>
    <w:p w14:paraId="001001B8" w14:textId="001001B9">
      <w:pPr>
        <w:pStyle w:val="Heading1"/>
        <w:spacing w:before="280" w:after="160"/>
      </w:pPr>
      <w:r>
        <w:rPr>
          <w:b/>
          <w:sz w:val="36"/>
        </w:rPr>
        <w:t xml:space="preserve">References</w:t>
      </w:r>
    </w:p>
    <w:p w14:paraId="001001BA" w14:textId="001001BB">
      <w:pPr>
        <w:spacing w:after="120"/>
      </w:pPr>
      <w:r>
        <w:rPr>
          <w:sz w:val="22"/>
        </w:rPr>
        <w:t xml:space="preserve">[1] A. Dal Pozzolo, O. Caelen, R. A. Johnson, and G. Bontempi, "Calibrating Probability with Undersampling for Unbalanced Classification," in Proc. IEEE Symp. Series on Computational Intelligence, Cape Town, 2015.</w:t>
      </w:r>
    </w:p>
    <w:p w14:paraId="001001BC" w14:textId="001001BD">
      <w:pPr>
        <w:spacing w:after="120"/>
      </w:pPr>
      <w:r>
        <w:rPr>
          <w:sz w:val="22"/>
        </w:rPr>
        <w:t xml:space="preserve">[2] A. Dal Pozzolo, G. Boracchi, O. Caelen, C. Alippi, and G. Bontempi, "Credit Card Fraud Detection: A Realistic Modeling and a Novel Learning Strategy," IEEE Transactions on Neural Networks and Learning Systems, vol. 29, no. 8, pp. 3784-3797, Aug. 2018.</w:t>
      </w:r>
    </w:p>
    <w:p w14:paraId="001001BE" w14:textId="001001BF">
      <w:pPr>
        <w:spacing w:after="120"/>
      </w:pPr>
      <w:r>
        <w:rPr>
          <w:sz w:val="22"/>
        </w:rPr>
        <w:t xml:space="preserve">[3] N. V. Chawla, K. W. Bowyer, L. O. Hall, and W. P. Kegelmeyer, "SMOTE: Synthetic Minority Over-sampling Technique," Journal of Artificial Intelligence Research, vol. 16, pp. 321-357, 2002.</w:t>
      </w:r>
    </w:p>
    <w:p w14:paraId="001001C0" w14:textId="001001C1">
      <w:pPr>
        <w:spacing w:after="120"/>
      </w:pPr>
      <w:r>
        <w:rPr>
          <w:sz w:val="22"/>
        </w:rPr>
        <w:t xml:space="preserve">[4] F. Pedregosa et al., "Scikit-learn: Machine Learning in Python," Journal of Machine Learning Research, vol. 12, pp. 2825-2830, 2011.</w:t>
      </w:r>
    </w:p>
    <w:p w14:paraId="001001C2" w14:textId="001001C3">
      <w:pPr>
        <w:spacing w:after="120"/>
      </w:pPr>
      <w:r>
        <w:rPr>
          <w:sz w:val="22"/>
        </w:rPr>
        <w:t xml:space="preserve">[5] T. Fawcett, "An Introduction to ROC Analysis," Pattern Recognition Letters, vol. 27, no. 8, pp. 861-874, 2006.</w:t>
      </w:r>
    </w:p>
    <w:p w14:paraId="001001C4" w14:textId="001001C5">
      <w:pPr>
        <w:spacing w:after="120"/>
      </w:pPr>
      <w:r>
        <w:rPr>
          <w:sz w:val="22"/>
        </w:rPr>
        <w:t xml:space="preserve">[6] J. Davis and M. Goadrich, "The Relationship Between Precision-Recall and ROC Curves," in Proc. 23rd Int. Conf. Machine Learning, Pittsburgh, PA, 2006, pp. 233-240.</w:t>
      </w:r>
    </w:p>
    <w:p w14:paraId="001001C6" w14:textId="001001C7">
      <w:pPr>
        <w:spacing w:after="120"/>
      </w:pPr>
      <w:r>
        <w:rPr>
          <w:sz w:val="22"/>
        </w:rPr>
        <w:t xml:space="preserve">[7] G. Lemaitre, F. Nogueira, and C. K. Aridas, "Imbalanced-learn: A Python Toolbox to Tackle the Curse of Imbalanced Datasets in Machine Learning," Journal of Machine Learning Research, vol. 18, no. 17, pp. 1-5, 2017.</w:t>
      </w:r>
    </w:p>
    <w:p w14:paraId="001001C8" w14:textId="001001C9">
      <w:pPr>
        <w:spacing w:after="120"/>
      </w:pPr>
      <w:r>
        <w:rPr>
          <w:sz w:val="22"/>
        </w:rPr>
        <w:t xml:space="preserve">[8] L. Breiman, "Random Forests," Machine Learning, vol. 45, no. 1, pp. 5-32, 2001.</w:t>
      </w:r>
    </w:p>
    <w:p w14:paraId="001001CA" w14:textId="001001CB">
      <w:pPr>
        <w:spacing w:after="120"/>
      </w:pPr>
      <w:r>
        <w:rPr>
          <w:sz w:val="22"/>
        </w:rPr>
        <w:t xml:space="preserve">[9] J. H. Friedman, "Greedy Function Approximation: A Gradient Boosting Machine," Annals of Statistics, vol. 29, no. 5, pp. 1189-1232, 2001.</w:t>
      </w:r>
    </w:p>
    <w:p w14:paraId="001001CC" w14:textId="001001CD">
      <w:pPr>
        <w:spacing w:after="120"/>
      </w:pPr>
      <w:r>
        <w:rPr>
          <w:sz w:val="22"/>
        </w:rPr>
        <w:t xml:space="preserve">[10] Machine Learning Group, ULB, "Credit Card Fraud Detection Dataset," Kaggle, 2018. [Online]. Available: https://www.kaggle.com/datasets/mlg-ulb/creditcardfraud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b119a74b9248420b" /><Relationship Type="http://schemas.openxmlformats.org/officeDocument/2006/relationships/styles" Target="/word/styles.xml" Id="Rfe9357cf16164907" /><Relationship Type="http://schemas.openxmlformats.org/officeDocument/2006/relationships/theme" Target="/word/theme/theme1.xml" Id="R5d1d368213964f6a" /><Relationship Type="http://schemas.openxmlformats.org/officeDocument/2006/relationships/numbering" Target="/word/numbering.xml" Id="Rbe079f1f91b244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2026-10-05T08:52:06Z</dcterms:created>
  <cp:lastModifiedBy>OfficeCLI</cp:lastModifiedBy>
  <dcterms:modified xsi:type="dcterms:W3CDTF">2026-10-05T08:52:06Z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1.0.153</vt:lpwstr>
  </op:property>
  <op:property fmtid="{D5CDD505-2E9C-101B-9397-08002B2CF9AE}" pid="3" name="OfficeCLI.LastModified">
    <vt:lpwstr xmlns:vt="http://schemas.openxmlformats.org/officeDocument/2006/docPropsVTypes">2026-10-05T08:57:23Z</vt:lpwstr>
  </op:property>
</op:Properties>
</file>