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rPr>
          <w:sz w:val="17"/>
        </w:rPr>
        <w:t>Dashboard Design – Electric Vehicle Market Performance &amp; Insights</w:t>
      </w:r>
    </w:p>
    <w:p w:rsidR="00000000" w:rsidDel="00000000" w:rsidP="00000000" w:rsidRDefault="00000000" w:rsidRPr="00000000" w14:paraId="00000002">
      <w:pPr>
        <w:widowControl w:val="0"/>
        <w:spacing w:after="6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17"/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26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6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0C">
      <w:pPr>
        <w:spacing w:after="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project dashboard presents analysis of the supplied ev_market_test.csv dataset using Tableau Public. It is designed to help users explore manufacturer sales, battery technology, driving range, battery capacity, manufacturing-country records, customer ratings and model-year sales. The dataset contains 34,259 records and 37 fields. Results describe the supplied test dataset and should not be treated as verified global EV market statistics.</w:t>
      </w:r>
    </w:p>
    <w:p w:rsidR="00000000" w:rsidDel="00000000" w:rsidP="00000000" w:rsidRDefault="00000000" w:rsidRPr="00000000" w14:paraId="0000000D">
      <w:pPr>
        <w:spacing w:after="60"/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>
        <w:rPr>
          <w:sz w:val="17"/>
        </w:rPr>
        <w:t>Activity 1: Interactive and visually appealing dashboard</w:t>
      </w:r>
    </w:p>
    <w:p w:rsidR="00000000" w:rsidDel="00000000" w:rsidP="00000000" w:rsidRDefault="00000000" w:rsidRPr="00000000" w14:paraId="0000000E">
      <w:pPr>
        <w:spacing w:after="60"/>
        <w:ind w:left="72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published EV dashboard uses a dark teal website theme with a clear project title and navigation. The Tableau dashboard provides the analytical views; its internal chart layout and responsive behaviour are controlled by Tableau. The design follows the principles below: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Clear and intuitive layout: The dashboard groups related EV performance and technology charts so viewers can move from market overview to detailed comparisons.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Appropriate visualisations: Eight views use bar charts, a pie chart, a scatter plot and a line chart to match the measures and comparisons.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Colour and theming: A consistent colour palette distinguishes chart categories while keeping labels and axes readable.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Interactive filters and slicers: Use available Tableau filters such as manufacturer, model year, battery type, manufacturing country and vehicle category where configured.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Drill-down capabilities: Users can inspect individual manufacturers, battery types, countries and model years through Tableau marks and filter selections.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Responsive design: The website is responsive; the embedded Tableau view may require opening the full dashboard on smaller screens because its internal layout is controlled by the workbook.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Custom visuals and icons: The website uses EV branding and section labels to identify the project; the charts retain Tableau visual encodings.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Use of infographics: KPI and chart views summarise vehicle records, manufacturers, range, ratings, sales and battery technology.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 w:after="60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rPr>
          <w:rFonts w:ascii="Arial" w:cs="Arial" w:eastAsia="Arial" w:hAnsi="Arial"/>
          <w:sz w:val="20"/>
          <w:szCs w:val="20"/>
        </w:rPr>
      </w:pPr>
      <w:r>
        <w:rPr>
          <w:sz w:val="17"/>
        </w:rPr>
        <w:t>Major outcomes from the Electric Vehicle Market Performance &amp; Insights dashboard</w:t>
      </w:r>
    </w:p>
    <w:p w:rsidR="00000000" w:rsidDel="00000000" w:rsidP="00000000" w:rsidRDefault="00000000" w:rsidRPr="00000000" w14:paraId="0000001A">
      <w:pPr>
        <w:spacing w:after="60" w:line="240" w:lineRule="auto"/>
        <w:rPr/>
      </w:pPr>
      <w:r>
        <w:rPr>
          <w:sz w:val="17"/>
        </w:rPr>
        <w:t>The following highlights are calculated from the supplied ev_market_test.csv file. They describe this test dataset, not the entire real-world EV market.</w:t>
      </w:r>
    </w:p>
    <w:p w:rsidR="00000000" w:rsidDel="00000000" w:rsidP="00000000" w:rsidRDefault="00000000" w:rsidRPr="00000000" w14:paraId="0000001B">
      <w:pPr>
        <w:spacing w:after="60" w:line="240" w:lineRule="auto"/>
        <w:rPr/>
      </w:pPr>
      <w:r>
        <w:rPr>
          <w:sz w:val="17"/>
        </w:rPr>
        <w:t>Manufacturer sales: IonMotors has the highest recorded sum of annual_sales_units in this dataset (2,073,247), followed by WattWorks (1,910,752) and ZapWheels (1,808,276).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before="240" w:line="240" w:lineRule="auto"/>
        <w:ind w:left="720" w:hanging="360"/>
        <w:rPr>
          <w:u w:val="none"/>
        </w:rPr>
      </w:pPr>
      <w:r>
        <w:rPr>
          <w:sz w:val="17"/>
        </w:rPr>
        <w:t>Battery technology records: NMC has the largest number of distinct vehicle records (11,477), followed by LFP (11,078), NCA (6,009), Sodium-Ion (3,301) and Solid-State (2,394). These are record counts, not market share.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Manufacturing-country records: Japan has 3,492 distinct vehicle records, India 3,463, USA 3,456, Vietnam 3,454 and France 3,452. These counts do not measure factory output.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Customer ratings: CurrentAutomotive has the highest average customer_rating in the dataset (approximately 4.20), followed by ChargeWorks (4.18) and DynamoWheels (4.17), calculated from available non-null ratings.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Battery capacity: Sodium-Ion records have the highest average battery_capacity_kwh (approximately 79.50 kWh), followed by NCA (79.17 kWh). This is an observed dataset average, not a technology-wide specification.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Model-year sales: Recorded annual_sales_units totals are highest for model year 2021 (30,644,282) among the model years 2018–2026. The field is grouped by model_year, not transaction date.</w:t>
      </w:r>
    </w:p>
    <w:p w:rsidR="00000000" w:rsidDel="00000000" w:rsidP="00000000" w:rsidRDefault="00000000" w:rsidRPr="00000000" w14:paraId="00000021">
      <w:pPr>
        <w:spacing w:after="60" w:before="240" w:line="240" w:lineRule="auto"/>
        <w:rPr/>
      </w:pPr>
      <w:r>
        <w:rPr>
          <w:sz w:val="17"/>
        </w:rPr>
        <w:t>Range and capacity relationship: The scatter plot compares battery_capacity_kwh with range_km and colours records by battery_type. It helps identify patterns and outliers; it does not establish that capacity alone causes longer range.</w:t>
      </w:r>
    </w:p>
    <w:p w:rsidR="00000000" w:rsidDel="00000000" w:rsidP="00000000" w:rsidRDefault="00000000" w:rsidRPr="00000000" w14:paraId="00000022">
      <w:pPr>
        <w:spacing w:after="60" w:before="240" w:line="240" w:lineRule="auto"/>
        <w:rPr/>
      </w:pPr>
      <w:r>
        <w:rPr>
          <w:sz w:val="17"/>
        </w:rPr>
        <w:t>Data scope: The dataset contains 34,259 rows and 37 columns. The dashboard should be interpreted as exploratory analysis of the supplied test data.</w:t>
      </w:r>
    </w:p>
    <w:p w:rsidR="00000000" w:rsidDel="00000000" w:rsidP="00000000" w:rsidRDefault="00000000" w:rsidRPr="00000000" w14:paraId="00000023">
      <w:pPr>
        <w:spacing w:after="60" w:line="240" w:lineRule="auto"/>
        <w:rPr>
          <w:b w:val="1"/>
          <w:bCs w:val="1"/>
          <w:sz w:val="28"/>
          <w:szCs w:val="28"/>
        </w:rPr>
      </w:pPr>
      <w:r>
        <w:rPr>
          <w:sz w:val="17"/>
        </w:rPr>
        <w:t>Activity 2: Publish dashboard and stories on Tableau Public</w:t>
      </w:r>
    </w:p>
    <w:p w:rsidR="00000000" w:rsidDel="00000000" w:rsidP="00000000" w:rsidRDefault="00000000" w:rsidRPr="00000000" w14:paraId="00000024">
      <w:pPr>
        <w:spacing w:after="60" w:line="240" w:lineRule="auto"/>
        <w:rPr>
          <w:sz w:val="28"/>
          <w:szCs w:val="28"/>
        </w:rPr>
      </w:pPr>
      <w:r>
        <w:rPr>
          <w:sz w:val="17"/>
        </w:rPr>
        <w:t>The following project outputs have been published. Open each link to view the interactive Tableau content.</w:t>
      </w:r>
    </w:p>
    <w:p w:rsidR="00000000" w:rsidDel="00000000" w:rsidP="00000000" w:rsidRDefault="00000000" w:rsidRPr="00000000" w14:paraId="00000025">
      <w:pPr>
        <w:spacing w:after="60" w:line="240" w:lineRule="auto"/>
        <w:rPr>
          <w:sz w:val="28"/>
          <w:szCs w:val="28"/>
        </w:rPr>
      </w:pPr>
      <w:r>
        <w:rPr>
          <w:sz w:val="17"/>
        </w:rPr>
        <w:t>Published project links:</w:t>
      </w:r>
    </w:p>
    <w:p w:rsidR="00000000" w:rsidDel="00000000" w:rsidP="00000000" w:rsidRDefault="00000000" w:rsidRPr="00000000" w14:paraId="00000026">
      <w:pPr>
        <w:spacing w:after="60" w:line="240" w:lineRule="auto"/>
        <w:rPr>
          <w:sz w:val="28"/>
          <w:szCs w:val="28"/>
        </w:rPr>
      </w:pPr>
      <w:r>
        <w:rPr>
          <w:sz w:val="17"/>
        </w:rPr>
        <w:t>Tableau Dashboard: https://public.tableau.com/app/profile/suryadev.singh/viz/EV_Market_Performance_Insights_17931646155280/ELECTRICVEHICLEMARKETPERFORMANCEINSIGHT?publish=yes</w:t>
        <w:br/>
        <w:t>Story 1 – EV Market Performance Overview: https://public.tableau.com/app/profile/suryadev.singh/viz/EV_Market_Performance_InsightsStory1/EVMarketPerformanceOverview?publish=yes</w:t>
        <w:br/>
        <w:t>Story 2 – EV Technology and Customer Insights: https://public.tableau.com/app/profile/suryadev.singh/viz/EV_Market_Performance_InsightsStory2/EVTechnologyandCustomerInsights?publish=yes</w:t>
        <w:br/>
        <w:t>GitHub repository: https://github.com/suryadevsingh0225/Electric-Vehicle-Market-Performance-Insights</w:t>
        <w:br/>
        <w:t>GitHub Pages website: https://abhijeet623.github.io/ELECTRIC-VEHICLE-MARKET-PERFORMANCE-INSIGHTS/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Dashboard_17247660582000/Dashboard1?:language=en-US&amp;publish=ye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SmarBridge ML</dc:creator>
</cp:coreProperties>
</file>