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jc w:val="center"/>
        <w:rPr>
          <w:rFonts w:ascii="Cambria" w:cs="Cambria" w:eastAsia="Cambria" w:hAnsi="Cambria"/>
          <w:b w:val="1"/>
          <w:bCs w:val="1"/>
          <w:color w:val="000000"/>
          <w:sz w:val="32"/>
          <w:szCs w:val="32"/>
        </w:rPr>
      </w:pPr>
      <w:r>
        <w:rPr>
          <w:sz w:val="18"/>
        </w:rPr>
        <w:t>Story Design – Electric Vehicle Market Performance &amp; Insights</w:t>
      </w:r>
    </w:p>
    <w:p w:rsidR="00000000" w:rsidDel="00000000" w:rsidP="00000000" w:rsidRDefault="00000000" w:rsidRPr="00000000" w14:paraId="00000002">
      <w:pPr>
        <w:spacing w:after="80" w:lineRule="auto"/>
        <w:jc w:val="center"/>
        <w:rPr>
          <w:rFonts w:ascii="Arial" w:cs="Arial" w:eastAsia="Arial" w:hAnsi="Arial"/>
          <w:b w:val="1"/>
          <w:bCs w:val="1"/>
        </w:rPr>
      </w:pPr>
      <w:r w:rsidDel="00000000" w:rsidR="00000000" w:rsidRPr="00000000">
        <w:rPr>
          <w:sz w:val="18"/>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sz w:val="18"/>
                <w:rtl w:val="0"/>
              </w:rPr>
              <w:t xml:space="preserve">Date</w:t>
            </w:r>
          </w:p>
        </w:tc>
        <w:tc>
          <w:tcPr/>
          <w:p>
            <w:r>
              <w:rPr>
                <w:sz w:val="18"/>
              </w:rPr>
              <w:t>26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18"/>
                <w:rtl w:val="0"/>
              </w:rPr>
              <w:t xml:space="preserve">Team ID</w:t>
            </w:r>
          </w:p>
        </w:tc>
        <w:tc>
          <w:tcPr/>
          <w:p>
            <w:r>
              <w:rPr>
                <w:sz w:val="18"/>
              </w:rPr>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sz w:val="18"/>
                <w:rtl w:val="0"/>
              </w:rPr>
              <w:t xml:space="preserve">Project Name</w:t>
            </w:r>
          </w:p>
        </w:tc>
        <w:tc>
          <w:tcPr/>
          <w:p>
            <w:r>
              <w:rPr>
                <w:sz w:val="18"/>
              </w:rPr>
              <w:t>Electric Vehicle Market Performance &amp; Insights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18"/>
                <w:rtl w:val="0"/>
              </w:rPr>
              <w:t xml:space="preserve">Maximum Marks</w:t>
            </w:r>
          </w:p>
        </w:tc>
        <w:tc>
          <w:tcPr/>
          <w:p>
            <w:r>
              <w:rPr>
                <w:sz w:val="18"/>
              </w:rPr>
              <w:t>5 Marks</w:t>
            </w:r>
          </w:p>
        </w:tc>
      </w:tr>
    </w:tbl>
    <w:p w:rsidR="00000000" w:rsidDel="00000000" w:rsidP="00000000" w:rsidRDefault="00000000" w:rsidRPr="00000000" w14:paraId="0000000B">
      <w:pPr>
        <w:spacing w:after="80"/>
        <w:rPr>
          <w:rFonts w:ascii="Cambria" w:cs="Cambria" w:eastAsia="Cambria" w:hAnsi="Cambria"/>
          <w:color w:val="000000"/>
          <w:sz w:val="24"/>
          <w:szCs w:val="24"/>
          <w:highlight w:val="white"/>
        </w:rPr>
      </w:pPr>
      <w:r w:rsidDel="00000000" w:rsidR="00000000" w:rsidRPr="00000000">
        <w:rPr>
          <w:sz w:val="18"/>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80" w:line="240" w:lineRule="auto"/>
        <w:ind w:left="284" w:firstLine="0"/>
        <w:jc w:val="both"/>
        <w:rPr>
          <w:rFonts w:ascii="Calibri" w:cs="Calibri" w:eastAsia="Calibri" w:hAnsi="Calibri"/>
        </w:rPr>
      </w:pPr>
      <w:r>
        <w:rPr>
          <w:sz w:val="18"/>
        </w:rPr>
        <w:t>Tableau Stories in this project present EV market-performance findings in a logical sequence. They combine dashboards and visualisations so stakeholders can explore the supplied ev_market_test.csv data and understand patterns in manufacturer sales, battery technologies, vehicle range, battery capacity, manufacturing-country records and customer ratings.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80" w:line="240" w:lineRule="auto"/>
        <w:ind w:left="284" w:firstLine="0"/>
        <w:jc w:val="both"/>
        <w:rPr>
          <w:sz w:val="20"/>
          <w:szCs w:val="20"/>
          <w:highlight w:val="white"/>
        </w:rPr>
      </w:pPr>
      <w:r>
        <w:rPr>
          <w:sz w:val="18"/>
        </w:rPr>
        <w:t>Two stories have been published on Tableau Public: (1) EV Market Performance Overview, which focuses on manufacturer performance, recorded sales, battery-technology distribution and manufacturing-country records; and (2) EV Technology and Customer Insights, which focuses on driving range, battery capacity, battery technology and customer ratings. The stories describe patterns in the supplied test dataset, not verified global market facts.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80" w:line="240" w:lineRule="auto"/>
        <w:ind w:left="1440" w:firstLine="0"/>
        <w:rPr>
          <w:rFonts w:ascii="Arial" w:cs="Arial" w:eastAsia="Arial" w:hAnsi="Arial"/>
          <w:color w:val="000000"/>
          <w:sz w:val="20"/>
          <w:szCs w:val="20"/>
        </w:rPr>
      </w:pPr>
      <w:r w:rsidDel="00000000" w:rsidR="00000000" w:rsidRPr="00000000">
        <w:rPr>
          <w:sz w:val="18"/>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80" w:line="240" w:lineRule="auto"/>
        <w:rPr>
          <w:rFonts w:ascii="Arial" w:cs="Arial" w:eastAsia="Arial" w:hAnsi="Arial"/>
          <w:color w:val="000000"/>
          <w:sz w:val="20"/>
          <w:szCs w:val="20"/>
        </w:rPr>
      </w:pPr>
      <w:r w:rsidDel="00000000" w:rsidR="00000000" w:rsidRPr="00000000">
        <w:rPr>
          <w:sz w:val="18"/>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80" w:line="240" w:lineRule="auto"/>
        <w:rPr>
          <w:rFonts w:ascii="Arial" w:cs="Arial" w:eastAsia="Arial" w:hAnsi="Arial"/>
          <w:color w:val="000000"/>
          <w:sz w:val="20"/>
          <w:szCs w:val="20"/>
        </w:rPr>
      </w:pPr>
      <w:r>
        <w:rPr>
          <w:sz w:val="18"/>
        </w:rPr>
        <w:t>Observations from the two EV Tableau stories: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Pr>
          <w:sz w:val="18"/>
        </w:rPr>
        <w:t>Manufacturer performance: The dashboard compares manufacturers using SUM(annual_sales_units), helping identify those with the largest recorded sales totals in the supplied dataset.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Pr>
          <w:sz w:val="18"/>
        </w:rPr>
        <w:t>Battery technology distribution: NMC and LFP account for the largest numbers of distinct vehicle records in the supplied dataset. These are dataset record counts, not real-world market shares.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Pr>
          <w:sz w:val="18"/>
        </w:rPr>
        <w:t>Manufacturing-country distribution: Country comparisons count distinct vehicle records by manufacturing_country; they should not be interpreted as factory output or national production volumes.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sz w:val="18"/>
        </w:rPr>
        <w:t>Technology and range: The stories compare average driving range and battery capacity across battery technologies and manufacturers, allowing viewers to identify differences and patterns.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Customer insights: Average customer_rating is compared by manufacturer using available non-null ratings; missing ratings are not treated as zero.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Capacity and range relationship: The scatter plot explores association between battery_capacity_kwh and range_km. It does not establish causation.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sz w:val="26"/>
          <w:szCs w:val="26"/>
        </w:rPr>
      </w:pPr>
      <w:r>
        <w:rPr>
          <w:sz w:val="18"/>
        </w:rPr>
        <w:t>Activity 2: Publish both stories on Tableau Public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Both stories are published and available through the following public Tableau links. Open each link to view the interactive story.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Story 1 – EV Market Performance Overview:</w:t>
        <w:br/>
        <w:t>https://public.tableau.com/app/profile/suryadev.singh/viz/EV_Market_Performance_InsightsStory1/EVMarketPerformanceOverview?publish=yes</w:t>
        <w:br/>
        <w:br/>
        <w:t>Story 2 – EV Technology and Customer Insights:</w:t>
        <w:br/>
        <w:t>https://public.tableau.com/app/profile/suryadev.singh/viz/EV_Market_Performance_InsightsStory2/EVTechnologyandCustomerInsights?publish=yes</w:t>
        <w:br/>
        <w:br/>
        <w:t>Dashboard:</w:t>
        <w:br/>
        <w:t>https://public.tableau.com/app/profile/suryadev.singh/viz/EV_Market_Performance_Insights_17931646155280/ELECTRICVEHICLEMARKETPERFORMANCEINSIGHT?publish=yes</w:t>
        <w:br/>
        <w:br/>
        <w:t>GitHub repository:</w:t>
        <w:br/>
        <w:t>https://github.com/suryadevsingh0225/Electric-Vehicle-Market-Performance-Insights</w:t>
        <w:br/>
        <w:br/>
        <w:t>Project website:</w:t>
        <w:br/>
        <w:t>https://abhijeet623.github.io/ELECTRIC-VEHICLE-MARKET-PERFORMANCE-INSIGHTS/</w:t>
      </w:r>
    </w:p>
    <w:p>
      <w:pPr>
        <w:spacing w:after="80"/>
      </w:pPr>
      <w:r>
        <w:rPr>
          <w:b/>
          <w:sz w:val="18"/>
        </w:rPr>
        <w:t xml:space="preserve">Project details: </w:t>
      </w:r>
      <w:r>
        <w:rPr>
          <w:sz w:val="18"/>
        </w:rPr>
        <w:t>Team member: Self. Team ID intentionally left blank. Date: 26 October 2026. Dataset: supplied ev_market_test.csv (test dataset). Interpret all counts and trends within this dataset's scope.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Story_17247663658720/Story1?:language=en-U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