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37.png" ContentType="image/png"/>
  <Override PartName="/word/media/rId57.png" ContentType="image/png"/>
  <Override PartName="/word/media/rId27.png" ContentType="image/png"/>
  <Override PartName="/word/media/rId53.png" ContentType="image/png"/>
  <Override PartName="/word/media/rId66.png" ContentType="image/png"/>
  <Override PartName="/word/media/rId63.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87 peer-reviewed papers (2018–2025)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four public benchmarks (HAI 21.03, SMD, SKAB, PSM) over five seeds, four drift patterns and ten ablations, 7,560 streaming runs in all. Without drift, the static VAE is as good as any meta-learned detector, and the number of support windows makes no difference between one and ten: the initialisation is not the bottleneck. Under injected drift the static and adapt-once detectors alarm on 57–75 % of normal steps (up to 100 % on SMD and PSM) and do not recover; DAMAD keeps the rate at 16–25 %, recovers within 190–620 windows, and has the best point-wise F1 under sudden and recurring drift and on SMD under every pattern. On HAI, where the injected shift costs a static threshold less, it brings no gain, and its recalibrated thresholds cost it detection latency everywhere. The ablations show that threshold recalibration and the residual-side gate carry the result, the acceptance test matters where anomalies are long, and replay, the episode sampler and the choice of meta-learner are within seed noise.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5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 review of 87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HAI 21.03,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need labelled feedback and are out of reach in unsupervised AD. Distribution monitors such as ADWIN</w:t>
      </w:r>
      <w:r>
        <w:t xml:space="preserve"> </w:t>
      </w:r>
      <w:hyperlink w:anchor="ref-bifet2007adwin">
        <w:r>
          <w:rPr>
            <w:rStyle w:val="Hyperlink"/>
          </w:rPr>
          <w:t xml:space="preserve">[18]</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[19]</w:t>
        </w:r>
      </w:hyperlink>
      <w:r>
        <w:t xml:space="preserve">. Hinder et al. survey detection and adaptation in detail</w:t>
      </w:r>
      <w:r>
        <w:t xml:space="preserve"> </w:t>
      </w:r>
      <w:hyperlink w:anchor="ref-hinder2024a">
        <w:r>
          <w:rPr>
            <w:rStyle w:val="Hyperlink"/>
          </w:rPr>
          <w:t xml:space="preserve">[20]</w:t>
        </w:r>
      </w:hyperlink>
      <w:r>
        <w:t xml:space="preserve">,</w:t>
      </w:r>
      <w:r>
        <w:t xml:space="preserve"> </w:t>
      </w:r>
      <w:hyperlink w:anchor="ref-hinder2024b">
        <w:r>
          <w:rPr>
            <w:rStyle w:val="Hyperlink"/>
          </w:rPr>
          <w:t xml:space="preserve">[21]</w:t>
        </w:r>
      </w:hyperlink>
      <w:r>
        <w:t xml:space="preserve">. Continual learning supplies the tools for updating a model without forgetting what it knew</w:t>
      </w:r>
      <w:r>
        <w:t xml:space="preserve"> </w:t>
      </w:r>
      <w:hyperlink w:anchor="ref-kirkpatrick2017ewc">
        <w:r>
          <w:rPr>
            <w:rStyle w:val="Hyperlink"/>
          </w:rPr>
          <w:t xml:space="preserve">[22]</w:t>
        </w:r>
      </w:hyperlink>
      <w:r>
        <w:t xml:space="preserve">,</w:t>
      </w:r>
      <w:r>
        <w:t xml:space="preserve"> </w:t>
      </w:r>
      <w:hyperlink w:anchor="ref-rolnick2019replay">
        <w:r>
          <w:rPr>
            <w:rStyle w:val="Hyperlink"/>
          </w:rPr>
          <w:t xml:space="preserve">[23]</w:t>
        </w:r>
      </w:hyperlink>
      <w:r>
        <w:t xml:space="preserve">,</w:t>
      </w:r>
      <w:r>
        <w:t xml:space="preserve"> </w:t>
      </w:r>
      <w:hyperlink w:anchor="ref-wang2024continual">
        <w:r>
          <w:rPr>
            <w:rStyle w:val="Hyperlink"/>
          </w:rPr>
          <w:t xml:space="preserve">[24]</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followed the PRISMA 2020 guidelines</w:t>
      </w:r>
      <w:r>
        <w:t xml:space="preserve"> </w:t>
      </w:r>
      <w:hyperlink w:anchor="ref-page2021prisma">
        <w:r>
          <w:rPr>
            <w:rStyle w:val="Hyperlink"/>
          </w:rPr>
          <w:t xml:space="preserve">[25]</w:t>
        </w:r>
      </w:hyperlink>
      <w:r>
        <w:t xml:space="preserve">. We searched IEEE Xplore, Scopus, Web of Science, the ACM Digital Library and Google Scholar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w:t>
      </w:r>
    </w:p>
    <w:p>
      <w:pPr>
        <w:pStyle w:val="BodyText"/>
      </w:pPr>
      <w:r>
        <w:t xml:space="preserve">Table 1 lists the inclusion and exclusion criteria and Table 2 the four-stage selection. Pooling both strings across the five databases gave 1,247 records, 834 after de-duplication. Title and abstract screening removed 636 (271 with no meta-learning/AD intersection, 214 image-domain only, 151 outside the date or language limits), leaving 198. Full-text review removed a further 124 (51 without a methodological contribution, 47 treating the two topics in isolation, 26 not peer-reviewed), leaving 74. Backward and forward citation chaining added 13. The final corpus is 87 papers. Nine were published in 2018–19, 17 in 2020–21, 31 in 2022–23 and 30 in 2024–25, so roughly 70 % of the corpus is from 2022 onwards.</w:t>
      </w:r>
    </w:p>
    <w:p>
      <w:pPr>
        <w:pStyle w:val="BodyText"/>
      </w:pPr>
      <w:r>
        <w:t xml:space="preserve">Table 1. Inclusion (IC) and exclusion (EC)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Addresses meta-learning or few-shot learning in the context of anomaly or fault detection</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Indexed in Scopus or Web of Science; peer-reviewed; English; full text available</w:t>
            </w:r>
          </w:p>
        </w:tc>
      </w:tr>
      <w:tr>
        <w:tc>
          <w:tcPr/>
          <w:p>
            <w:pPr>
              <w:pStyle w:val="Compact"/>
              <w:jc w:val="left"/>
            </w:pPr>
            <w:r>
              <w:t xml:space="preserve">EC1</w:t>
            </w:r>
          </w:p>
        </w:tc>
        <w:tc>
          <w:tcPr/>
          <w:p>
            <w:pPr>
              <w:pStyle w:val="Compact"/>
              <w:jc w:val="left"/>
            </w:pPr>
            <w:r>
              <w:t xml:space="preserve">Meta-learning or AD alone, with no meaningful intersection</w:t>
            </w:r>
          </w:p>
        </w:tc>
      </w:tr>
      <w:tr>
        <w:tc>
          <w:tcPr/>
          <w:p>
            <w:pPr>
              <w:pStyle w:val="Compact"/>
              <w:jc w:val="left"/>
            </w:pPr>
            <w:r>
              <w:t xml:space="preserve">EC2</w:t>
            </w:r>
          </w:p>
        </w:tc>
        <w:tc>
          <w:tcPr/>
          <w:p>
            <w:pPr>
              <w:pStyle w:val="Compact"/>
              <w:jc w:val="left"/>
            </w:pPr>
            <w:r>
              <w:t xml:space="preserve">Image-based AD only, with no applicability to time series or sensor streams</w:t>
            </w:r>
          </w:p>
        </w:tc>
      </w:tr>
      <w:tr>
        <w:tc>
          <w:tcPr/>
          <w:p>
            <w:pPr>
              <w:pStyle w:val="Compact"/>
              <w:jc w:val="left"/>
            </w:pPr>
            <w:r>
              <w:t xml:space="preserve">EC3</w:t>
            </w:r>
          </w:p>
        </w:tc>
        <w:tc>
          <w:tcPr/>
          <w:p>
            <w:pPr>
              <w:pStyle w:val="Compact"/>
              <w:jc w:val="left"/>
            </w:pPr>
            <w:r>
              <w:t xml:space="preserve">Applies existing methods with no methodological contribution to either topic</w:t>
            </w:r>
          </w:p>
        </w:tc>
      </w:tr>
      <w:tr>
        <w:tc>
          <w:tcPr/>
          <w:p>
            <w:pPr>
              <w:pStyle w:val="Compact"/>
              <w:jc w:val="left"/>
            </w:pPr>
            <w:r>
              <w:t xml:space="preserve">EC4</w:t>
            </w:r>
          </w:p>
        </w:tc>
        <w:tc>
          <w:tcPr/>
          <w:p>
            <w:pPr>
              <w:pStyle w:val="Compact"/>
              <w:jc w:val="left"/>
            </w:pPr>
            <w:r>
              <w:t xml:space="preserve">Not peer-reviewed: preprints, workshop papers without formal review, duplicated submissions</w:t>
            </w:r>
          </w:p>
        </w:tc>
      </w:tr>
    </w:tbl>
    <w:p>
      <w:pPr>
        <w:pStyle w:val="BodyText"/>
      </w:pPr>
      <w:r>
        <w:t xml:space="preserve">Table 2. PRISMA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(5 databases)</w:t>
            </w:r>
          </w:p>
        </w:tc>
        <w:tc>
          <w:tcPr/>
          <w:p>
            <w:pPr>
              <w:pStyle w:val="Compact"/>
              <w:jc w:val="left"/>
            </w:pPr>
            <w:r>
              <w:t xml:space="preserve">1,247 records; 834 after removing 413 duplicates</w:t>
            </w:r>
          </w:p>
        </w:tc>
      </w:tr>
      <w:tr>
        <w:tc>
          <w:tcPr/>
          <w:p>
            <w:pPr>
              <w:pStyle w:val="Compact"/>
              <w:jc w:val="left"/>
            </w:pPr>
            <w:r>
              <w:t xml:space="preserve">2. Title and abstract screening</w:t>
            </w:r>
          </w:p>
        </w:tc>
        <w:tc>
          <w:tcPr/>
          <w:p>
            <w:pPr>
              <w:pStyle w:val="Compact"/>
              <w:jc w:val="left"/>
            </w:pPr>
            <w:r>
              <w:t xml:space="preserve">198 retained; 636 excluded</w:t>
            </w:r>
          </w:p>
        </w:tc>
      </w:tr>
      <w:tr>
        <w:tc>
          <w:tcPr/>
          <w:p>
            <w:pPr>
              <w:pStyle w:val="Compact"/>
              <w:jc w:val="left"/>
            </w:pPr>
            <w:r>
              <w:t xml:space="preserve">3. Full-text eligibility</w:t>
            </w:r>
          </w:p>
        </w:tc>
        <w:tc>
          <w:tcPr/>
          <w:p>
            <w:pPr>
              <w:pStyle w:val="Compact"/>
              <w:jc w:val="left"/>
            </w:pPr>
            <w:r>
              <w:t xml:space="preserve">74 retained; 124 excluded</w:t>
            </w:r>
          </w:p>
        </w:tc>
      </w:tr>
      <w:tr>
        <w:tc>
          <w:tcPr/>
          <w:p>
            <w:pPr>
              <w:pStyle w:val="Compact"/>
              <w:jc w:val="left"/>
            </w:pPr>
            <w:r>
              <w:t xml:space="preserve">4. Citation chaining</w:t>
            </w:r>
          </w:p>
        </w:tc>
        <w:tc>
          <w:tcPr/>
          <w:p>
            <w:pPr>
              <w:pStyle w:val="Compact"/>
              <w:jc w:val="left"/>
            </w:pPr>
            <w:r>
              <w:t xml:space="preserve">13 added</w:t>
            </w:r>
          </w:p>
        </w:tc>
      </w:tr>
      <w:tr>
        <w:tc>
          <w:tcPr/>
          <w:p>
            <w:pPr>
              <w:pStyle w:val="Compact"/>
              <w:jc w:val="left"/>
            </w:pPr>
            <w:r>
              <w:t xml:space="preserve">Final corpus</w:t>
            </w:r>
          </w:p>
        </w:tc>
        <w:tc>
          <w:tcPr/>
          <w:p>
            <w:pPr>
              <w:pStyle w:val="Compact"/>
              <w:jc w:val="left"/>
            </w:pPr>
            <w:r>
              <w:t xml:space="preserve">87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[26]</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meta-learning paradigm.</w:t>
      </w:r>
      <w:r>
        <w:t xml:space="preserve"> </w:t>
      </w:r>
      <w:r>
        <w:t xml:space="preserve">OPT: optimisation-based, learning a shared initialisation (MAML, MAML++, Meta-SGD). MET: metric-based, learning a task-agnostic embedding. MOD: model-based, using memory or recurrent architectures. HYB: two or more of the above.</w:t>
      </w:r>
    </w:p>
    <w:p>
      <w:pPr>
        <w:pStyle w:val="BodyText"/>
      </w:pPr>
      <w:r>
        <w:rPr>
          <w:iCs/>
          <w:i/>
        </w:rPr>
        <w:t xml:space="preserve">D2, detection mechanism.</w:t>
      </w:r>
      <w:r>
        <w:t xml:space="preserve"> </w:t>
      </w:r>
      <w:r>
        <w:t xml:space="preserve">REC: reconstruction error (AE, VAE). DIS: distance to learned prototypes. DEN: density estimation. PRE: prediction error. HYB: a combination.</w:t>
      </w:r>
    </w:p>
    <w:p>
      <w:pPr>
        <w:pStyle w:val="BodyText"/>
      </w:pPr>
      <w:r>
        <w:rPr>
          <w:iCs/>
          <w:i/>
        </w:rPr>
        <w:t xml:space="preserve">D3, streaming and drift capability.</w:t>
      </w:r>
      <w:r>
        <w:t xml:space="preserve"> </w:t>
      </w:r>
      <w:r>
        <w:t xml:space="preserve">STA: trained offline, no online update. INC: 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process benchmark (SWaT</w:t>
      </w:r>
      <w:r>
        <w:t xml:space="preserve"> </w:t>
      </w:r>
      <w:hyperlink w:anchor="ref-goh2016swat">
        <w:r>
          <w:rPr>
            <w:rStyle w:val="Hyperlink"/>
          </w:rPr>
          <w:t xml:space="preserve">[27]</w:t>
        </w:r>
      </w:hyperlink>
      <w:r>
        <w:t xml:space="preserve">, WADI</w:t>
      </w:r>
      <w:r>
        <w:t xml:space="preserve"> </w:t>
      </w:r>
      <w:hyperlink w:anchor="ref-ahmed2017wadi">
        <w:r>
          <w:rPr>
            <w:rStyle w:val="Hyperlink"/>
          </w:rPr>
          <w:t xml:space="preserve">[28]</w:t>
        </w:r>
      </w:hyperlink>
      <w:r>
        <w:t xml:space="preserve">, HAI</w:t>
      </w:r>
      <w:r>
        <w:t xml:space="preserve"> </w:t>
      </w:r>
      <w:hyperlink w:anchor="ref-shin2021hai">
        <w:r>
          <w:rPr>
            <w:rStyle w:val="Hyperlink"/>
          </w:rPr>
          <w:t xml:space="preserve">[29]</w:t>
        </w:r>
      </w:hyperlink>
      <w:r>
        <w:t xml:space="preserve">, SMAP/MSL</w:t>
      </w:r>
      <w:r>
        <w:t xml:space="preserve"> </w:t>
      </w:r>
      <w:hyperlink w:anchor="ref-hundman2018smap">
        <w:r>
          <w:rPr>
            <w:rStyle w:val="Hyperlink"/>
          </w:rPr>
          <w:t xml:space="preserve">[30]</w:t>
        </w:r>
      </w:hyperlink>
      <w:r>
        <w:t xml:space="preserve">). IOV: evaluated on broader IoT or network data. GEN: generic datasets. THE: theory or simulation only.</w:t>
      </w:r>
    </w:p>
    <w:p>
      <w:pPr>
        <w:pStyle w:val="BodyText"/>
      </w:pPr>
      <w:r>
        <w:t xml:space="preserve">Table 3 places representative papers on the grid, and Figure 1 plots the whole corpus on the D1 × D3 plane. Optimisation-based methods account for 48 of the 87 papers (55 %), metric-based for 27 (31 %), model-based for 10 (11 %) and hybrid for 2 (2 %).</w:t>
      </w:r>
    </w:p>
    <w:p>
      <w:pPr>
        <w:pStyle w:val="BodyText"/>
      </w:pPr>
      <w:r>
        <w:t xml:space="preserve">Table 3. Taxonomy placement of representative papers.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Moon et al.</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Feng et al.</w:t>
            </w:r>
            <w:r>
              <w:t xml:space="preserve"> </w:t>
            </w:r>
            <w:hyperlink w:anchor="ref-feng2025metauad">
              <w:r>
                <w:rPr>
                  <w:rStyle w:val="Hyperlink"/>
                </w:rPr>
                <w:t xml:space="preserve">[11]</w:t>
              </w:r>
            </w:hyperlink>
          </w:p>
        </w:tc>
        <w:tc>
          <w:tcPr/>
          <w:p>
            <w:pPr>
              <w:pStyle w:val="Compact"/>
              <w:jc w:val="left"/>
            </w:pPr>
            <w:r>
              <w:t xml:space="preserve">2025</w:t>
            </w:r>
          </w:p>
        </w:tc>
        <w:tc>
          <w:tcPr/>
          <w:p>
            <w:pPr>
              <w:pStyle w:val="Compact"/>
              <w:jc w:val="left"/>
            </w:pPr>
            <w:r>
              <w:t xml:space="preserve">OPT/Meta-SGD</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w:t>
            </w:r>
            <w:r>
              <w:t xml:space="preserve"> </w:t>
            </w:r>
            <w:hyperlink w:anchor="ref-tian2024omlog">
              <w:r>
                <w:rPr>
                  <w:rStyle w:val="Hyperlink"/>
                </w:rPr>
                <w:t xml:space="preserve">[12]</w:t>
              </w:r>
            </w:hyperlink>
          </w:p>
        </w:tc>
        <w:tc>
          <w:tcPr/>
          <w:p>
            <w:pPr>
              <w:pStyle w:val="Compact"/>
              <w:jc w:val="left"/>
            </w:pPr>
            <w:r>
              <w:t xml:space="preserve">2024</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Wahab</w:t>
            </w:r>
            <w:r>
              <w:t xml:space="preserve"> </w:t>
            </w:r>
            <w:hyperlink w:anchor="ref-wahab2022online">
              <w:r>
                <w:rPr>
                  <w:rStyle w:val="Hyperlink"/>
                </w:rPr>
                <w:t xml:space="preserve">[14]</w:t>
              </w:r>
            </w:hyperlink>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Zhang et al.</w:t>
            </w:r>
            <w:r>
              <w:t xml:space="preserve"> </w:t>
            </w:r>
            <w:hyperlink w:anchor="ref-zhang2023prn">
              <w:r>
                <w:rPr>
                  <w:rStyle w:val="Hyperlink"/>
                </w:rPr>
                <w:t xml:space="preserve">[31]</w:t>
              </w:r>
            </w:hyperlink>
          </w:p>
        </w:tc>
        <w:tc>
          <w:tcPr/>
          <w:p>
            <w:pPr>
              <w:pStyle w:val="Compact"/>
              <w:jc w:val="left"/>
            </w:pPr>
            <w:r>
              <w:t xml:space="preserve">2023</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[26]</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Wang et al.</w:t>
            </w:r>
            <w:r>
              <w:t xml:space="preserve"> </w:t>
            </w:r>
            <w:hyperlink w:anchor="ref-wang2024fewshot">
              <w:r>
                <w:rPr>
                  <w:rStyle w:val="Hyperlink"/>
                </w:rPr>
                <w:t xml:space="preserve">[32]</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254898"/>
            <wp:effectExtent b="0" l="0" r="0" t="0"/>
            <wp:docPr descr="Figure 1. Coverage of the 87 reviewed papers on the D1 × D3 plane. The online meta-adaptive column is empty for every paradigm; the hybrid row is almost empty. The bottom-right cell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254898"/>
                    </a:xfrm>
                    <a:prstGeom prst="rect">
                      <a:avLst/>
                    </a:prstGeom>
                    <a:noFill/>
                    <a:ln w="9525">
                      <a:noFill/>
                      <a:headEnd/>
                      <a:tailEnd/>
                    </a:ln>
                  </pic:spPr>
                </pic:pic>
              </a:graphicData>
            </a:graphic>
          </wp:inline>
        </w:drawing>
      </w:r>
    </w:p>
    <w:p>
      <w:pPr>
        <w:pStyle w:val="ImageCaption"/>
      </w:pPr>
      <w:r>
        <w:t xml:space="preserve">Figure 1. Coverage of the 87 reviewed papers on the D1 × D3 plane. The online meta-adaptive column is empty for every paradigm; the hybrid row is almost empty. The bottom-right cell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Most papers in every paradigm sit in the STA column. Methods designed for offline training are being applied to a problem that is online by nature.</w:t>
      </w:r>
    </w:p>
    <w:p>
      <w:pPr>
        <w:pStyle w:val="BodyText"/>
      </w:pPr>
      <w:r>
        <w:rPr>
          <w:iCs/>
          <w:i/>
        </w:rPr>
        <w:t xml:space="preserve">Finding 2, the OMA gap.</w:t>
      </w:r>
      <w:r>
        <w:t xml:space="preserve"> </w:t>
      </w:r>
      <w:r>
        <w:t xml:space="preserve">No paper in the corpus updates its meta-learning strategy in response to stream evolution. The column is empty for all four paradigms and for all eight years.</w:t>
      </w:r>
    </w:p>
    <w:p>
      <w:pPr>
        <w:pStyle w:val="BodyText"/>
      </w:pPr>
      <w:r>
        <w:rPr>
          <w:iCs/>
          <w:i/>
        </w:rPr>
        <w:t xml:space="preserve">Finding 3, the validation gap.</w:t>
      </w:r>
      <w:r>
        <w:t xml:space="preserve"> </w:t>
      </w:r>
      <w:r>
        <w:t xml:space="preserve">The papers that use SWaT, WADI, HAI or SMAP/MSL do not meta-learn; the papers that meta-learn do not use them. The only datasets on which meta-learning AD has been reported are network traffic (CIC-IDS</w:t>
      </w:r>
      <w:r>
        <w:t xml:space="preserve"> </w:t>
      </w:r>
      <w:hyperlink w:anchor="ref-feng2025metauad">
        <w:r>
          <w:rPr>
            <w:rStyle w:val="Hyperlink"/>
          </w:rPr>
          <w:t xml:space="preserve">[11]</w:t>
        </w:r>
      </w:hyperlink>
      <w:r>
        <w:t xml:space="preserve">) and software logs (HDFS/BGL</w:t>
      </w:r>
      <w:r>
        <w:t xml:space="preserve"> </w:t>
      </w:r>
      <w:hyperlink w:anchor="ref-tian2024omlog">
        <w:r>
          <w:rPr>
            <w:rStyle w:val="Hyperlink"/>
          </w:rPr>
          <w:t xml:space="preserve">[12]</w:t>
        </w:r>
      </w:hyperlink>
      <w:r>
        <w:t xml:space="preserve">).</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[22]</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[33]</w:t>
        </w:r>
      </w:hyperlink>
      <w:r>
        <w:t xml:space="preserve">,</w:t>
      </w:r>
      <w:r>
        <w:t xml:space="preserve"> </w:t>
      </w:r>
      <w:hyperlink w:anchor="ref-garg2022evaluation">
        <w:r>
          <w:rPr>
            <w:rStyle w:val="Hyperlink"/>
          </w:rPr>
          <w:t xml:space="preserve">[34]</w:t>
        </w:r>
      </w:hyperlink>
      <w:r>
        <w:t xml:space="preserve">,</w:t>
      </w:r>
      <w:r>
        <w:t xml:space="preserve"> </w:t>
      </w:r>
      <w:hyperlink w:anchor="ref-wu2023flawed">
        <w:r>
          <w:rPr>
            <w:rStyle w:val="Hyperlink"/>
          </w:rPr>
          <w:t xml:space="preserve">[35]</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SWaT and WADI are licence-gated by iTrust and SMAP/MSL were not reachable from our build environment, so the mandatory tier is now the set of openly downloadable industrial and server benchmarks, with SWaT/WADI/SMAP/MSL as an optional tier the loader supports.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Mandatory: HAI 21.03 (ICS testbed), SMD (server machines), SKAB (rotating-machinery rig), PSM (server metrics). Optional: SWaT, WADI, SMAP, MSL.</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[36]</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02908" cy="2724850"/>
            <wp:effectExtent b="0" l="0" r="0" t="0"/>
            <wp:docPr descr="Figure 2. DAMAD. Solid arrows are the steady-state path taken at every step; dashed arrows fire only after a confirmed regime change." title="" id="38" name="Picture"/>
            <a:graphic>
              <a:graphicData uri="http://schemas.openxmlformats.org/drawingml/2006/picture">
                <pic:pic>
                  <pic:nvPicPr>
                    <pic:cNvPr descr="../figures/fig_architecture.png" id="39" name="Picture"/>
                    <pic:cNvPicPr>
                      <a:picLocks noChangeArrowheads="1" noChangeAspect="1"/>
                    </pic:cNvPicPr>
                  </pic:nvPicPr>
                  <pic:blipFill>
                    <a:blip r:embed="rId37"/>
                    <a:stretch>
                      <a:fillRect/>
                    </a:stretch>
                  </pic:blipFill>
                  <pic:spPr bwMode="auto">
                    <a:xfrm>
                      <a:off x="0" y="0"/>
                      <a:ext cx="5302908" cy="2724850"/>
                    </a:xfrm>
                    <a:prstGeom prst="rect">
                      <a:avLst/>
                    </a:prstGeom>
                    <a:noFill/>
                    <a:ln w="9525">
                      <a:noFill/>
                      <a:headEnd/>
                      <a:tailEnd/>
                    </a:ln>
                  </pic:spPr>
                </pic:pic>
              </a:graphicData>
            </a:graphic>
          </wp:inline>
        </w:drawing>
      </w:r>
    </w:p>
    <w:p>
      <w:pPr>
        <w:pStyle w:val="ImageCaption"/>
      </w:pPr>
      <w:r>
        <w:t xml:space="preserve">Figure 2. DAMAD. Solid arrows are the steady-state path taken at every step; dashed arrows fire only after a confirmed regime change.</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[18]</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[19]</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[36]</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[23]</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[37]</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HAI and on the server benchmarks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[29]</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[38]</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[39]</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[40]</w:t>
        </w:r>
      </w:hyperlink>
      <w:r>
        <w:t xml:space="preserve"> </w:t>
      </w:r>
      <w:r>
        <w:t xml:space="preserve">is a single stream of 25 server metrics; regimes for meta-training are carved from its training part, and its test part is the held-out stream.</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and PSM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6" w:name="results"/>
    <w:p>
      <w:pPr>
        <w:pStyle w:val="Heading1"/>
      </w:pPr>
      <w:r>
        <w:t xml:space="preserve">7 Results</w:t>
      </w:r>
    </w:p>
    <w:p>
      <w:pPr>
        <w:pStyle w:val="FirstParagraph"/>
      </w:pPr>
      <w:r>
        <w:t xml:space="preserve">All numbers are means ± standard deviations over five seeds, where each seed’s value is first averaged over the held-out entities of a dataset. The complete tables, including per-dataset versions of every pooled table, are in the repository; the ones reproduced here are the ones the text refers to. In total 7,560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 8 gives point-wise F1 at each method’s own threshold and AUROC on the original test streams with K = 5. Two things stand out. The AUROC column is almost flat across every VAE-based method on every dataset: 85–87 % on SKAB, 82–87 % on SMD, 69–78 % on PSM, 94–95 % on HAI. The ranking of the raw scores does not depend much on how the model was initialised or whether it adapts. What differs is F1, and F1 is decided by the threshold and by what the detector does after the first 300 windows.</w:t>
      </w:r>
    </w:p>
    <w:p>
      <w:pPr>
        <w:pStyle w:val="BodyText"/>
      </w:pPr>
      <w:r>
        <w:t xml:space="preserve">Table 8. Cold start on held-out entities, no injected drift, K = 5. Point-wise F1 (%) at the deployed threshold and AUROC (%).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 F1</w:t>
            </w:r>
          </w:p>
        </w:tc>
        <w:tc>
          <w:tcPr/>
          <w:p>
            <w:pPr>
              <w:pStyle w:val="Compact"/>
              <w:jc w:val="left"/>
            </w:pPr>
            <w:r>
              <w:t xml:space="preserve">SMD F1</w:t>
            </w:r>
          </w:p>
        </w:tc>
        <w:tc>
          <w:tcPr/>
          <w:p>
            <w:pPr>
              <w:pStyle w:val="Compact"/>
              <w:jc w:val="left"/>
            </w:pPr>
            <w:r>
              <w:t xml:space="preserve">PSM F1</w:t>
            </w:r>
          </w:p>
        </w:tc>
        <w:tc>
          <w:tcPr/>
          <w:p>
            <w:pPr>
              <w:pStyle w:val="Compact"/>
              <w:jc w:val="left"/>
            </w:pPr>
            <w:r>
              <w:t xml:space="preserve">HAI F1</w:t>
            </w:r>
          </w:p>
        </w:tc>
        <w:tc>
          <w:tcPr/>
          <w:p>
            <w:pPr>
              <w:pStyle w:val="Compact"/>
              <w:jc w:val="left"/>
            </w:pPr>
            <w:r>
              <w:t xml:space="preserve">SKAB AUROC</w:t>
            </w:r>
          </w:p>
        </w:tc>
        <w:tc>
          <w:tcPr/>
          <w:p>
            <w:pPr>
              <w:pStyle w:val="Compact"/>
              <w:jc w:val="left"/>
            </w:pPr>
            <w:r>
              <w:t xml:space="preserve">SMD AUROC</w:t>
            </w:r>
          </w:p>
        </w:tc>
        <w:tc>
          <w:tcPr/>
          <w:p>
            <w:pPr>
              <w:pStyle w:val="Compact"/>
              <w:jc w:val="left"/>
            </w:pPr>
            <w:r>
              <w:t xml:space="preserve">PSM AUROC</w:t>
            </w:r>
          </w:p>
        </w:tc>
        <w:tc>
          <w:tcPr/>
          <w:p>
            <w:pPr>
              <w:pStyle w:val="Compact"/>
              <w:jc w:val="left"/>
            </w:pPr>
            <w:r>
              <w:t xml:space="preserve">HAI AUROC</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r>
    </w:tbl>
    <w:p>
      <w:pPr>
        <w:pStyle w:val="BodyText"/>
      </w:pPr>
      <w:r>
        <w:t xml:space="preserve">Without drift, the static VAE is as good as anything else and better than the meta-learned detectors on PSM and HAI. The meta-learned initialisation adapted once (MAML-1, MSGD-1) does not beat it on any dataset;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and higher precision (0.30 versus 0.27);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 On PSM the high standard deviation (± 14.5) comes from one seed in which an early adaptation on a contaminated calibration window set a threshold the detector did not recover from.</w:t>
      </w:r>
    </w:p>
    <w:p>
      <w:pPr>
        <w:pStyle w:val="BodyText"/>
      </w:pPr>
      <w:r>
        <w:t xml:space="preserve">Table 9 shows F1 against the number of support windows. The lines are flat: on no dataset does going from one to ten support windows move any method by more than two points, and on SKAB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w:t>
      </w:r>
    </w:p>
    <w:p>
      <w:pPr>
        <w:pStyle w:val="BodyText"/>
      </w:pPr>
      <w:r>
        <w:t xml:space="preserve">Table 9. F1 (%) versus support-set size K on the original test streams.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SKAB 1</w:t>
            </w:r>
          </w:p>
        </w:tc>
        <w:tc>
          <w:tcPr/>
          <w:p>
            <w:pPr>
              <w:pStyle w:val="Compact"/>
              <w:jc w:val="left"/>
            </w:pPr>
            <w:r>
              <w:t xml:space="preserve">SKAB 5</w:t>
            </w:r>
          </w:p>
        </w:tc>
        <w:tc>
          <w:tcPr/>
          <w:p>
            <w:pPr>
              <w:pStyle w:val="Compact"/>
              <w:jc w:val="left"/>
            </w:pPr>
            <w:r>
              <w:t xml:space="preserve">SKAB 10</w:t>
            </w:r>
          </w:p>
        </w:tc>
        <w:tc>
          <w:tcPr/>
          <w:p>
            <w:pPr>
              <w:pStyle w:val="Compact"/>
              <w:jc w:val="left"/>
            </w:pPr>
            <w:r>
              <w:t xml:space="preserve">SMD 1</w:t>
            </w:r>
          </w:p>
        </w:tc>
        <w:tc>
          <w:tcPr/>
          <w:p>
            <w:pPr>
              <w:pStyle w:val="Compact"/>
              <w:jc w:val="left"/>
            </w:pPr>
            <w:r>
              <w:t xml:space="preserve">SMD 5</w:t>
            </w:r>
          </w:p>
        </w:tc>
        <w:tc>
          <w:tcPr/>
          <w:p>
            <w:pPr>
              <w:pStyle w:val="Compact"/>
              <w:jc w:val="left"/>
            </w:pPr>
            <w:r>
              <w:t xml:space="preserve">SMD 10</w:t>
            </w:r>
          </w:p>
        </w:tc>
        <w:tc>
          <w:tcPr/>
          <w:p>
            <w:pPr>
              <w:pStyle w:val="Compact"/>
              <w:jc w:val="left"/>
            </w:pPr>
            <w:r>
              <w:t xml:space="preserve">PSM 1</w:t>
            </w:r>
          </w:p>
        </w:tc>
        <w:tc>
          <w:tcPr/>
          <w:p>
            <w:pPr>
              <w:pStyle w:val="Compact"/>
              <w:jc w:val="left"/>
            </w:pPr>
            <w:r>
              <w:t xml:space="preserve">PSM 5</w:t>
            </w:r>
          </w:p>
        </w:tc>
        <w:tc>
          <w:tcPr/>
          <w:p>
            <w:pPr>
              <w:pStyle w:val="Compact"/>
              <w:jc w:val="left"/>
            </w:pPr>
            <w:r>
              <w:t xml:space="preserve">PSM 10</w:t>
            </w:r>
          </w:p>
        </w:tc>
        <w:tc>
          <w:tcPr/>
          <w:p>
            <w:pPr>
              <w:pStyle w:val="Compact"/>
              <w:jc w:val="left"/>
            </w:pPr>
            <w:r>
              <w:t xml:space="preserve">HAI 1</w:t>
            </w:r>
          </w:p>
        </w:tc>
        <w:tc>
          <w:tcPr/>
          <w:p>
            <w:pPr>
              <w:pStyle w:val="Compact"/>
              <w:jc w:val="left"/>
            </w:pPr>
            <w:r>
              <w:t xml:space="preserve">HAI 5</w:t>
            </w:r>
          </w:p>
        </w:tc>
        <w:tc>
          <w:tcPr/>
          <w:p>
            <w:pPr>
              <w:pStyle w:val="Compact"/>
              <w:jc w:val="left"/>
            </w:pPr>
            <w:r>
              <w:t xml:space="preserve">HAI 10</w:t>
            </w:r>
          </w:p>
        </w:tc>
      </w:tr>
      <w:tr>
        <w:tc>
          <w:tcPr/>
          <w:p>
            <w:pPr>
              <w:pStyle w:val="Compact"/>
              <w:jc w:val="left"/>
            </w:pPr>
            <w:r>
              <w:t xml:space="preserve">VAE-S</w:t>
            </w:r>
          </w:p>
        </w:tc>
        <w:tc>
          <w:tcPr/>
          <w:p>
            <w:pPr>
              <w:pStyle w:val="Compact"/>
              <w:jc w:val="left"/>
            </w:pPr>
            <w:r>
              <w:t xml:space="preserve">64.2</w:t>
            </w:r>
          </w:p>
        </w:tc>
        <w:tc>
          <w:tcPr/>
          <w:p>
            <w:pPr>
              <w:pStyle w:val="Compact"/>
              <w:jc w:val="left"/>
            </w:pPr>
            <w:r>
              <w:t xml:space="preserve">64.1</w:t>
            </w:r>
          </w:p>
        </w:tc>
        <w:tc>
          <w:tcPr/>
          <w:p>
            <w:pPr>
              <w:pStyle w:val="Compact"/>
              <w:jc w:val="left"/>
            </w:pPr>
            <w:r>
              <w:t xml:space="preserve">63.6</w:t>
            </w:r>
          </w:p>
        </w:tc>
        <w:tc>
          <w:tcPr/>
          <w:p>
            <w:pPr>
              <w:pStyle w:val="Compact"/>
              <w:jc w:val="left"/>
            </w:pPr>
            <w:r>
              <w:t xml:space="preserve">29.4</w:t>
            </w:r>
          </w:p>
        </w:tc>
        <w:tc>
          <w:tcPr/>
          <w:p>
            <w:pPr>
              <w:pStyle w:val="Compact"/>
              <w:jc w:val="left"/>
            </w:pPr>
            <w:r>
              <w:t xml:space="preserve">29.4</w:t>
            </w:r>
          </w:p>
        </w:tc>
        <w:tc>
          <w:tcPr/>
          <w:p>
            <w:pPr>
              <w:pStyle w:val="Compact"/>
              <w:jc w:val="left"/>
            </w:pPr>
            <w:r>
              <w:t xml:space="preserve">29.4</w:t>
            </w:r>
          </w:p>
        </w:tc>
        <w:tc>
          <w:tcPr/>
          <w:p>
            <w:pPr>
              <w:pStyle w:val="Compact"/>
              <w:jc w:val="left"/>
            </w:pPr>
            <w:r>
              <w:t xml:space="preserve">59.3</w:t>
            </w:r>
          </w:p>
        </w:tc>
        <w:tc>
          <w:tcPr/>
          <w:p>
            <w:pPr>
              <w:pStyle w:val="Compact"/>
              <w:jc w:val="left"/>
            </w:pPr>
            <w:r>
              <w:t xml:space="preserve">59.3</w:t>
            </w:r>
          </w:p>
        </w:tc>
        <w:tc>
          <w:tcPr/>
          <w:p>
            <w:pPr>
              <w:pStyle w:val="Compact"/>
              <w:jc w:val="left"/>
            </w:pPr>
            <w:r>
              <w:t xml:space="preserve">59.3</w:t>
            </w:r>
          </w:p>
        </w:tc>
        <w:tc>
          <w:tcPr/>
          <w:p>
            <w:pPr>
              <w:pStyle w:val="Compact"/>
              <w:jc w:val="left"/>
            </w:pPr>
            <w:r>
              <w:t xml:space="preserve">32.7</w:t>
            </w:r>
          </w:p>
        </w:tc>
        <w:tc>
          <w:tcPr/>
          <w:p>
            <w:pPr>
              <w:pStyle w:val="Compact"/>
              <w:jc w:val="left"/>
            </w:pPr>
            <w:r>
              <w:t xml:space="preserve">32.7</w:t>
            </w:r>
          </w:p>
        </w:tc>
        <w:tc>
          <w:tcPr/>
          <w:p>
            <w:pPr>
              <w:pStyle w:val="Compact"/>
              <w:jc w:val="left"/>
            </w:pPr>
            <w:r>
              <w:t xml:space="preserve">32.7</w:t>
            </w:r>
          </w:p>
        </w:tc>
      </w:tr>
      <w:tr>
        <w:tc>
          <w:tcPr/>
          <w:p>
            <w:pPr>
              <w:pStyle w:val="Compact"/>
              <w:jc w:val="left"/>
            </w:pPr>
            <w:r>
              <w:t xml:space="preserve">VAE-FT</w:t>
            </w:r>
          </w:p>
        </w:tc>
        <w:tc>
          <w:tcPr/>
          <w:p>
            <w:pPr>
              <w:pStyle w:val="Compact"/>
              <w:jc w:val="left"/>
            </w:pPr>
            <w:r>
              <w:t xml:space="preserve">66.7</w:t>
            </w:r>
          </w:p>
        </w:tc>
        <w:tc>
          <w:tcPr/>
          <w:p>
            <w:pPr>
              <w:pStyle w:val="Compact"/>
              <w:jc w:val="left"/>
            </w:pPr>
            <w:r>
              <w:t xml:space="preserve">65.6</w:t>
            </w:r>
          </w:p>
        </w:tc>
        <w:tc>
          <w:tcPr/>
          <w:p>
            <w:pPr>
              <w:pStyle w:val="Compact"/>
              <w:jc w:val="left"/>
            </w:pPr>
            <w:r>
              <w:t xml:space="preserve">64.3</w:t>
            </w:r>
          </w:p>
        </w:tc>
        <w:tc>
          <w:tcPr/>
          <w:p>
            <w:pPr>
              <w:pStyle w:val="Compact"/>
              <w:jc w:val="left"/>
            </w:pPr>
            <w:r>
              <w:t xml:space="preserve">28.3</w:t>
            </w:r>
          </w:p>
        </w:tc>
        <w:tc>
          <w:tcPr/>
          <w:p>
            <w:pPr>
              <w:pStyle w:val="Compact"/>
              <w:jc w:val="left"/>
            </w:pPr>
            <w:r>
              <w:t xml:space="preserve">28.7</w:t>
            </w:r>
          </w:p>
        </w:tc>
        <w:tc>
          <w:tcPr/>
          <w:p>
            <w:pPr>
              <w:pStyle w:val="Compact"/>
              <w:jc w:val="left"/>
            </w:pPr>
            <w:r>
              <w:t xml:space="preserve">28.4</w:t>
            </w:r>
          </w:p>
        </w:tc>
        <w:tc>
          <w:tcPr/>
          <w:p>
            <w:pPr>
              <w:pStyle w:val="Compact"/>
              <w:jc w:val="left"/>
            </w:pPr>
            <w:r>
              <w:t xml:space="preserve">52.1</w:t>
            </w:r>
          </w:p>
        </w:tc>
        <w:tc>
          <w:tcPr/>
          <w:p>
            <w:pPr>
              <w:pStyle w:val="Compact"/>
              <w:jc w:val="left"/>
            </w:pPr>
            <w:r>
              <w:t xml:space="preserve">52.4</w:t>
            </w:r>
          </w:p>
        </w:tc>
        <w:tc>
          <w:tcPr/>
          <w:p>
            <w:pPr>
              <w:pStyle w:val="Compact"/>
              <w:jc w:val="left"/>
            </w:pPr>
            <w:r>
              <w:t xml:space="preserve">52.4</w:t>
            </w:r>
          </w:p>
        </w:tc>
        <w:tc>
          <w:tcPr/>
          <w:p>
            <w:pPr>
              <w:pStyle w:val="Compact"/>
              <w:jc w:val="left"/>
            </w:pPr>
            <w:r>
              <w:t xml:space="preserve">33.8</w:t>
            </w:r>
          </w:p>
        </w:tc>
        <w:tc>
          <w:tcPr/>
          <w:p>
            <w:pPr>
              <w:pStyle w:val="Compact"/>
              <w:jc w:val="left"/>
            </w:pPr>
            <w:r>
              <w:t xml:space="preserve">32.2</w:t>
            </w:r>
          </w:p>
        </w:tc>
        <w:tc>
          <w:tcPr/>
          <w:p>
            <w:pPr>
              <w:pStyle w:val="Compact"/>
              <w:jc w:val="left"/>
            </w:pPr>
            <w:r>
              <w:t xml:space="preserve">31.0</w:t>
            </w:r>
          </w:p>
        </w:tc>
      </w:tr>
      <w:tr>
        <w:tc>
          <w:tcPr/>
          <w:p>
            <w:pPr>
              <w:pStyle w:val="Compact"/>
              <w:jc w:val="left"/>
            </w:pPr>
            <w:r>
              <w:t xml:space="preserve">MAML-1</w:t>
            </w:r>
          </w:p>
        </w:tc>
        <w:tc>
          <w:tcPr/>
          <w:p>
            <w:pPr>
              <w:pStyle w:val="Compact"/>
              <w:jc w:val="left"/>
            </w:pPr>
            <w:r>
              <w:t xml:space="preserve">64.1</w:t>
            </w:r>
          </w:p>
        </w:tc>
        <w:tc>
          <w:tcPr/>
          <w:p>
            <w:pPr>
              <w:pStyle w:val="Compact"/>
              <w:jc w:val="left"/>
            </w:pPr>
            <w:r>
              <w:t xml:space="preserve">64.1</w:t>
            </w:r>
          </w:p>
        </w:tc>
        <w:tc>
          <w:tcPr/>
          <w:p>
            <w:pPr>
              <w:pStyle w:val="Compact"/>
              <w:jc w:val="left"/>
            </w:pPr>
            <w:r>
              <w:t xml:space="preserve">63.2</w:t>
            </w:r>
          </w:p>
        </w:tc>
        <w:tc>
          <w:tcPr/>
          <w:p>
            <w:pPr>
              <w:pStyle w:val="Compact"/>
              <w:jc w:val="left"/>
            </w:pPr>
            <w:r>
              <w:t xml:space="preserve">26.3</w:t>
            </w:r>
          </w:p>
        </w:tc>
        <w:tc>
          <w:tcPr/>
          <w:p>
            <w:pPr>
              <w:pStyle w:val="Compact"/>
              <w:jc w:val="left"/>
            </w:pPr>
            <w:r>
              <w:t xml:space="preserve">26.1</w:t>
            </w:r>
          </w:p>
        </w:tc>
        <w:tc>
          <w:tcPr/>
          <w:p>
            <w:pPr>
              <w:pStyle w:val="Compact"/>
              <w:jc w:val="left"/>
            </w:pPr>
            <w:r>
              <w:t xml:space="preserve">26.2</w:t>
            </w:r>
          </w:p>
        </w:tc>
        <w:tc>
          <w:tcPr/>
          <w:p>
            <w:pPr>
              <w:pStyle w:val="Compact"/>
              <w:jc w:val="left"/>
            </w:pPr>
            <w:r>
              <w:t xml:space="preserve">53.3</w:t>
            </w:r>
          </w:p>
        </w:tc>
        <w:tc>
          <w:tcPr/>
          <w:p>
            <w:pPr>
              <w:pStyle w:val="Compact"/>
              <w:jc w:val="left"/>
            </w:pPr>
            <w:r>
              <w:t xml:space="preserve">52.6</w:t>
            </w:r>
          </w:p>
        </w:tc>
        <w:tc>
          <w:tcPr/>
          <w:p>
            <w:pPr>
              <w:pStyle w:val="Compact"/>
              <w:jc w:val="left"/>
            </w:pPr>
            <w:r>
              <w:t xml:space="preserve">51.5</w:t>
            </w:r>
          </w:p>
        </w:tc>
        <w:tc>
          <w:tcPr/>
          <w:p>
            <w:pPr>
              <w:pStyle w:val="Compact"/>
              <w:jc w:val="left"/>
            </w:pPr>
            <w:r>
              <w:t xml:space="preserve">22.4</w:t>
            </w:r>
          </w:p>
        </w:tc>
        <w:tc>
          <w:tcPr/>
          <w:p>
            <w:pPr>
              <w:pStyle w:val="Compact"/>
              <w:jc w:val="left"/>
            </w:pPr>
            <w:r>
              <w:t xml:space="preserve">21.7</w:t>
            </w:r>
          </w:p>
        </w:tc>
        <w:tc>
          <w:tcPr/>
          <w:p>
            <w:pPr>
              <w:pStyle w:val="Compact"/>
              <w:jc w:val="left"/>
            </w:pPr>
            <w:r>
              <w:t xml:space="preserve">21.2</w:t>
            </w:r>
          </w:p>
        </w:tc>
      </w:tr>
      <w:tr>
        <w:tc>
          <w:tcPr/>
          <w:p>
            <w:pPr>
              <w:pStyle w:val="Compact"/>
              <w:jc w:val="left"/>
            </w:pPr>
            <w:r>
              <w:t xml:space="preserve">MSGD-1</w:t>
            </w:r>
          </w:p>
        </w:tc>
        <w:tc>
          <w:tcPr/>
          <w:p>
            <w:pPr>
              <w:pStyle w:val="Compact"/>
              <w:jc w:val="left"/>
            </w:pPr>
            <w:r>
              <w:t xml:space="preserve">64.2</w:t>
            </w:r>
          </w:p>
        </w:tc>
        <w:tc>
          <w:tcPr/>
          <w:p>
            <w:pPr>
              <w:pStyle w:val="Compact"/>
              <w:jc w:val="left"/>
            </w:pPr>
            <w:r>
              <w:t xml:space="preserve">64.0</w:t>
            </w:r>
          </w:p>
        </w:tc>
        <w:tc>
          <w:tcPr/>
          <w:p>
            <w:pPr>
              <w:pStyle w:val="Compact"/>
              <w:jc w:val="left"/>
            </w:pPr>
            <w:r>
              <w:t xml:space="preserve">63.2</w:t>
            </w:r>
          </w:p>
        </w:tc>
        <w:tc>
          <w:tcPr/>
          <w:p>
            <w:pPr>
              <w:pStyle w:val="Compact"/>
              <w:jc w:val="left"/>
            </w:pPr>
            <w:r>
              <w:t xml:space="preserve">26.8</w:t>
            </w:r>
          </w:p>
        </w:tc>
        <w:tc>
          <w:tcPr/>
          <w:p>
            <w:pPr>
              <w:pStyle w:val="Compact"/>
              <w:jc w:val="left"/>
            </w:pPr>
            <w:r>
              <w:t xml:space="preserve">26.6</w:t>
            </w:r>
          </w:p>
        </w:tc>
        <w:tc>
          <w:tcPr/>
          <w:p>
            <w:pPr>
              <w:pStyle w:val="Compact"/>
              <w:jc w:val="left"/>
            </w:pPr>
            <w:r>
              <w:t xml:space="preserve">26.7</w:t>
            </w:r>
          </w:p>
        </w:tc>
        <w:tc>
          <w:tcPr/>
          <w:p>
            <w:pPr>
              <w:pStyle w:val="Compact"/>
              <w:jc w:val="left"/>
            </w:pPr>
            <w:r>
              <w:t xml:space="preserve">53.3</w:t>
            </w:r>
          </w:p>
        </w:tc>
        <w:tc>
          <w:tcPr/>
          <w:p>
            <w:pPr>
              <w:pStyle w:val="Compact"/>
              <w:jc w:val="left"/>
            </w:pPr>
            <w:r>
              <w:t xml:space="preserve">53.6</w:t>
            </w:r>
          </w:p>
        </w:tc>
        <w:tc>
          <w:tcPr/>
          <w:p>
            <w:pPr>
              <w:pStyle w:val="Compact"/>
              <w:jc w:val="left"/>
            </w:pPr>
            <w:r>
              <w:t xml:space="preserve">52.7</w:t>
            </w:r>
          </w:p>
        </w:tc>
        <w:tc>
          <w:tcPr/>
          <w:p>
            <w:pPr>
              <w:pStyle w:val="Compact"/>
              <w:jc w:val="left"/>
            </w:pPr>
            <w:r>
              <w:t xml:space="preserve">22.1</w:t>
            </w:r>
          </w:p>
        </w:tc>
        <w:tc>
          <w:tcPr/>
          <w:p>
            <w:pPr>
              <w:pStyle w:val="Compact"/>
              <w:jc w:val="left"/>
            </w:pPr>
            <w:r>
              <w:t xml:space="preserve">21.6</w:t>
            </w:r>
          </w:p>
        </w:tc>
        <w:tc>
          <w:tcPr/>
          <w:p>
            <w:pPr>
              <w:pStyle w:val="Compact"/>
              <w:jc w:val="left"/>
            </w:pPr>
            <w:r>
              <w:t xml:space="preserve">21.1</w:t>
            </w:r>
          </w:p>
        </w:tc>
      </w:tr>
      <w:tr>
        <w:tc>
          <w:tcPr/>
          <w:p>
            <w:pPr>
              <w:pStyle w:val="Compact"/>
              <w:jc w:val="left"/>
            </w:pPr>
            <w:r>
              <w:t xml:space="preserve">OML-A</w:t>
            </w:r>
          </w:p>
        </w:tc>
        <w:tc>
          <w:tcPr/>
          <w:p>
            <w:pPr>
              <w:pStyle w:val="Compact"/>
              <w:jc w:val="left"/>
            </w:pPr>
            <w:r>
              <w:t xml:space="preserve">63.2</w:t>
            </w:r>
          </w:p>
        </w:tc>
        <w:tc>
          <w:tcPr/>
          <w:p>
            <w:pPr>
              <w:pStyle w:val="Compact"/>
              <w:jc w:val="left"/>
            </w:pPr>
            <w:r>
              <w:t xml:space="preserve">62.8</w:t>
            </w:r>
          </w:p>
        </w:tc>
        <w:tc>
          <w:tcPr/>
          <w:p>
            <w:pPr>
              <w:pStyle w:val="Compact"/>
              <w:jc w:val="left"/>
            </w:pPr>
            <w:r>
              <w:t xml:space="preserve">62.3</w:t>
            </w:r>
          </w:p>
        </w:tc>
        <w:tc>
          <w:tcPr/>
          <w:p>
            <w:pPr>
              <w:pStyle w:val="Compact"/>
              <w:jc w:val="left"/>
            </w:pPr>
            <w:r>
              <w:t xml:space="preserve">26.7</w:t>
            </w:r>
          </w:p>
        </w:tc>
        <w:tc>
          <w:tcPr/>
          <w:p>
            <w:pPr>
              <w:pStyle w:val="Compact"/>
              <w:jc w:val="left"/>
            </w:pPr>
            <w:r>
              <w:t xml:space="preserve">27.0</w:t>
            </w:r>
          </w:p>
        </w:tc>
        <w:tc>
          <w:tcPr/>
          <w:p>
            <w:pPr>
              <w:pStyle w:val="Compact"/>
              <w:jc w:val="left"/>
            </w:pPr>
            <w:r>
              <w:t xml:space="preserve">26.8</w:t>
            </w:r>
          </w:p>
        </w:tc>
        <w:tc>
          <w:tcPr/>
          <w:p>
            <w:pPr>
              <w:pStyle w:val="Compact"/>
              <w:jc w:val="left"/>
            </w:pPr>
            <w:r>
              <w:t xml:space="preserve">53.4</w:t>
            </w:r>
          </w:p>
        </w:tc>
        <w:tc>
          <w:tcPr/>
          <w:p>
            <w:pPr>
              <w:pStyle w:val="Compact"/>
              <w:jc w:val="left"/>
            </w:pPr>
            <w:r>
              <w:t xml:space="preserve">52.6</w:t>
            </w:r>
          </w:p>
        </w:tc>
        <w:tc>
          <w:tcPr/>
          <w:p>
            <w:pPr>
              <w:pStyle w:val="Compact"/>
              <w:jc w:val="left"/>
            </w:pPr>
            <w:r>
              <w:t xml:space="preserve">51.0</w:t>
            </w:r>
          </w:p>
        </w:tc>
        <w:tc>
          <w:tcPr/>
          <w:p>
            <w:pPr>
              <w:pStyle w:val="Compact"/>
              <w:jc w:val="left"/>
            </w:pPr>
            <w:r>
              <w:t xml:space="preserve">23.6</w:t>
            </w:r>
          </w:p>
        </w:tc>
        <w:tc>
          <w:tcPr/>
          <w:p>
            <w:pPr>
              <w:pStyle w:val="Compact"/>
              <w:jc w:val="left"/>
            </w:pPr>
            <w:r>
              <w:t xml:space="preserve">23.5</w:t>
            </w:r>
          </w:p>
        </w:tc>
        <w:tc>
          <w:tcPr/>
          <w:p>
            <w:pPr>
              <w:pStyle w:val="Compact"/>
              <w:jc w:val="left"/>
            </w:pPr>
            <w:r>
              <w:t xml:space="preserve">23.9</w:t>
            </w:r>
          </w:p>
        </w:tc>
      </w:tr>
      <w:tr>
        <w:tc>
          <w:tcPr/>
          <w:p>
            <w:pPr>
              <w:pStyle w:val="Compact"/>
              <w:jc w:val="left"/>
            </w:pPr>
            <w:r>
              <w:t xml:space="preserve">DAMAD</w:t>
            </w:r>
          </w:p>
        </w:tc>
        <w:tc>
          <w:tcPr/>
          <w:p>
            <w:pPr>
              <w:pStyle w:val="Compact"/>
              <w:jc w:val="left"/>
            </w:pPr>
            <w:r>
              <w:t xml:space="preserve">54.7</w:t>
            </w:r>
          </w:p>
        </w:tc>
        <w:tc>
          <w:tcPr/>
          <w:p>
            <w:pPr>
              <w:pStyle w:val="Compact"/>
              <w:jc w:val="left"/>
            </w:pPr>
            <w:r>
              <w:t xml:space="preserve">54.9</w:t>
            </w:r>
          </w:p>
        </w:tc>
        <w:tc>
          <w:tcPr/>
          <w:p>
            <w:pPr>
              <w:pStyle w:val="Compact"/>
              <w:jc w:val="left"/>
            </w:pPr>
            <w:r>
              <w:t xml:space="preserve">55.2</w:t>
            </w:r>
          </w:p>
        </w:tc>
        <w:tc>
          <w:tcPr/>
          <w:p>
            <w:pPr>
              <w:pStyle w:val="Compact"/>
              <w:jc w:val="left"/>
            </w:pPr>
            <w:r>
              <w:t xml:space="preserve">30.2</w:t>
            </w:r>
          </w:p>
        </w:tc>
        <w:tc>
          <w:tcPr/>
          <w:p>
            <w:pPr>
              <w:pStyle w:val="Compact"/>
              <w:jc w:val="left"/>
            </w:pPr>
            <w:r>
              <w:t xml:space="preserve">29.4</w:t>
            </w:r>
          </w:p>
        </w:tc>
        <w:tc>
          <w:tcPr/>
          <w:p>
            <w:pPr>
              <w:pStyle w:val="Compact"/>
              <w:jc w:val="left"/>
            </w:pPr>
            <w:r>
              <w:t xml:space="preserve">29.2</w:t>
            </w:r>
          </w:p>
        </w:tc>
        <w:tc>
          <w:tcPr/>
          <w:p>
            <w:pPr>
              <w:pStyle w:val="Compact"/>
              <w:jc w:val="left"/>
            </w:pPr>
            <w:r>
              <w:t xml:space="preserve">33.3</w:t>
            </w:r>
          </w:p>
        </w:tc>
        <w:tc>
          <w:tcPr/>
          <w:p>
            <w:pPr>
              <w:pStyle w:val="Compact"/>
              <w:jc w:val="left"/>
            </w:pPr>
            <w:r>
              <w:t xml:space="preserve">46.7</w:t>
            </w:r>
          </w:p>
        </w:tc>
        <w:tc>
          <w:tcPr/>
          <w:p>
            <w:pPr>
              <w:pStyle w:val="Compact"/>
              <w:jc w:val="left"/>
            </w:pPr>
            <w:r>
              <w:t xml:space="preserve">45.6</w:t>
            </w:r>
          </w:p>
        </w:tc>
        <w:tc>
          <w:tcPr/>
          <w:p>
            <w:pPr>
              <w:pStyle w:val="Compact"/>
              <w:jc w:val="left"/>
            </w:pPr>
            <w:r>
              <w:t xml:space="preserve">26.3</w:t>
            </w:r>
          </w:p>
        </w:tc>
        <w:tc>
          <w:tcPr/>
          <w:p>
            <w:pPr>
              <w:pStyle w:val="Compact"/>
              <w:jc w:val="left"/>
            </w:pPr>
            <w:r>
              <w:t xml:space="preserve">25.7</w:t>
            </w:r>
          </w:p>
        </w:tc>
        <w:tc>
          <w:tcPr/>
          <w:p>
            <w:pPr>
              <w:pStyle w:val="Compact"/>
              <w:jc w:val="left"/>
            </w:pPr>
            <w:r>
              <w:t xml:space="preserve">25.5</w:t>
            </w:r>
          </w:p>
        </w:tc>
      </w:tr>
    </w:tbl>
    <w:p>
      <w:pPr>
        <w:pStyle w:val="CaptionedFigure"/>
      </w:pPr>
      <w:r>
        <w:drawing>
          <wp:inline>
            <wp:extent cx="5334000" cy="2018056"/>
            <wp:effectExtent b="0" l="0" r="0" t="0"/>
            <wp:docPr descr="Figure 3. F1 versus support-set size.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2018056"/>
                    </a:xfrm>
                    <a:prstGeom prst="rect">
                      <a:avLst/>
                    </a:prstGeom>
                    <a:noFill/>
                    <a:ln w="9525">
                      <a:noFill/>
                      <a:headEnd/>
                      <a:tailEnd/>
                    </a:ln>
                  </pic:spPr>
                </pic:pic>
              </a:graphicData>
            </a:graphic>
          </wp:inline>
        </w:drawing>
      </w:r>
    </w:p>
    <w:p>
      <w:pPr>
        <w:pStyle w:val="ImageCaption"/>
      </w:pPr>
      <w:r>
        <w:t xml:space="preserve">Figure 3. F1 versus support-set size. Error bars are standard deviations over seeds. The dashed line is the static VAE, which uses no support set.</w:t>
      </w:r>
    </w:p>
    <w:bookmarkEnd w:id="56"/>
    <w:bookmarkStart w:id="69" w:name="streaming-drift"/>
    <w:p>
      <w:pPr>
        <w:pStyle w:val="Heading2"/>
      </w:pPr>
      <w:r>
        <w:t xml:space="preserve">7.2 Streaming drift</w:t>
      </w:r>
    </w:p>
    <w:p>
      <w:pPr>
        <w:pStyle w:val="FirstParagraph"/>
      </w:pPr>
      <w:r>
        <w:t xml:space="preserve">Tables 10 to 12 report the drift conditions on SMD, PSM and HAI with K = 5, pooled and per dataset, and Figure 4 plots the pooled F1 and false-alarm rate. The false-alarm rate after the first change point (Table 11) is where the methods separate. Pooled over the three datasets, the static VAE alarms on 57–75 % of normal steps after a change; the meta-learned detectors adapted once do the same (58–68 %), and OML-A, which adapts on an MMD trigger but never moves its threshold, is barely better (54–63 %). On SMD and PSM the static group is at 73–100 %. These detectors have not failed to see the anomalies; they have stopped being able to say anything, because almost every step is above the threshold that was set in the first regime. The incrementally updated VAE sits in the middle (24–61 %), and is the best method under incremental drift, where a slow shift is exactly what one optimiser step every five windows can follow. The two drift-aware methods are the only ones that keep the rate low in every condition: 23–31 % for VAE-DFT and 16–25 % for DAMAD.</w:t>
      </w:r>
    </w:p>
    <w:p>
      <w:pPr>
        <w:pStyle w:val="BodyText"/>
      </w:pPr>
      <w:r>
        <w:t xml:space="preserve">Table 10. Point-wise F1 (%) by drift condition, K = 5.</w:t>
      </w:r>
      <w:r>
        <w:t xml:space="preserve"> </w:t>
      </w:r>
      <w:r>
        <w:t xml:space="preserve">“</w:t>
      </w:r>
      <w:r>
        <w:t xml:space="preserve">none</w:t>
      </w:r>
      <w:r>
        <w:t xml:space="preserve">”</w:t>
      </w:r>
      <w:r>
        <w:t xml:space="preserve"> </w:t>
      </w:r>
      <w:r>
        <w:t xml:space="preserve">is the original stream. Pooled rows average SMD, PSM and HAI; SKAB is excluded from the drift conditions (Section 6.3).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Method</w:t>
            </w:r>
          </w:p>
        </w:tc>
        <w:tc>
          <w:tcPr/>
          <w:p>
            <w:pPr>
              <w:pStyle w:val="Compact"/>
              <w:jc w:val="left"/>
            </w:pPr>
            <w:r>
              <w:t xml:space="preserve">pooled none</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SMD gradual</w:t>
            </w:r>
          </w:p>
        </w:tc>
        <w:tc>
          <w:tcPr/>
          <w:p>
            <w:pPr>
              <w:pStyle w:val="Compact"/>
              <w:jc w:val="left"/>
            </w:pPr>
            <w:r>
              <w:t xml:space="preserve">SMD incr.</w:t>
            </w:r>
          </w:p>
        </w:tc>
        <w:tc>
          <w:tcPr/>
          <w:p>
            <w:pPr>
              <w:pStyle w:val="Compact"/>
              <w:jc w:val="left"/>
            </w:pPr>
            <w:r>
              <w:t xml:space="preserve">SMD recur.</w:t>
            </w:r>
          </w:p>
        </w:tc>
      </w:tr>
      <w:tr>
        <w:tc>
          <w:tcPr/>
          <w:p>
            <w:pPr>
              <w:pStyle w:val="Compact"/>
              <w:jc w:val="left"/>
            </w:pPr>
            <w:r>
              <w:t xml:space="preserve">IF</w:t>
            </w:r>
          </w:p>
        </w:tc>
        <w:tc>
          <w:tcPr/>
          <w:p>
            <w:pPr>
              <w:pStyle w:val="Compact"/>
              <w:jc w:val="left"/>
            </w:pPr>
            <w:r>
              <w:t xml:space="preserve">16.6 ± 3.6</w:t>
            </w:r>
          </w:p>
        </w:tc>
        <w:tc>
          <w:tcPr/>
          <w:p>
            <w:pPr>
              <w:pStyle w:val="Compact"/>
              <w:jc w:val="left"/>
            </w:pPr>
            <w:r>
              <w:t xml:space="preserve">11.3 ± 2.4</w:t>
            </w:r>
          </w:p>
        </w:tc>
        <w:tc>
          <w:tcPr/>
          <w:p>
            <w:pPr>
              <w:pStyle w:val="Compact"/>
              <w:jc w:val="left"/>
            </w:pPr>
            <w:r>
              <w:t xml:space="preserve">11.1 ± 2.2</w:t>
            </w:r>
          </w:p>
        </w:tc>
        <w:tc>
          <w:tcPr/>
          <w:p>
            <w:pPr>
              <w:pStyle w:val="Compact"/>
              <w:jc w:val="left"/>
            </w:pPr>
            <w:r>
              <w:t xml:space="preserve">11.2 ± 2.3</w:t>
            </w:r>
          </w:p>
        </w:tc>
        <w:tc>
          <w:tcPr/>
          <w:p>
            <w:pPr>
              <w:pStyle w:val="Compact"/>
              <w:jc w:val="left"/>
            </w:pPr>
            <w:r>
              <w:t xml:space="preserve">11.7 ± 2.8</w:t>
            </w:r>
          </w:p>
        </w:tc>
        <w:tc>
          <w:tcPr/>
          <w:p>
            <w:pPr>
              <w:pStyle w:val="Compact"/>
              <w:jc w:val="left"/>
            </w:pPr>
            <w:r>
              <w:t xml:space="preserve">11.2 ± 4.1</w:t>
            </w:r>
          </w:p>
        </w:tc>
        <w:tc>
          <w:tcPr/>
          <w:p>
            <w:pPr>
              <w:pStyle w:val="Compact"/>
              <w:jc w:val="left"/>
            </w:pPr>
            <w:r>
              <w:t xml:space="preserve">10.9 ± 3.7</w:t>
            </w:r>
          </w:p>
        </w:tc>
        <w:tc>
          <w:tcPr/>
          <w:p>
            <w:pPr>
              <w:pStyle w:val="Compact"/>
              <w:jc w:val="left"/>
            </w:pPr>
            <w:r>
              <w:t xml:space="preserve">11.5 ± 4.4</w:t>
            </w:r>
          </w:p>
        </w:tc>
        <w:tc>
          <w:tcPr/>
          <w:p>
            <w:pPr>
              <w:pStyle w:val="Compact"/>
              <w:jc w:val="left"/>
            </w:pPr>
            <w:r>
              <w:t xml:space="preserve">11.9 ± 4.6</w:t>
            </w:r>
          </w:p>
        </w:tc>
      </w:tr>
      <w:tr>
        <w:tc>
          <w:tcPr/>
          <w:p>
            <w:pPr>
              <w:pStyle w:val="Compact"/>
              <w:jc w:val="left"/>
            </w:pPr>
            <w:r>
              <w:t xml:space="preserve">VAE-S</w:t>
            </w:r>
          </w:p>
        </w:tc>
        <w:tc>
          <w:tcPr/>
          <w:p>
            <w:pPr>
              <w:pStyle w:val="Compact"/>
              <w:jc w:val="left"/>
            </w:pPr>
            <w:r>
              <w:rPr>
                <w:bCs/>
                <w:b/>
              </w:rPr>
              <w:t xml:space="preserve">45.8 ± 4.2</w:t>
            </w:r>
          </w:p>
        </w:tc>
        <w:tc>
          <w:tcPr/>
          <w:p>
            <w:pPr>
              <w:pStyle w:val="Compact"/>
              <w:jc w:val="left"/>
            </w:pPr>
            <w:r>
              <w:t xml:space="preserve">18.6 ± 2.0</w:t>
            </w:r>
          </w:p>
        </w:tc>
        <w:tc>
          <w:tcPr/>
          <w:p>
            <w:pPr>
              <w:pStyle w:val="Compact"/>
              <w:jc w:val="left"/>
            </w:pPr>
            <w:r>
              <w:t xml:space="preserve">17.9 ± 2.2</w:t>
            </w:r>
          </w:p>
        </w:tc>
        <w:tc>
          <w:tcPr/>
          <w:p>
            <w:pPr>
              <w:pStyle w:val="Compact"/>
              <w:jc w:val="left"/>
            </w:pPr>
            <w:r>
              <w:t xml:space="preserve">18.6 ± 2.2</w:t>
            </w:r>
          </w:p>
        </w:tc>
        <w:tc>
          <w:tcPr/>
          <w:p>
            <w:pPr>
              <w:pStyle w:val="Compact"/>
              <w:jc w:val="left"/>
            </w:pPr>
            <w:r>
              <w:t xml:space="preserve">19.3 ± 2.2</w:t>
            </w:r>
          </w:p>
        </w:tc>
        <w:tc>
          <w:tcPr/>
          <w:p>
            <w:pPr>
              <w:pStyle w:val="Compact"/>
              <w:jc w:val="left"/>
            </w:pPr>
            <w:r>
              <w:t xml:space="preserve">9.3 ± 3.7</w:t>
            </w:r>
          </w:p>
        </w:tc>
        <w:tc>
          <w:tcPr/>
          <w:p>
            <w:pPr>
              <w:pStyle w:val="Compact"/>
              <w:jc w:val="left"/>
            </w:pPr>
            <w:r>
              <w:t xml:space="preserve">9.6 ± 3.8</w:t>
            </w:r>
          </w:p>
        </w:tc>
        <w:tc>
          <w:tcPr/>
          <w:p>
            <w:pPr>
              <w:pStyle w:val="Compact"/>
              <w:jc w:val="left"/>
            </w:pPr>
            <w:r>
              <w:t xml:space="preserve">10.2 ± 3.7</w:t>
            </w:r>
          </w:p>
        </w:tc>
        <w:tc>
          <w:tcPr/>
          <w:p>
            <w:pPr>
              <w:pStyle w:val="Compact"/>
              <w:jc w:val="left"/>
            </w:pPr>
            <w:r>
              <w:t xml:space="preserve">10.7 ± 3.7</w:t>
            </w:r>
          </w:p>
        </w:tc>
      </w:tr>
      <w:tr>
        <w:tc>
          <w:tcPr/>
          <w:p>
            <w:pPr>
              <w:pStyle w:val="Compact"/>
              <w:jc w:val="left"/>
            </w:pPr>
            <w:r>
              <w:t xml:space="preserve">VAE-FT</w:t>
            </w:r>
          </w:p>
        </w:tc>
        <w:tc>
          <w:tcPr/>
          <w:p>
            <w:pPr>
              <w:pStyle w:val="Compact"/>
              <w:jc w:val="left"/>
            </w:pPr>
            <w:r>
              <w:t xml:space="preserve">45.8 ± 3.1</w:t>
            </w:r>
          </w:p>
        </w:tc>
        <w:tc>
          <w:tcPr/>
          <w:p>
            <w:pPr>
              <w:pStyle w:val="Compact"/>
              <w:jc w:val="left"/>
            </w:pPr>
            <w:r>
              <w:t xml:space="preserve">18.5 ± 2.3</w:t>
            </w:r>
          </w:p>
        </w:tc>
        <w:tc>
          <w:tcPr/>
          <w:p>
            <w:pPr>
              <w:pStyle w:val="Compact"/>
              <w:jc w:val="left"/>
            </w:pPr>
            <w:r>
              <w:t xml:space="preserve">17.8 ± 2.4</w:t>
            </w:r>
          </w:p>
        </w:tc>
        <w:tc>
          <w:tcPr/>
          <w:p>
            <w:pPr>
              <w:pStyle w:val="Compact"/>
              <w:jc w:val="left"/>
            </w:pPr>
            <w:r>
              <w:t xml:space="preserve">18.5 ± 2.8</w:t>
            </w:r>
          </w:p>
        </w:tc>
        <w:tc>
          <w:tcPr/>
          <w:p>
            <w:pPr>
              <w:pStyle w:val="Compact"/>
              <w:jc w:val="left"/>
            </w:pPr>
            <w:r>
              <w:t xml:space="preserve">19.1 ± 2.4</w:t>
            </w:r>
          </w:p>
        </w:tc>
        <w:tc>
          <w:tcPr/>
          <w:p>
            <w:pPr>
              <w:pStyle w:val="Compact"/>
              <w:jc w:val="left"/>
            </w:pPr>
            <w:r>
              <w:t xml:space="preserve">10.1 ± 4.2</w:t>
            </w:r>
          </w:p>
        </w:tc>
        <w:tc>
          <w:tcPr/>
          <w:p>
            <w:pPr>
              <w:pStyle w:val="Compact"/>
              <w:jc w:val="left"/>
            </w:pPr>
            <w:r>
              <w:t xml:space="preserve">10.1 ± 3.9</w:t>
            </w:r>
          </w:p>
        </w:tc>
        <w:tc>
          <w:tcPr/>
          <w:p>
            <w:pPr>
              <w:pStyle w:val="Compact"/>
              <w:jc w:val="left"/>
            </w:pPr>
            <w:r>
              <w:t xml:space="preserve">10.9 ± 4.2</w:t>
            </w:r>
          </w:p>
        </w:tc>
        <w:tc>
          <w:tcPr/>
          <w:p>
            <w:pPr>
              <w:pStyle w:val="Compact"/>
              <w:jc w:val="left"/>
            </w:pPr>
            <w:r>
              <w:t xml:space="preserve">11.5 ± 4.2</w:t>
            </w:r>
          </w:p>
        </w:tc>
      </w:tr>
      <w:tr>
        <w:tc>
          <w:tcPr/>
          <w:p>
            <w:pPr>
              <w:pStyle w:val="Compact"/>
              <w:jc w:val="left"/>
            </w:pPr>
            <w:r>
              <w:t xml:space="preserve">VAE-INC</w:t>
            </w:r>
          </w:p>
        </w:tc>
        <w:tc>
          <w:tcPr/>
          <w:p>
            <w:pPr>
              <w:pStyle w:val="Compact"/>
              <w:jc w:val="left"/>
            </w:pPr>
            <w:r>
              <w:t xml:space="preserve">41.4 ± 2.3</w:t>
            </w:r>
          </w:p>
        </w:tc>
        <w:tc>
          <w:tcPr/>
          <w:p>
            <w:pPr>
              <w:pStyle w:val="Compact"/>
              <w:jc w:val="left"/>
            </w:pPr>
            <w:r>
              <w:t xml:space="preserve">17.0 ± 1.6</w:t>
            </w:r>
          </w:p>
        </w:tc>
        <w:tc>
          <w:tcPr/>
          <w:p>
            <w:pPr>
              <w:pStyle w:val="Compact"/>
              <w:jc w:val="left"/>
            </w:pPr>
            <w:r>
              <w:rPr>
                <w:bCs/>
                <w:b/>
              </w:rPr>
              <w:t xml:space="preserve">23.1 ± 3.3</w:t>
            </w:r>
          </w:p>
        </w:tc>
        <w:tc>
          <w:tcPr/>
          <w:p>
            <w:pPr>
              <w:pStyle w:val="Compact"/>
              <w:jc w:val="left"/>
            </w:pPr>
            <w:r>
              <w:rPr>
                <w:bCs/>
                <w:b/>
              </w:rPr>
              <w:t xml:space="preserve">25.7 ± 2.3</w:t>
            </w:r>
          </w:p>
        </w:tc>
        <w:tc>
          <w:tcPr/>
          <w:p>
            <w:pPr>
              <w:pStyle w:val="Compact"/>
              <w:jc w:val="left"/>
            </w:pPr>
            <w:r>
              <w:t xml:space="preserve">20.5 ± 3.8</w:t>
            </w:r>
          </w:p>
        </w:tc>
        <w:tc>
          <w:tcPr/>
          <w:p>
            <w:pPr>
              <w:pStyle w:val="Compact"/>
              <w:jc w:val="left"/>
            </w:pPr>
            <w:r>
              <w:t xml:space="preserve">11.1 ± 4.0</w:t>
            </w:r>
          </w:p>
        </w:tc>
        <w:tc>
          <w:tcPr/>
          <w:p>
            <w:pPr>
              <w:pStyle w:val="Compact"/>
              <w:jc w:val="left"/>
            </w:pPr>
            <w:r>
              <w:t xml:space="preserve">18.2 ± 5.0</w:t>
            </w:r>
          </w:p>
        </w:tc>
        <w:tc>
          <w:tcPr/>
          <w:p>
            <w:pPr>
              <w:pStyle w:val="Compact"/>
              <w:jc w:val="left"/>
            </w:pPr>
            <w:r>
              <w:rPr>
                <w:bCs/>
                <w:b/>
              </w:rPr>
              <w:t xml:space="preserve">23.9 ± 4.1</w:t>
            </w:r>
          </w:p>
        </w:tc>
        <w:tc>
          <w:tcPr/>
          <w:p>
            <w:pPr>
              <w:pStyle w:val="Compact"/>
              <w:jc w:val="left"/>
            </w:pPr>
            <w:r>
              <w:t xml:space="preserve">14.0 ± 6.1</w:t>
            </w:r>
          </w:p>
        </w:tc>
      </w:tr>
      <w:tr>
        <w:tc>
          <w:tcPr/>
          <w:p>
            <w:pPr>
              <w:pStyle w:val="Compact"/>
              <w:jc w:val="left"/>
            </w:pPr>
            <w:r>
              <w:t xml:space="preserve">VAE-DFT</w:t>
            </w:r>
          </w:p>
        </w:tc>
        <w:tc>
          <w:tcPr/>
          <w:p>
            <w:pPr>
              <w:pStyle w:val="Compact"/>
              <w:jc w:val="left"/>
            </w:pPr>
            <w:r>
              <w:t xml:space="preserve">36.1 ± 3.0</w:t>
            </w:r>
          </w:p>
        </w:tc>
        <w:tc>
          <w:tcPr/>
          <w:p>
            <w:pPr>
              <w:pStyle w:val="Compact"/>
              <w:jc w:val="left"/>
            </w:pPr>
            <w:r>
              <w:t xml:space="preserve">19.7 ± 3.8</w:t>
            </w:r>
          </w:p>
        </w:tc>
        <w:tc>
          <w:tcPr/>
          <w:p>
            <w:pPr>
              <w:pStyle w:val="Compact"/>
              <w:jc w:val="left"/>
            </w:pPr>
            <w:r>
              <w:t xml:space="preserve">20.2 ± 3.2</w:t>
            </w:r>
          </w:p>
        </w:tc>
        <w:tc>
          <w:tcPr/>
          <w:p>
            <w:pPr>
              <w:pStyle w:val="Compact"/>
              <w:jc w:val="left"/>
            </w:pPr>
            <w:r>
              <w:t xml:space="preserve">21.3 ± 2.2</w:t>
            </w:r>
          </w:p>
        </w:tc>
        <w:tc>
          <w:tcPr/>
          <w:p>
            <w:pPr>
              <w:pStyle w:val="Compact"/>
              <w:jc w:val="left"/>
            </w:pPr>
            <w:r>
              <w:t xml:space="preserve">21.7 ± 4.7</w:t>
            </w:r>
          </w:p>
        </w:tc>
        <w:tc>
          <w:tcPr/>
          <w:p>
            <w:pPr>
              <w:pStyle w:val="Compact"/>
              <w:jc w:val="left"/>
            </w:pPr>
            <w:r>
              <w:t xml:space="preserve">21.9 ± 5.7</w:t>
            </w:r>
          </w:p>
        </w:tc>
        <w:tc>
          <w:tcPr/>
          <w:p>
            <w:pPr>
              <w:pStyle w:val="Compact"/>
              <w:jc w:val="left"/>
            </w:pPr>
            <w:r>
              <w:t xml:space="preserve">19.6 ± 4.6</w:t>
            </w:r>
          </w:p>
        </w:tc>
        <w:tc>
          <w:tcPr/>
          <w:p>
            <w:pPr>
              <w:pStyle w:val="Compact"/>
              <w:jc w:val="left"/>
            </w:pPr>
            <w:r>
              <w:t xml:space="preserve">16.8 ± 4.1</w:t>
            </w:r>
          </w:p>
        </w:tc>
        <w:tc>
          <w:tcPr/>
          <w:p>
            <w:pPr>
              <w:pStyle w:val="Compact"/>
              <w:jc w:val="left"/>
            </w:pPr>
            <w:r>
              <w:t xml:space="preserve">22.0 ± 7.1</w:t>
            </w:r>
          </w:p>
        </w:tc>
      </w:tr>
      <w:tr>
        <w:tc>
          <w:tcPr/>
          <w:p>
            <w:pPr>
              <w:pStyle w:val="Compact"/>
              <w:jc w:val="left"/>
            </w:pPr>
            <w:r>
              <w:t xml:space="preserve">MAML-1</w:t>
            </w:r>
          </w:p>
        </w:tc>
        <w:tc>
          <w:tcPr/>
          <w:p>
            <w:pPr>
              <w:pStyle w:val="Compact"/>
              <w:jc w:val="left"/>
            </w:pPr>
            <w:r>
              <w:t xml:space="preserve">42.1 ± 3.3</w:t>
            </w:r>
          </w:p>
        </w:tc>
        <w:tc>
          <w:tcPr/>
          <w:p>
            <w:pPr>
              <w:pStyle w:val="Compact"/>
              <w:jc w:val="left"/>
            </w:pPr>
            <w:r>
              <w:t xml:space="preserve">20.1 ± 2.2</w:t>
            </w:r>
          </w:p>
        </w:tc>
        <w:tc>
          <w:tcPr/>
          <w:p>
            <w:pPr>
              <w:pStyle w:val="Compact"/>
              <w:jc w:val="left"/>
            </w:pPr>
            <w:r>
              <w:t xml:space="preserve">20.1 ± 3.3</w:t>
            </w:r>
          </w:p>
        </w:tc>
        <w:tc>
          <w:tcPr/>
          <w:p>
            <w:pPr>
              <w:pStyle w:val="Compact"/>
              <w:jc w:val="left"/>
            </w:pPr>
            <w:r>
              <w:t xml:space="preserve">17.5 ± 2.3</w:t>
            </w:r>
          </w:p>
        </w:tc>
        <w:tc>
          <w:tcPr/>
          <w:p>
            <w:pPr>
              <w:pStyle w:val="Compact"/>
              <w:jc w:val="left"/>
            </w:pPr>
            <w:r>
              <w:t xml:space="preserve">20.8 ± 3.2</w:t>
            </w:r>
          </w:p>
        </w:tc>
        <w:tc>
          <w:tcPr/>
          <w:p>
            <w:pPr>
              <w:pStyle w:val="Compact"/>
              <w:jc w:val="left"/>
            </w:pPr>
            <w:r>
              <w:t xml:space="preserve">10.1 ± 4.0</w:t>
            </w:r>
          </w:p>
        </w:tc>
        <w:tc>
          <w:tcPr/>
          <w:p>
            <w:pPr>
              <w:pStyle w:val="Compact"/>
              <w:jc w:val="left"/>
            </w:pPr>
            <w:r>
              <w:t xml:space="preserve">10.4 ± 4.2</w:t>
            </w:r>
          </w:p>
        </w:tc>
        <w:tc>
          <w:tcPr/>
          <w:p>
            <w:pPr>
              <w:pStyle w:val="Compact"/>
              <w:jc w:val="left"/>
            </w:pPr>
            <w:r>
              <w:t xml:space="preserve">11.1 ± 4.2</w:t>
            </w:r>
          </w:p>
        </w:tc>
        <w:tc>
          <w:tcPr/>
          <w:p>
            <w:pPr>
              <w:pStyle w:val="Compact"/>
              <w:jc w:val="left"/>
            </w:pPr>
            <w:r>
              <w:t xml:space="preserve">11.3 ± 4.0</w:t>
            </w:r>
          </w:p>
        </w:tc>
      </w:tr>
      <w:tr>
        <w:tc>
          <w:tcPr/>
          <w:p>
            <w:pPr>
              <w:pStyle w:val="Compact"/>
              <w:jc w:val="left"/>
            </w:pPr>
            <w:r>
              <w:t xml:space="preserve">MSGD-1</w:t>
            </w:r>
          </w:p>
        </w:tc>
        <w:tc>
          <w:tcPr/>
          <w:p>
            <w:pPr>
              <w:pStyle w:val="Compact"/>
              <w:jc w:val="left"/>
            </w:pPr>
            <w:r>
              <w:t xml:space="preserve">42.3 ± 3.4</w:t>
            </w:r>
          </w:p>
        </w:tc>
        <w:tc>
          <w:tcPr/>
          <w:p>
            <w:pPr>
              <w:pStyle w:val="Compact"/>
              <w:jc w:val="left"/>
            </w:pPr>
            <w:r>
              <w:t xml:space="preserve">18.8 ± 2.9</w:t>
            </w:r>
          </w:p>
        </w:tc>
        <w:tc>
          <w:tcPr/>
          <w:p>
            <w:pPr>
              <w:pStyle w:val="Compact"/>
              <w:jc w:val="left"/>
            </w:pPr>
            <w:r>
              <w:t xml:space="preserve">18.6 ± 5.0</w:t>
            </w:r>
          </w:p>
        </w:tc>
        <w:tc>
          <w:tcPr/>
          <w:p>
            <w:pPr>
              <w:pStyle w:val="Compact"/>
              <w:jc w:val="left"/>
            </w:pPr>
            <w:r>
              <w:t xml:space="preserve">17.3 ± 2.3</w:t>
            </w:r>
          </w:p>
        </w:tc>
        <w:tc>
          <w:tcPr/>
          <w:p>
            <w:pPr>
              <w:pStyle w:val="Compact"/>
              <w:jc w:val="left"/>
            </w:pPr>
            <w:r>
              <w:t xml:space="preserve">20.4 ± 3.7</w:t>
            </w:r>
          </w:p>
        </w:tc>
        <w:tc>
          <w:tcPr/>
          <w:p>
            <w:pPr>
              <w:pStyle w:val="Compact"/>
              <w:jc w:val="left"/>
            </w:pPr>
            <w:r>
              <w:t xml:space="preserve">11.0 ± 5.2</w:t>
            </w:r>
          </w:p>
        </w:tc>
        <w:tc>
          <w:tcPr/>
          <w:p>
            <w:pPr>
              <w:pStyle w:val="Compact"/>
              <w:jc w:val="left"/>
            </w:pPr>
            <w:r>
              <w:t xml:space="preserve">11.1 ± 5.2</w:t>
            </w:r>
          </w:p>
        </w:tc>
        <w:tc>
          <w:tcPr/>
          <w:p>
            <w:pPr>
              <w:pStyle w:val="Compact"/>
              <w:jc w:val="left"/>
            </w:pPr>
            <w:r>
              <w:t xml:space="preserve">11.1 ± 4.2</w:t>
            </w:r>
          </w:p>
        </w:tc>
        <w:tc>
          <w:tcPr/>
          <w:p>
            <w:pPr>
              <w:pStyle w:val="Compact"/>
              <w:jc w:val="left"/>
            </w:pPr>
            <w:r>
              <w:t xml:space="preserve">11.9 ± 4.8</w:t>
            </w:r>
          </w:p>
        </w:tc>
      </w:tr>
      <w:tr>
        <w:tc>
          <w:tcPr/>
          <w:p>
            <w:pPr>
              <w:pStyle w:val="Compact"/>
              <w:jc w:val="left"/>
            </w:pPr>
            <w:r>
              <w:t xml:space="preserve">OML-A</w:t>
            </w:r>
          </w:p>
        </w:tc>
        <w:tc>
          <w:tcPr/>
          <w:p>
            <w:pPr>
              <w:pStyle w:val="Compact"/>
              <w:jc w:val="left"/>
            </w:pPr>
            <w:r>
              <w:t xml:space="preserve">42.2 ± 3.1</w:t>
            </w:r>
          </w:p>
        </w:tc>
        <w:tc>
          <w:tcPr/>
          <w:p>
            <w:pPr>
              <w:pStyle w:val="Compact"/>
              <w:jc w:val="left"/>
            </w:pPr>
            <w:r>
              <w:t xml:space="preserve">20.8 ± 2.1</w:t>
            </w:r>
          </w:p>
        </w:tc>
        <w:tc>
          <w:tcPr/>
          <w:p>
            <w:pPr>
              <w:pStyle w:val="Compact"/>
              <w:jc w:val="left"/>
            </w:pPr>
            <w:r>
              <w:t xml:space="preserve">20.2 ± 3.4</w:t>
            </w:r>
          </w:p>
        </w:tc>
        <w:tc>
          <w:tcPr/>
          <w:p>
            <w:pPr>
              <w:pStyle w:val="Compact"/>
              <w:jc w:val="left"/>
            </w:pPr>
            <w:r>
              <w:t xml:space="preserve">19.5 ± 2.7</w:t>
            </w:r>
          </w:p>
        </w:tc>
        <w:tc>
          <w:tcPr/>
          <w:p>
            <w:pPr>
              <w:pStyle w:val="Compact"/>
              <w:jc w:val="left"/>
            </w:pPr>
            <w:r>
              <w:t xml:space="preserve">21.0 ± 3.3</w:t>
            </w:r>
          </w:p>
        </w:tc>
        <w:tc>
          <w:tcPr/>
          <w:p>
            <w:pPr>
              <w:pStyle w:val="Compact"/>
              <w:jc w:val="left"/>
            </w:pPr>
            <w:r>
              <w:t xml:space="preserve">10.7 ± 4.2</w:t>
            </w:r>
          </w:p>
        </w:tc>
        <w:tc>
          <w:tcPr/>
          <w:p>
            <w:pPr>
              <w:pStyle w:val="Compact"/>
              <w:jc w:val="left"/>
            </w:pPr>
            <w:r>
              <w:t xml:space="preserve">10.7 ± 4.4</w:t>
            </w:r>
          </w:p>
        </w:tc>
        <w:tc>
          <w:tcPr/>
          <w:p>
            <w:pPr>
              <w:pStyle w:val="Compact"/>
              <w:jc w:val="left"/>
            </w:pPr>
            <w:r>
              <w:t xml:space="preserve">11.5 ± 4.9</w:t>
            </w:r>
          </w:p>
        </w:tc>
        <w:tc>
          <w:tcPr/>
          <w:p>
            <w:pPr>
              <w:pStyle w:val="Compact"/>
              <w:jc w:val="left"/>
            </w:pPr>
            <w:r>
              <w:t xml:space="preserve">11.8 ± 4.1</w:t>
            </w:r>
          </w:p>
        </w:tc>
      </w:tr>
      <w:tr>
        <w:tc>
          <w:tcPr/>
          <w:p>
            <w:pPr>
              <w:pStyle w:val="Compact"/>
              <w:jc w:val="left"/>
            </w:pPr>
            <w:r>
              <w:t xml:space="preserve">DAMAD</w:t>
            </w:r>
          </w:p>
        </w:tc>
        <w:tc>
          <w:tcPr/>
          <w:p>
            <w:pPr>
              <w:pStyle w:val="Compact"/>
              <w:jc w:val="left"/>
            </w:pPr>
            <w:r>
              <w:t xml:space="preserve">40.0 ± 3.8</w:t>
            </w:r>
          </w:p>
        </w:tc>
        <w:tc>
          <w:tcPr/>
          <w:p>
            <w:pPr>
              <w:pStyle w:val="Compact"/>
              <w:jc w:val="left"/>
            </w:pPr>
            <w:r>
              <w:rPr>
                <w:bCs/>
                <w:b/>
              </w:rPr>
              <w:t xml:space="preserve">24.3 ± 2.5</w:t>
            </w:r>
          </w:p>
        </w:tc>
        <w:tc>
          <w:tcPr/>
          <w:p>
            <w:pPr>
              <w:pStyle w:val="Compact"/>
              <w:jc w:val="left"/>
            </w:pPr>
            <w:r>
              <w:t xml:space="preserve">23.0 ± 3.5</w:t>
            </w:r>
          </w:p>
        </w:tc>
        <w:tc>
          <w:tcPr/>
          <w:p>
            <w:pPr>
              <w:pStyle w:val="Compact"/>
              <w:jc w:val="left"/>
            </w:pPr>
            <w:r>
              <w:t xml:space="preserve">20.0 ± 1.3</w:t>
            </w:r>
          </w:p>
        </w:tc>
        <w:tc>
          <w:tcPr/>
          <w:p>
            <w:pPr>
              <w:pStyle w:val="Compact"/>
              <w:jc w:val="left"/>
            </w:pPr>
            <w:r>
              <w:rPr>
                <w:bCs/>
                <w:b/>
              </w:rPr>
              <w:t xml:space="preserve">26.5 ± 2.5</w:t>
            </w:r>
          </w:p>
        </w:tc>
        <w:tc>
          <w:tcPr/>
          <w:p>
            <w:pPr>
              <w:pStyle w:val="Compact"/>
              <w:jc w:val="left"/>
            </w:pPr>
            <w:r>
              <w:rPr>
                <w:bCs/>
                <w:b/>
              </w:rPr>
              <w:t xml:space="preserve">24.6 ± 5.8</w:t>
            </w:r>
          </w:p>
        </w:tc>
        <w:tc>
          <w:tcPr/>
          <w:p>
            <w:pPr>
              <w:pStyle w:val="Compact"/>
              <w:jc w:val="left"/>
            </w:pPr>
            <w:r>
              <w:rPr>
                <w:bCs/>
                <w:b/>
              </w:rPr>
              <w:t xml:space="preserve">20.3 ± 1.3</w:t>
            </w:r>
          </w:p>
        </w:tc>
        <w:tc>
          <w:tcPr/>
          <w:p>
            <w:pPr>
              <w:pStyle w:val="Compact"/>
              <w:jc w:val="left"/>
            </w:pPr>
            <w:r>
              <w:t xml:space="preserve">21.2 ± 1.7</w:t>
            </w:r>
          </w:p>
        </w:tc>
        <w:tc>
          <w:tcPr/>
          <w:p>
            <w:pPr>
              <w:pStyle w:val="Compact"/>
              <w:jc w:val="left"/>
            </w:pPr>
            <w:r>
              <w:rPr>
                <w:bCs/>
                <w:b/>
              </w:rPr>
              <w:t xml:space="preserve">23.9 ± 4.4</w:t>
            </w:r>
          </w:p>
        </w:tc>
      </w:tr>
    </w:tbl>
    <w:p>
      <w:pPr>
        <w:pStyle w:val="BodyText"/>
      </w:pPr>
      <w:r>
        <w:t xml:space="preserve">Table 11. False-alarm rate (%) on normal steps after the first change point, K = 5. Lower is better.</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SMD recur.</w:t>
            </w:r>
          </w:p>
        </w:tc>
        <w:tc>
          <w:tcPr/>
          <w:p>
            <w:pPr>
              <w:pStyle w:val="Compact"/>
              <w:jc w:val="left"/>
            </w:pPr>
            <w:r>
              <w:t xml:space="preserve">PSM sudden</w:t>
            </w:r>
          </w:p>
        </w:tc>
        <w:tc>
          <w:tcPr/>
          <w:p>
            <w:pPr>
              <w:pStyle w:val="Compact"/>
              <w:jc w:val="left"/>
            </w:pPr>
            <w:r>
              <w:t xml:space="preserve">PSM recur.</w:t>
            </w:r>
          </w:p>
        </w:tc>
        <w:tc>
          <w:tcPr/>
          <w:p>
            <w:pPr>
              <w:pStyle w:val="Compact"/>
              <w:jc w:val="left"/>
            </w:pPr>
            <w:r>
              <w:t xml:space="preserve">HAI sudden</w:t>
            </w:r>
          </w:p>
        </w:tc>
        <w:tc>
          <w:tcPr/>
          <w:p>
            <w:pPr>
              <w:pStyle w:val="Compact"/>
              <w:jc w:val="left"/>
            </w:pPr>
            <w:r>
              <w:t xml:space="preserve">HAI recur.</w:t>
            </w:r>
          </w:p>
        </w:tc>
      </w:tr>
      <w:tr>
        <w:tc>
          <w:tcPr/>
          <w:p>
            <w:pPr>
              <w:pStyle w:val="Compact"/>
              <w:jc w:val="left"/>
            </w:pPr>
            <w:r>
              <w:t xml:space="preserve">IF</w:t>
            </w:r>
          </w:p>
        </w:tc>
        <w:tc>
          <w:tcPr/>
          <w:p>
            <w:pPr>
              <w:pStyle w:val="Compact"/>
              <w:jc w:val="left"/>
            </w:pPr>
            <w:r>
              <w:t xml:space="preserve">71.0 ± 3.2</w:t>
            </w:r>
          </w:p>
        </w:tc>
        <w:tc>
          <w:tcPr/>
          <w:p>
            <w:pPr>
              <w:pStyle w:val="Compact"/>
              <w:jc w:val="left"/>
            </w:pPr>
            <w:r>
              <w:t xml:space="preserve">67.5 ± 3.6</w:t>
            </w:r>
          </w:p>
        </w:tc>
        <w:tc>
          <w:tcPr/>
          <w:p>
            <w:pPr>
              <w:pStyle w:val="Compact"/>
              <w:jc w:val="left"/>
            </w:pPr>
            <w:r>
              <w:t xml:space="preserve">68.5 ± 5.5</w:t>
            </w:r>
          </w:p>
        </w:tc>
        <w:tc>
          <w:tcPr/>
          <w:p>
            <w:pPr>
              <w:pStyle w:val="Compact"/>
              <w:jc w:val="left"/>
            </w:pPr>
            <w:r>
              <w:t xml:space="preserve">56.1 ± 5.5</w:t>
            </w:r>
          </w:p>
        </w:tc>
        <w:tc>
          <w:tcPr/>
          <w:p>
            <w:pPr>
              <w:pStyle w:val="Compact"/>
              <w:jc w:val="left"/>
            </w:pPr>
            <w:r>
              <w:t xml:space="preserve">77.8 ± 2.4</w:t>
            </w:r>
          </w:p>
        </w:tc>
        <w:tc>
          <w:tcPr/>
          <w:p>
            <w:pPr>
              <w:pStyle w:val="Compact"/>
              <w:jc w:val="left"/>
            </w:pPr>
            <w:r>
              <w:t xml:space="preserve">64.2 ± 5.0</w:t>
            </w:r>
          </w:p>
        </w:tc>
        <w:tc>
          <w:tcPr/>
          <w:p>
            <w:pPr>
              <w:pStyle w:val="Compact"/>
              <w:jc w:val="left"/>
            </w:pPr>
            <w:r>
              <w:t xml:space="preserve">97.7 ± 4.1</w:t>
            </w:r>
          </w:p>
        </w:tc>
        <w:tc>
          <w:tcPr/>
          <w:p>
            <w:pPr>
              <w:pStyle w:val="Compact"/>
              <w:jc w:val="left"/>
            </w:pPr>
            <w:r>
              <w:t xml:space="preserve">82.6 ± 7.7</w:t>
            </w:r>
          </w:p>
        </w:tc>
        <w:tc>
          <w:tcPr/>
          <w:p>
            <w:pPr>
              <w:pStyle w:val="Compact"/>
              <w:jc w:val="left"/>
            </w:pPr>
            <w:r>
              <w:t xml:space="preserve">54.8 ± 5.7</w:t>
            </w:r>
          </w:p>
        </w:tc>
        <w:tc>
          <w:tcPr/>
          <w:p>
            <w:pPr>
              <w:pStyle w:val="Compact"/>
              <w:jc w:val="left"/>
            </w:pPr>
            <w:r>
              <w:t xml:space="preserve">37.9 ± 11.8</w:t>
            </w:r>
          </w:p>
        </w:tc>
      </w:tr>
      <w:tr>
        <w:tc>
          <w:tcPr/>
          <w:p>
            <w:pPr>
              <w:pStyle w:val="Compact"/>
              <w:jc w:val="left"/>
            </w:pPr>
            <w:r>
              <w:t xml:space="preserve">VAE-S</w:t>
            </w:r>
          </w:p>
        </w:tc>
        <w:tc>
          <w:tcPr/>
          <w:p>
            <w:pPr>
              <w:pStyle w:val="Compact"/>
              <w:jc w:val="left"/>
            </w:pPr>
            <w:r>
              <w:t xml:space="preserve">74.1 ± 3.1</w:t>
            </w:r>
          </w:p>
        </w:tc>
        <w:tc>
          <w:tcPr/>
          <w:p>
            <w:pPr>
              <w:pStyle w:val="Compact"/>
              <w:jc w:val="left"/>
            </w:pPr>
            <w:r>
              <w:t xml:space="preserve">71.9 ± 3.2</w:t>
            </w:r>
          </w:p>
        </w:tc>
        <w:tc>
          <w:tcPr/>
          <w:p>
            <w:pPr>
              <w:pStyle w:val="Compact"/>
              <w:jc w:val="left"/>
            </w:pPr>
            <w:r>
              <w:t xml:space="preserve">65.2 ± 2.7</w:t>
            </w:r>
          </w:p>
        </w:tc>
        <w:tc>
          <w:tcPr/>
          <w:p>
            <w:pPr>
              <w:pStyle w:val="Compact"/>
              <w:jc w:val="left"/>
            </w:pPr>
            <w:r>
              <w:t xml:space="preserve">57.2 ± 2.1</w:t>
            </w:r>
          </w:p>
        </w:tc>
        <w:tc>
          <w:tcPr/>
          <w:p>
            <w:pPr>
              <w:pStyle w:val="Compact"/>
              <w:jc w:val="left"/>
            </w:pPr>
            <w:r>
              <w:t xml:space="preserve">94.3 ± 5.8</w:t>
            </w:r>
          </w:p>
        </w:tc>
        <w:tc>
          <w:tcPr/>
          <w:p>
            <w:pPr>
              <w:pStyle w:val="Compact"/>
              <w:jc w:val="left"/>
            </w:pPr>
            <w:r>
              <w:t xml:space="preserve">73.3 ± 3.7</w:t>
            </w:r>
          </w:p>
        </w:tc>
        <w:tc>
          <w:tcPr/>
          <w:p>
            <w:pPr>
              <w:pStyle w:val="Compact"/>
              <w:jc w:val="left"/>
            </w:pPr>
            <w:r>
              <w:t xml:space="preserve">100.0 ± 0.0</w:t>
            </w:r>
          </w:p>
        </w:tc>
        <w:tc>
          <w:tcPr/>
          <w:p>
            <w:pPr>
              <w:pStyle w:val="Compact"/>
              <w:jc w:val="left"/>
            </w:pPr>
            <w:r>
              <w:t xml:space="preserve">92.1 ± 0.8</w:t>
            </w:r>
          </w:p>
        </w:tc>
        <w:tc>
          <w:tcPr/>
          <w:p>
            <w:pPr>
              <w:pStyle w:val="Compact"/>
              <w:jc w:val="left"/>
            </w:pPr>
            <w:r>
              <w:t xml:space="preserve">36.4 ± 5.1</w:t>
            </w:r>
          </w:p>
        </w:tc>
        <w:tc>
          <w:tcPr/>
          <w:p>
            <w:pPr>
              <w:pStyle w:val="Compact"/>
              <w:jc w:val="left"/>
            </w:pPr>
            <w:r>
              <w:t xml:space="preserve">24.6 ± 6.2</w:t>
            </w:r>
          </w:p>
        </w:tc>
      </w:tr>
      <w:tr>
        <w:tc>
          <w:tcPr/>
          <w:p>
            <w:pPr>
              <w:pStyle w:val="Compact"/>
              <w:jc w:val="left"/>
            </w:pPr>
            <w:r>
              <w:t xml:space="preserve">VAE-FT</w:t>
            </w:r>
          </w:p>
        </w:tc>
        <w:tc>
          <w:tcPr/>
          <w:p>
            <w:pPr>
              <w:pStyle w:val="Compact"/>
              <w:jc w:val="left"/>
            </w:pPr>
            <w:r>
              <w:t xml:space="preserve">75.0 ± 3.1</w:t>
            </w:r>
          </w:p>
        </w:tc>
        <w:tc>
          <w:tcPr/>
          <w:p>
            <w:pPr>
              <w:pStyle w:val="Compact"/>
              <w:jc w:val="left"/>
            </w:pPr>
            <w:r>
              <w:t xml:space="preserve">72.3 ± 3.6</w:t>
            </w:r>
          </w:p>
        </w:tc>
        <w:tc>
          <w:tcPr/>
          <w:p>
            <w:pPr>
              <w:pStyle w:val="Compact"/>
              <w:jc w:val="left"/>
            </w:pPr>
            <w:r>
              <w:t xml:space="preserve">65.5 ± 3.2</w:t>
            </w:r>
          </w:p>
        </w:tc>
        <w:tc>
          <w:tcPr/>
          <w:p>
            <w:pPr>
              <w:pStyle w:val="Compact"/>
              <w:jc w:val="left"/>
            </w:pPr>
            <w:r>
              <w:t xml:space="preserve">58.5 ± 2.6</w:t>
            </w:r>
          </w:p>
        </w:tc>
        <w:tc>
          <w:tcPr/>
          <w:p>
            <w:pPr>
              <w:pStyle w:val="Compact"/>
              <w:jc w:val="left"/>
            </w:pPr>
            <w:r>
              <w:t xml:space="preserve">94.9 ± 6.1</w:t>
            </w:r>
          </w:p>
        </w:tc>
        <w:tc>
          <w:tcPr/>
          <w:p>
            <w:pPr>
              <w:pStyle w:val="Compact"/>
              <w:jc w:val="left"/>
            </w:pPr>
            <w:r>
              <w:t xml:space="preserve">74.4 ± 3.7</w:t>
            </w:r>
          </w:p>
        </w:tc>
        <w:tc>
          <w:tcPr/>
          <w:p>
            <w:pPr>
              <w:pStyle w:val="Compact"/>
              <w:jc w:val="left"/>
            </w:pPr>
            <w:r>
              <w:t xml:space="preserve">100.0 ± 0.0</w:t>
            </w:r>
          </w:p>
        </w:tc>
        <w:tc>
          <w:tcPr/>
          <w:p>
            <w:pPr>
              <w:pStyle w:val="Compact"/>
              <w:jc w:val="left"/>
            </w:pPr>
            <w:r>
              <w:t xml:space="preserve">95.7 ± 1.6</w:t>
            </w:r>
          </w:p>
        </w:tc>
        <w:tc>
          <w:tcPr/>
          <w:p>
            <w:pPr>
              <w:pStyle w:val="Compact"/>
              <w:jc w:val="left"/>
            </w:pPr>
            <w:r>
              <w:t xml:space="preserve">38.4 ± 3.2</w:t>
            </w:r>
          </w:p>
        </w:tc>
        <w:tc>
          <w:tcPr/>
          <w:p>
            <w:pPr>
              <w:pStyle w:val="Compact"/>
              <w:jc w:val="left"/>
            </w:pPr>
            <w:r>
              <w:t xml:space="preserve">25.5 ± 5.6</w:t>
            </w:r>
          </w:p>
        </w:tc>
      </w:tr>
      <w:tr>
        <w:tc>
          <w:tcPr/>
          <w:p>
            <w:pPr>
              <w:pStyle w:val="Compact"/>
              <w:jc w:val="left"/>
            </w:pPr>
            <w:r>
              <w:t xml:space="preserve">VAE-INC</w:t>
            </w:r>
          </w:p>
        </w:tc>
        <w:tc>
          <w:tcPr/>
          <w:p>
            <w:pPr>
              <w:pStyle w:val="Compact"/>
              <w:jc w:val="left"/>
            </w:pPr>
            <w:r>
              <w:t xml:space="preserve">61.3 ± 6.2</w:t>
            </w:r>
          </w:p>
        </w:tc>
        <w:tc>
          <w:tcPr/>
          <w:p>
            <w:pPr>
              <w:pStyle w:val="Compact"/>
              <w:jc w:val="left"/>
            </w:pPr>
            <w:r>
              <w:t xml:space="preserve">40.1 ± 10.0</w:t>
            </w:r>
          </w:p>
        </w:tc>
        <w:tc>
          <w:tcPr/>
          <w:p>
            <w:pPr>
              <w:pStyle w:val="Compact"/>
              <w:jc w:val="left"/>
            </w:pPr>
            <w:r>
              <w:rPr>
                <w:bCs/>
                <w:b/>
              </w:rPr>
              <w:t xml:space="preserve">23.9 ± 0.7</w:t>
            </w:r>
          </w:p>
        </w:tc>
        <w:tc>
          <w:tcPr/>
          <w:p>
            <w:pPr>
              <w:pStyle w:val="Compact"/>
              <w:jc w:val="left"/>
            </w:pPr>
            <w:r>
              <w:t xml:space="preserve">43.7 ± 6.1</w:t>
            </w:r>
          </w:p>
        </w:tc>
        <w:tc>
          <w:tcPr/>
          <w:p>
            <w:pPr>
              <w:pStyle w:val="Compact"/>
              <w:jc w:val="left"/>
            </w:pPr>
            <w:r>
              <w:t xml:space="preserve">78.3 ± 10.1</w:t>
            </w:r>
          </w:p>
        </w:tc>
        <w:tc>
          <w:tcPr/>
          <w:p>
            <w:pPr>
              <w:pStyle w:val="Compact"/>
              <w:jc w:val="left"/>
            </w:pPr>
            <w:r>
              <w:t xml:space="preserve">54.7 ± 10.6</w:t>
            </w:r>
          </w:p>
        </w:tc>
        <w:tc>
          <w:tcPr/>
          <w:p>
            <w:pPr>
              <w:pStyle w:val="Compact"/>
              <w:jc w:val="left"/>
            </w:pPr>
            <w:r>
              <w:t xml:space="preserve">100.0 ± 0.0</w:t>
            </w:r>
          </w:p>
        </w:tc>
        <w:tc>
          <w:tcPr/>
          <w:p>
            <w:pPr>
              <w:pStyle w:val="Compact"/>
              <w:jc w:val="left"/>
            </w:pPr>
            <w:r>
              <w:t xml:space="preserve">100.0 ± 0.0</w:t>
            </w:r>
          </w:p>
        </w:tc>
        <w:tc>
          <w:tcPr/>
          <w:p>
            <w:pPr>
              <w:pStyle w:val="Compact"/>
              <w:jc w:val="left"/>
            </w:pPr>
            <w:r>
              <w:t xml:space="preserve">26.4 ± 6.2</w:t>
            </w:r>
          </w:p>
        </w:tc>
        <w:tc>
          <w:tcPr/>
          <w:p>
            <w:pPr>
              <w:pStyle w:val="Compact"/>
              <w:jc w:val="left"/>
            </w:pPr>
            <w:r>
              <w:rPr>
                <w:bCs/>
                <w:b/>
              </w:rPr>
              <w:t xml:space="preserve">14.8 ± 0.5</w:t>
            </w:r>
          </w:p>
        </w:tc>
      </w:tr>
      <w:tr>
        <w:tc>
          <w:tcPr/>
          <w:p>
            <w:pPr>
              <w:pStyle w:val="Compact"/>
              <w:jc w:val="left"/>
            </w:pPr>
            <w:r>
              <w:t xml:space="preserve">VAE-DFT</w:t>
            </w:r>
          </w:p>
        </w:tc>
        <w:tc>
          <w:tcPr/>
          <w:p>
            <w:pPr>
              <w:pStyle w:val="Compact"/>
              <w:jc w:val="left"/>
            </w:pPr>
            <w:r>
              <w:t xml:space="preserve">29.9 ± 8.7</w:t>
            </w:r>
          </w:p>
        </w:tc>
        <w:tc>
          <w:tcPr/>
          <w:p>
            <w:pPr>
              <w:pStyle w:val="Compact"/>
              <w:jc w:val="left"/>
            </w:pPr>
            <w:r>
              <w:t xml:space="preserve">25.8 ± 7.9</w:t>
            </w:r>
          </w:p>
        </w:tc>
        <w:tc>
          <w:tcPr/>
          <w:p>
            <w:pPr>
              <w:pStyle w:val="Compact"/>
              <w:jc w:val="left"/>
            </w:pPr>
            <w:r>
              <w:t xml:space="preserve">31.2 ± 2.3</w:t>
            </w:r>
          </w:p>
        </w:tc>
        <w:tc>
          <w:tcPr/>
          <w:p>
            <w:pPr>
              <w:pStyle w:val="Compact"/>
              <w:jc w:val="left"/>
            </w:pPr>
            <w:r>
              <w:t xml:space="preserve">22.6 ± 7.1</w:t>
            </w:r>
          </w:p>
        </w:tc>
        <w:tc>
          <w:tcPr/>
          <w:p>
            <w:pPr>
              <w:pStyle w:val="Compact"/>
              <w:jc w:val="left"/>
            </w:pPr>
            <w:r>
              <w:t xml:space="preserve">25.1 ± 14.4</w:t>
            </w:r>
          </w:p>
        </w:tc>
        <w:tc>
          <w:tcPr/>
          <w:p>
            <w:pPr>
              <w:pStyle w:val="Compact"/>
              <w:jc w:val="left"/>
            </w:pPr>
            <w:r>
              <w:t xml:space="preserve">22.9 ± 7.8</w:t>
            </w:r>
          </w:p>
        </w:tc>
        <w:tc>
          <w:tcPr/>
          <w:p>
            <w:pPr>
              <w:pStyle w:val="Compact"/>
              <w:jc w:val="left"/>
            </w:pPr>
            <w:r>
              <w:t xml:space="preserve">55.6 ± 22.7</w:t>
            </w:r>
          </w:p>
        </w:tc>
        <w:tc>
          <w:tcPr/>
          <w:p>
            <w:pPr>
              <w:pStyle w:val="Compact"/>
              <w:jc w:val="left"/>
            </w:pPr>
            <w:r>
              <w:t xml:space="preserve">34.9 ± 21.4</w:t>
            </w:r>
          </w:p>
        </w:tc>
        <w:tc>
          <w:tcPr/>
          <w:p>
            <w:pPr>
              <w:pStyle w:val="Compact"/>
              <w:jc w:val="left"/>
            </w:pPr>
            <w:r>
              <w:t xml:space="preserve">32.3 ± 7.9</w:t>
            </w:r>
          </w:p>
        </w:tc>
        <w:tc>
          <w:tcPr/>
          <w:p>
            <w:pPr>
              <w:pStyle w:val="Compact"/>
              <w:jc w:val="left"/>
            </w:pPr>
            <w:r>
              <w:t xml:space="preserve">19.7 ± 6.5</w:t>
            </w:r>
          </w:p>
        </w:tc>
      </w:tr>
      <w:tr>
        <w:tc>
          <w:tcPr/>
          <w:p>
            <w:pPr>
              <w:pStyle w:val="Compact"/>
              <w:jc w:val="left"/>
            </w:pPr>
            <w:r>
              <w:t xml:space="preserve">MAML-1</w:t>
            </w:r>
          </w:p>
        </w:tc>
        <w:tc>
          <w:tcPr/>
          <w:p>
            <w:pPr>
              <w:pStyle w:val="Compact"/>
              <w:jc w:val="left"/>
            </w:pPr>
            <w:r>
              <w:t xml:space="preserve">68.1 ± 2.8</w:t>
            </w:r>
          </w:p>
        </w:tc>
        <w:tc>
          <w:tcPr/>
          <w:p>
            <w:pPr>
              <w:pStyle w:val="Compact"/>
              <w:jc w:val="left"/>
            </w:pPr>
            <w:r>
              <w:t xml:space="preserve">66.3 ± 4.5</w:t>
            </w:r>
          </w:p>
        </w:tc>
        <w:tc>
          <w:tcPr/>
          <w:p>
            <w:pPr>
              <w:pStyle w:val="Compact"/>
              <w:jc w:val="left"/>
            </w:pPr>
            <w:r>
              <w:t xml:space="preserve">64.2 ± 3.3</w:t>
            </w:r>
          </w:p>
        </w:tc>
        <w:tc>
          <w:tcPr/>
          <w:p>
            <w:pPr>
              <w:pStyle w:val="Compact"/>
              <w:jc w:val="left"/>
            </w:pPr>
            <w:r>
              <w:t xml:space="preserve">58.0 ± 2.3</w:t>
            </w:r>
          </w:p>
        </w:tc>
        <w:tc>
          <w:tcPr/>
          <w:p>
            <w:pPr>
              <w:pStyle w:val="Compact"/>
              <w:jc w:val="left"/>
            </w:pPr>
            <w:r>
              <w:t xml:space="preserve">93.1 ± 5.6</w:t>
            </w:r>
          </w:p>
        </w:tc>
        <w:tc>
          <w:tcPr/>
          <w:p>
            <w:pPr>
              <w:pStyle w:val="Compact"/>
              <w:jc w:val="left"/>
            </w:pPr>
            <w:r>
              <w:t xml:space="preserve">76.8 ± 3.9</w:t>
            </w:r>
          </w:p>
        </w:tc>
        <w:tc>
          <w:tcPr/>
          <w:p>
            <w:pPr>
              <w:pStyle w:val="Compact"/>
              <w:jc w:val="left"/>
            </w:pPr>
            <w:r>
              <w:t xml:space="preserve">100.0 ± 0.0</w:t>
            </w:r>
          </w:p>
        </w:tc>
        <w:tc>
          <w:tcPr/>
          <w:p>
            <w:pPr>
              <w:pStyle w:val="Compact"/>
              <w:jc w:val="left"/>
            </w:pPr>
            <w:r>
              <w:t xml:space="preserve">99.3 ± 0.6</w:t>
            </w:r>
          </w:p>
        </w:tc>
        <w:tc>
          <w:tcPr/>
          <w:p>
            <w:pPr>
              <w:pStyle w:val="Compact"/>
              <w:jc w:val="left"/>
            </w:pPr>
            <w:r>
              <w:rPr>
                <w:bCs/>
                <w:b/>
              </w:rPr>
              <w:t xml:space="preserve">21.6 ± 2.3</w:t>
            </w:r>
          </w:p>
        </w:tc>
        <w:tc>
          <w:tcPr/>
          <w:p>
            <w:pPr>
              <w:pStyle w:val="Compact"/>
              <w:jc w:val="left"/>
            </w:pPr>
            <w:r>
              <w:t xml:space="preserve">19.6 ± 2.7</w:t>
            </w:r>
          </w:p>
        </w:tc>
      </w:tr>
      <w:tr>
        <w:tc>
          <w:tcPr/>
          <w:p>
            <w:pPr>
              <w:pStyle w:val="Compact"/>
              <w:jc w:val="left"/>
            </w:pPr>
            <w:r>
              <w:t xml:space="preserve">MSGD-1</w:t>
            </w:r>
          </w:p>
        </w:tc>
        <w:tc>
          <w:tcPr/>
          <w:p>
            <w:pPr>
              <w:pStyle w:val="Compact"/>
              <w:jc w:val="left"/>
            </w:pPr>
            <w:r>
              <w:t xml:space="preserve">66.8 ± 6.3</w:t>
            </w:r>
          </w:p>
        </w:tc>
        <w:tc>
          <w:tcPr/>
          <w:p>
            <w:pPr>
              <w:pStyle w:val="Compact"/>
              <w:jc w:val="left"/>
            </w:pPr>
            <w:r>
              <w:t xml:space="preserve">65.6 ± 7.6</w:t>
            </w:r>
          </w:p>
        </w:tc>
        <w:tc>
          <w:tcPr/>
          <w:p>
            <w:pPr>
              <w:pStyle w:val="Compact"/>
              <w:jc w:val="left"/>
            </w:pPr>
            <w:r>
              <w:t xml:space="preserve">64.2 ± 4.1</w:t>
            </w:r>
          </w:p>
        </w:tc>
        <w:tc>
          <w:tcPr/>
          <w:p>
            <w:pPr>
              <w:pStyle w:val="Compact"/>
              <w:jc w:val="left"/>
            </w:pPr>
            <w:r>
              <w:t xml:space="preserve">57.5 ± 4.9</w:t>
            </w:r>
          </w:p>
        </w:tc>
        <w:tc>
          <w:tcPr/>
          <w:p>
            <w:pPr>
              <w:pStyle w:val="Compact"/>
              <w:jc w:val="left"/>
            </w:pPr>
            <w:r>
              <w:t xml:space="preserve">90.0 ± 10.4</w:t>
            </w:r>
          </w:p>
        </w:tc>
        <w:tc>
          <w:tcPr/>
          <w:p>
            <w:pPr>
              <w:pStyle w:val="Compact"/>
              <w:jc w:val="left"/>
            </w:pPr>
            <w:r>
              <w:t xml:space="preserve">74.7 ± 7.2</w:t>
            </w:r>
          </w:p>
        </w:tc>
        <w:tc>
          <w:tcPr/>
          <w:p>
            <w:pPr>
              <w:pStyle w:val="Compact"/>
              <w:jc w:val="left"/>
            </w:pPr>
            <w:r>
              <w:t xml:space="preserve">100.0 ± 0.0</w:t>
            </w:r>
          </w:p>
        </w:tc>
        <w:tc>
          <w:tcPr/>
          <w:p>
            <w:pPr>
              <w:pStyle w:val="Compact"/>
              <w:jc w:val="left"/>
            </w:pPr>
            <w:r>
              <w:t xml:space="preserve">99.4 ± 1.0</w:t>
            </w:r>
          </w:p>
        </w:tc>
        <w:tc>
          <w:tcPr/>
          <w:p>
            <w:pPr>
              <w:pStyle w:val="Compact"/>
              <w:jc w:val="left"/>
            </w:pPr>
            <w:r>
              <w:t xml:space="preserve">23.2 ± 2.4</w:t>
            </w:r>
          </w:p>
        </w:tc>
        <w:tc>
          <w:tcPr/>
          <w:p>
            <w:pPr>
              <w:pStyle w:val="Compact"/>
              <w:jc w:val="left"/>
            </w:pPr>
            <w:r>
              <w:t xml:space="preserve">21.7 ± 4.7</w:t>
            </w:r>
          </w:p>
        </w:tc>
      </w:tr>
      <w:tr>
        <w:tc>
          <w:tcPr/>
          <w:p>
            <w:pPr>
              <w:pStyle w:val="Compact"/>
              <w:jc w:val="left"/>
            </w:pPr>
            <w:r>
              <w:t xml:space="preserve">OML-A</w:t>
            </w:r>
          </w:p>
        </w:tc>
        <w:tc>
          <w:tcPr/>
          <w:p>
            <w:pPr>
              <w:pStyle w:val="Compact"/>
              <w:jc w:val="left"/>
            </w:pPr>
            <w:r>
              <w:t xml:space="preserve">63.4 ± 5.0</w:t>
            </w:r>
          </w:p>
        </w:tc>
        <w:tc>
          <w:tcPr/>
          <w:p>
            <w:pPr>
              <w:pStyle w:val="Compact"/>
              <w:jc w:val="left"/>
            </w:pPr>
            <w:r>
              <w:t xml:space="preserve">62.8 ± 5.1</w:t>
            </w:r>
          </w:p>
        </w:tc>
        <w:tc>
          <w:tcPr/>
          <w:p>
            <w:pPr>
              <w:pStyle w:val="Compact"/>
              <w:jc w:val="left"/>
            </w:pPr>
            <w:r>
              <w:t xml:space="preserve">58.5 ± 3.3</w:t>
            </w:r>
          </w:p>
        </w:tc>
        <w:tc>
          <w:tcPr/>
          <w:p>
            <w:pPr>
              <w:pStyle w:val="Compact"/>
              <w:jc w:val="left"/>
            </w:pPr>
            <w:r>
              <w:t xml:space="preserve">53.8 ± 2.8</w:t>
            </w:r>
          </w:p>
        </w:tc>
        <w:tc>
          <w:tcPr/>
          <w:p>
            <w:pPr>
              <w:pStyle w:val="Compact"/>
              <w:jc w:val="left"/>
            </w:pPr>
            <w:r>
              <w:t xml:space="preserve">85.3 ± 9.3</w:t>
            </w:r>
          </w:p>
        </w:tc>
        <w:tc>
          <w:tcPr/>
          <w:p>
            <w:pPr>
              <w:pStyle w:val="Compact"/>
              <w:jc w:val="left"/>
            </w:pPr>
            <w:r>
              <w:t xml:space="preserve">71.0 ± 4.1</w:t>
            </w:r>
          </w:p>
        </w:tc>
        <w:tc>
          <w:tcPr/>
          <w:p>
            <w:pPr>
              <w:pStyle w:val="Compact"/>
              <w:jc w:val="left"/>
            </w:pPr>
            <w:r>
              <w:t xml:space="preserve">100.0 ± 0.0</w:t>
            </w:r>
          </w:p>
        </w:tc>
        <w:tc>
          <w:tcPr/>
          <w:p>
            <w:pPr>
              <w:pStyle w:val="Compact"/>
              <w:jc w:val="left"/>
            </w:pPr>
            <w:r>
              <w:t xml:space="preserve">99.5 ± 0.4</w:t>
            </w:r>
          </w:p>
        </w:tc>
        <w:tc>
          <w:tcPr/>
          <w:p>
            <w:pPr>
              <w:pStyle w:val="Compact"/>
              <w:jc w:val="left"/>
            </w:pPr>
            <w:r>
              <w:t xml:space="preserve">21.1 ± 1.9</w:t>
            </w:r>
          </w:p>
        </w:tc>
        <w:tc>
          <w:tcPr/>
          <w:p>
            <w:pPr>
              <w:pStyle w:val="Compact"/>
              <w:jc w:val="left"/>
            </w:pPr>
            <w:r>
              <w:t xml:space="preserve">17.1 ± 2.1</w:t>
            </w:r>
          </w:p>
        </w:tc>
      </w:tr>
      <w:tr>
        <w:tc>
          <w:tcPr/>
          <w:p>
            <w:pPr>
              <w:pStyle w:val="Compact"/>
              <w:jc w:val="left"/>
            </w:pPr>
            <w:r>
              <w:t xml:space="preserve">DAMAD</w:t>
            </w:r>
          </w:p>
        </w:tc>
        <w:tc>
          <w:tcPr/>
          <w:p>
            <w:pPr>
              <w:pStyle w:val="Compact"/>
              <w:jc w:val="left"/>
            </w:pPr>
            <w:r>
              <w:rPr>
                <w:bCs/>
                <w:b/>
              </w:rPr>
              <w:t xml:space="preserve">22.7 ± 3.0</w:t>
            </w:r>
          </w:p>
        </w:tc>
        <w:tc>
          <w:tcPr/>
          <w:p>
            <w:pPr>
              <w:pStyle w:val="Compact"/>
              <w:jc w:val="left"/>
            </w:pPr>
            <w:r>
              <w:rPr>
                <w:bCs/>
                <w:b/>
              </w:rPr>
              <w:t xml:space="preserve">24.0 ± 7.4</w:t>
            </w:r>
          </w:p>
        </w:tc>
        <w:tc>
          <w:tcPr/>
          <w:p>
            <w:pPr>
              <w:pStyle w:val="Compact"/>
              <w:jc w:val="left"/>
            </w:pPr>
            <w:r>
              <w:t xml:space="preserve">24.9 ± 4.3</w:t>
            </w:r>
          </w:p>
        </w:tc>
        <w:tc>
          <w:tcPr/>
          <w:p>
            <w:pPr>
              <w:pStyle w:val="Compact"/>
              <w:jc w:val="left"/>
            </w:pPr>
            <w:r>
              <w:rPr>
                <w:bCs/>
                <w:b/>
              </w:rPr>
              <w:t xml:space="preserve">15.7 ± 2.1</w:t>
            </w:r>
          </w:p>
        </w:tc>
        <w:tc>
          <w:tcPr/>
          <w:p>
            <w:pPr>
              <w:pStyle w:val="Compact"/>
              <w:jc w:val="left"/>
            </w:pPr>
            <w:r>
              <w:rPr>
                <w:bCs/>
                <w:b/>
              </w:rPr>
              <w:t xml:space="preserve">17.5 ± 7.6</w:t>
            </w:r>
          </w:p>
        </w:tc>
        <w:tc>
          <w:tcPr/>
          <w:p>
            <w:pPr>
              <w:pStyle w:val="Compact"/>
              <w:jc w:val="left"/>
            </w:pPr>
            <w:r>
              <w:rPr>
                <w:bCs/>
                <w:b/>
              </w:rPr>
              <w:t xml:space="preserve">13.5 ± 5.1</w:t>
            </w:r>
          </w:p>
        </w:tc>
        <w:tc>
          <w:tcPr/>
          <w:p>
            <w:pPr>
              <w:pStyle w:val="Compact"/>
              <w:jc w:val="left"/>
            </w:pPr>
            <w:r>
              <w:rPr>
                <w:bCs/>
                <w:b/>
              </w:rPr>
              <w:t xml:space="preserve">20.6 ± 12.3</w:t>
            </w:r>
          </w:p>
        </w:tc>
        <w:tc>
          <w:tcPr/>
          <w:p>
            <w:pPr>
              <w:pStyle w:val="Compact"/>
              <w:jc w:val="left"/>
            </w:pPr>
            <w:r>
              <w:rPr>
                <w:bCs/>
                <w:b/>
              </w:rPr>
              <w:t xml:space="preserve">30.7 ± 9.6</w:t>
            </w:r>
          </w:p>
        </w:tc>
        <w:tc>
          <w:tcPr/>
          <w:p>
            <w:pPr>
              <w:pStyle w:val="Compact"/>
              <w:jc w:val="left"/>
            </w:pPr>
            <w:r>
              <w:t xml:space="preserve">31.5 ± 8.4</w:t>
            </w:r>
          </w:p>
        </w:tc>
        <w:tc>
          <w:tcPr/>
          <w:p>
            <w:pPr>
              <w:pStyle w:val="Compact"/>
              <w:jc w:val="left"/>
            </w:pPr>
            <w:r>
              <w:t xml:space="preserve">16.1 ± 4.8</w:t>
            </w:r>
          </w:p>
        </w:tc>
      </w:tr>
    </w:tbl>
    <w:p>
      <w:pPr>
        <w:pStyle w:val="BodyText"/>
      </w:pPr>
      <w:r>
        <w:t xml:space="preserve">Table 12. Adaptation steps (windows after a change point until the rolling false-alarm rate is back at the pre-drift level plus five points; capped at the segment length) and the share of change points from which the detector recovered at all.</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PSM sudden</w:t>
            </w:r>
          </w:p>
        </w:tc>
        <w:tc>
          <w:tcPr/>
          <w:p>
            <w:pPr>
              <w:pStyle w:val="Compact"/>
              <w:jc w:val="left"/>
            </w:pPr>
            <w:r>
              <w:t xml:space="preserve">HAI sudden</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3041 ± 259</w:t>
            </w:r>
          </w:p>
        </w:tc>
        <w:tc>
          <w:tcPr/>
          <w:p>
            <w:pPr>
              <w:pStyle w:val="Compact"/>
              <w:jc w:val="left"/>
            </w:pPr>
            <w:r>
              <w:t xml:space="preserve">775 ± 209</w:t>
            </w:r>
          </w:p>
        </w:tc>
        <w:tc>
          <w:tcPr/>
          <w:p>
            <w:pPr>
              <w:pStyle w:val="Compact"/>
              <w:jc w:val="left"/>
            </w:pPr>
            <w:r>
              <w:t xml:space="preserve">573 ± 472</w:t>
            </w:r>
          </w:p>
        </w:tc>
        <w:tc>
          <w:tcPr/>
          <w:p>
            <w:pPr>
              <w:pStyle w:val="Compact"/>
              <w:jc w:val="left"/>
            </w:pPr>
            <w:r>
              <w:t xml:space="preserve">2018 ± 275</w:t>
            </w:r>
          </w:p>
        </w:tc>
        <w:tc>
          <w:tcPr/>
          <w:p>
            <w:pPr>
              <w:pStyle w:val="Compact"/>
              <w:jc w:val="left"/>
            </w:pPr>
            <w:r>
              <w:t xml:space="preserve">3726 ± 549</w:t>
            </w:r>
          </w:p>
        </w:tc>
        <w:tc>
          <w:tcPr/>
          <w:p>
            <w:pPr>
              <w:pStyle w:val="Compact"/>
              <w:jc w:val="left"/>
            </w:pPr>
            <w:r>
              <w:t xml:space="preserve">6323 ± 2387</w:t>
            </w:r>
          </w:p>
        </w:tc>
        <w:tc>
          <w:tcPr/>
          <w:p>
            <w:pPr>
              <w:pStyle w:val="Compact"/>
              <w:jc w:val="left"/>
            </w:pPr>
            <w:r>
              <w:t xml:space="preserve">1287 ± 355</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3305 ± 471</w:t>
            </w:r>
          </w:p>
        </w:tc>
        <w:tc>
          <w:tcPr/>
          <w:p>
            <w:pPr>
              <w:pStyle w:val="Compact"/>
              <w:jc w:val="left"/>
            </w:pPr>
            <w:r>
              <w:t xml:space="preserve">1558 ± 566</w:t>
            </w:r>
          </w:p>
        </w:tc>
        <w:tc>
          <w:tcPr/>
          <w:p>
            <w:pPr>
              <w:pStyle w:val="Compact"/>
              <w:jc w:val="left"/>
            </w:pPr>
            <w:r>
              <w:t xml:space="preserve">585 ± 269</w:t>
            </w:r>
          </w:p>
        </w:tc>
        <w:tc>
          <w:tcPr/>
          <w:p>
            <w:pPr>
              <w:pStyle w:val="Compact"/>
              <w:jc w:val="left"/>
            </w:pPr>
            <w:r>
              <w:t xml:space="preserve">2081 ± 167</w:t>
            </w:r>
          </w:p>
        </w:tc>
        <w:tc>
          <w:tcPr/>
          <w:p>
            <w:pPr>
              <w:pStyle w:val="Compact"/>
              <w:jc w:val="left"/>
            </w:pPr>
            <w:r>
              <w:t xml:space="preserve">4790 ± 819</w:t>
            </w:r>
          </w:p>
        </w:tc>
        <w:tc>
          <w:tcPr/>
          <w:p>
            <w:pPr>
              <w:pStyle w:val="Compact"/>
              <w:jc w:val="left"/>
            </w:pPr>
            <w:r>
              <w:t xml:space="preserve">2810 ± 3</w:t>
            </w:r>
          </w:p>
        </w:tc>
        <w:tc>
          <w:tcPr/>
          <w:p>
            <w:pPr>
              <w:pStyle w:val="Compact"/>
              <w:jc w:val="left"/>
            </w:pPr>
            <w:r>
              <w:t xml:space="preserve">1028 ± 47</w:t>
            </w:r>
          </w:p>
        </w:tc>
        <w:tc>
          <w:tcPr/>
          <w:p>
            <w:pPr>
              <w:pStyle w:val="Compact"/>
              <w:jc w:val="left"/>
            </w:pPr>
            <w:r>
              <w:t xml:space="preserve">80</w:t>
            </w:r>
          </w:p>
        </w:tc>
      </w:tr>
      <w:tr>
        <w:tc>
          <w:tcPr/>
          <w:p>
            <w:pPr>
              <w:pStyle w:val="Compact"/>
              <w:jc w:val="left"/>
            </w:pPr>
            <w:r>
              <w:t xml:space="preserve">VAE-FT</w:t>
            </w:r>
          </w:p>
        </w:tc>
        <w:tc>
          <w:tcPr/>
          <w:p>
            <w:pPr>
              <w:pStyle w:val="Compact"/>
              <w:jc w:val="left"/>
            </w:pPr>
            <w:r>
              <w:t xml:space="preserve">3319 ± 491</w:t>
            </w:r>
          </w:p>
        </w:tc>
        <w:tc>
          <w:tcPr/>
          <w:p>
            <w:pPr>
              <w:pStyle w:val="Compact"/>
              <w:jc w:val="left"/>
            </w:pPr>
            <w:r>
              <w:t xml:space="preserve">1614 ± 436</w:t>
            </w:r>
          </w:p>
        </w:tc>
        <w:tc>
          <w:tcPr/>
          <w:p>
            <w:pPr>
              <w:pStyle w:val="Compact"/>
              <w:jc w:val="left"/>
            </w:pPr>
            <w:r>
              <w:t xml:space="preserve">683 ± 276</w:t>
            </w:r>
          </w:p>
        </w:tc>
        <w:tc>
          <w:tcPr/>
          <w:p>
            <w:pPr>
              <w:pStyle w:val="Compact"/>
              <w:jc w:val="left"/>
            </w:pPr>
            <w:r>
              <w:t xml:space="preserve">2081 ± 169</w:t>
            </w:r>
          </w:p>
        </w:tc>
        <w:tc>
          <w:tcPr/>
          <w:p>
            <w:pPr>
              <w:pStyle w:val="Compact"/>
              <w:jc w:val="left"/>
            </w:pPr>
            <w:r>
              <w:t xml:space="preserve">4815 ± 852</w:t>
            </w:r>
          </w:p>
        </w:tc>
        <w:tc>
          <w:tcPr/>
          <w:p>
            <w:pPr>
              <w:pStyle w:val="Compact"/>
              <w:jc w:val="left"/>
            </w:pPr>
            <w:r>
              <w:t xml:space="preserve">2805 ± 6</w:t>
            </w:r>
          </w:p>
        </w:tc>
        <w:tc>
          <w:tcPr/>
          <w:p>
            <w:pPr>
              <w:pStyle w:val="Compact"/>
              <w:jc w:val="left"/>
            </w:pPr>
            <w:r>
              <w:t xml:space="preserve">1028 ± 47</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3182 ± 517</w:t>
            </w:r>
          </w:p>
        </w:tc>
        <w:tc>
          <w:tcPr/>
          <w:p>
            <w:pPr>
              <w:pStyle w:val="Compact"/>
              <w:jc w:val="left"/>
            </w:pPr>
            <w:r>
              <w:t xml:space="preserve">1019 ± 482</w:t>
            </w:r>
          </w:p>
        </w:tc>
        <w:tc>
          <w:tcPr/>
          <w:p>
            <w:pPr>
              <w:pStyle w:val="Compact"/>
              <w:jc w:val="left"/>
            </w:pPr>
            <w:r>
              <w:rPr>
                <w:bCs/>
                <w:b/>
              </w:rPr>
              <w:t xml:space="preserve">122 ± 22</w:t>
            </w:r>
          </w:p>
        </w:tc>
        <w:tc>
          <w:tcPr/>
          <w:p>
            <w:pPr>
              <w:pStyle w:val="Compact"/>
              <w:jc w:val="left"/>
            </w:pPr>
            <w:r>
              <w:t xml:space="preserve">1896 ± 216</w:t>
            </w:r>
          </w:p>
        </w:tc>
        <w:tc>
          <w:tcPr/>
          <w:p>
            <w:pPr>
              <w:pStyle w:val="Compact"/>
              <w:jc w:val="left"/>
            </w:pPr>
            <w:r>
              <w:t xml:space="preserve">4102 ± 924</w:t>
            </w:r>
          </w:p>
        </w:tc>
        <w:tc>
          <w:tcPr/>
          <w:p>
            <w:pPr>
              <w:pStyle w:val="Compact"/>
              <w:jc w:val="left"/>
            </w:pPr>
            <w:r>
              <w:t xml:space="preserve">7397 ± 2</w:t>
            </w:r>
          </w:p>
        </w:tc>
        <w:tc>
          <w:tcPr/>
          <w:p>
            <w:pPr>
              <w:pStyle w:val="Compact"/>
              <w:jc w:val="left"/>
            </w:pPr>
            <w:r>
              <w:t xml:space="preserve">867 ± 80</w:t>
            </w:r>
          </w:p>
        </w:tc>
        <w:tc>
          <w:tcPr/>
          <w:p>
            <w:pPr>
              <w:pStyle w:val="Compact"/>
              <w:jc w:val="left"/>
            </w:pPr>
            <w:r>
              <w:t xml:space="preserve">85</w:t>
            </w:r>
          </w:p>
        </w:tc>
      </w:tr>
      <w:tr>
        <w:tc>
          <w:tcPr/>
          <w:p>
            <w:pPr>
              <w:pStyle w:val="Compact"/>
              <w:jc w:val="left"/>
            </w:pPr>
            <w:r>
              <w:t xml:space="preserve">VAE-DFT</w:t>
            </w:r>
          </w:p>
        </w:tc>
        <w:tc>
          <w:tcPr/>
          <w:p>
            <w:pPr>
              <w:pStyle w:val="Compact"/>
              <w:jc w:val="left"/>
            </w:pPr>
            <w:r>
              <w:rPr>
                <w:bCs/>
                <w:b/>
              </w:rPr>
              <w:t xml:space="preserve">559 ± 202</w:t>
            </w:r>
          </w:p>
        </w:tc>
        <w:tc>
          <w:tcPr/>
          <w:p>
            <w:pPr>
              <w:pStyle w:val="Compact"/>
              <w:jc w:val="left"/>
            </w:pPr>
            <w:r>
              <w:t xml:space="preserve">284 ± 116</w:t>
            </w:r>
          </w:p>
        </w:tc>
        <w:tc>
          <w:tcPr/>
          <w:p>
            <w:pPr>
              <w:pStyle w:val="Compact"/>
              <w:jc w:val="left"/>
            </w:pPr>
            <w:r>
              <w:t xml:space="preserve">201 ± 110</w:t>
            </w:r>
          </w:p>
        </w:tc>
        <w:tc>
          <w:tcPr/>
          <w:p>
            <w:pPr>
              <w:pStyle w:val="Compact"/>
              <w:jc w:val="left"/>
            </w:pPr>
            <w:r>
              <w:t xml:space="preserve">478 ± 192</w:t>
            </w:r>
          </w:p>
        </w:tc>
        <w:tc>
          <w:tcPr/>
          <w:p>
            <w:pPr>
              <w:pStyle w:val="Compact"/>
              <w:jc w:val="left"/>
            </w:pPr>
            <w:r>
              <w:rPr>
                <w:bCs/>
                <w:b/>
              </w:rPr>
              <w:t xml:space="preserve">584 ± 382</w:t>
            </w:r>
          </w:p>
        </w:tc>
        <w:tc>
          <w:tcPr/>
          <w:p>
            <w:pPr>
              <w:pStyle w:val="Compact"/>
              <w:jc w:val="left"/>
            </w:pPr>
            <w:r>
              <w:t xml:space="preserve">796 ± 1118</w:t>
            </w:r>
          </w:p>
        </w:tc>
        <w:tc>
          <w:tcPr/>
          <w:p>
            <w:pPr>
              <w:pStyle w:val="Compact"/>
              <w:jc w:val="left"/>
            </w:pPr>
            <w:r>
              <w:rPr>
                <w:bCs/>
                <w:b/>
              </w:rPr>
              <w:t xml:space="preserve">471 ± 87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3076 ± 540</w:t>
            </w:r>
          </w:p>
        </w:tc>
        <w:tc>
          <w:tcPr/>
          <w:p>
            <w:pPr>
              <w:pStyle w:val="Compact"/>
              <w:jc w:val="left"/>
            </w:pPr>
            <w:r>
              <w:t xml:space="preserve">1745 ± 469</w:t>
            </w:r>
          </w:p>
        </w:tc>
        <w:tc>
          <w:tcPr/>
          <w:p>
            <w:pPr>
              <w:pStyle w:val="Compact"/>
              <w:jc w:val="left"/>
            </w:pPr>
            <w:r>
              <w:t xml:space="preserve">1273 ± 655</w:t>
            </w:r>
          </w:p>
        </w:tc>
        <w:tc>
          <w:tcPr/>
          <w:p>
            <w:pPr>
              <w:pStyle w:val="Compact"/>
              <w:jc w:val="left"/>
            </w:pPr>
            <w:r>
              <w:t xml:space="preserve">2114 ± 176</w:t>
            </w:r>
          </w:p>
        </w:tc>
        <w:tc>
          <w:tcPr/>
          <w:p>
            <w:pPr>
              <w:pStyle w:val="Compact"/>
              <w:jc w:val="left"/>
            </w:pPr>
            <w:r>
              <w:t xml:space="preserve">4543 ± 946</w:t>
            </w:r>
          </w:p>
        </w:tc>
        <w:tc>
          <w:tcPr/>
          <w:p>
            <w:pPr>
              <w:pStyle w:val="Compact"/>
              <w:jc w:val="left"/>
            </w:pPr>
            <w:r>
              <w:t xml:space="preserve">2788 ± 6</w:t>
            </w:r>
          </w:p>
        </w:tc>
        <w:tc>
          <w:tcPr/>
          <w:p>
            <w:pPr>
              <w:pStyle w:val="Compact"/>
              <w:jc w:val="left"/>
            </w:pPr>
            <w:r>
              <w:t xml:space="preserve">787 ± 6</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2985 ± 662</w:t>
            </w:r>
          </w:p>
        </w:tc>
        <w:tc>
          <w:tcPr/>
          <w:p>
            <w:pPr>
              <w:pStyle w:val="Compact"/>
              <w:jc w:val="left"/>
            </w:pPr>
            <w:r>
              <w:t xml:space="preserve">1744 ± 392</w:t>
            </w:r>
          </w:p>
        </w:tc>
        <w:tc>
          <w:tcPr/>
          <w:p>
            <w:pPr>
              <w:pStyle w:val="Compact"/>
              <w:jc w:val="left"/>
            </w:pPr>
            <w:r>
              <w:t xml:space="preserve">1316 ± 363</w:t>
            </w:r>
          </w:p>
        </w:tc>
        <w:tc>
          <w:tcPr/>
          <w:p>
            <w:pPr>
              <w:pStyle w:val="Compact"/>
              <w:jc w:val="left"/>
            </w:pPr>
            <w:r>
              <w:t xml:space="preserve">2066 ± 292</w:t>
            </w:r>
          </w:p>
        </w:tc>
        <w:tc>
          <w:tcPr/>
          <w:p>
            <w:pPr>
              <w:pStyle w:val="Compact"/>
              <w:jc w:val="left"/>
            </w:pPr>
            <w:r>
              <w:t xml:space="preserve">4372 ± 1141</w:t>
            </w:r>
          </w:p>
        </w:tc>
        <w:tc>
          <w:tcPr/>
          <w:p>
            <w:pPr>
              <w:pStyle w:val="Compact"/>
              <w:jc w:val="left"/>
            </w:pPr>
            <w:r>
              <w:t xml:space="preserve">2789 ± 13</w:t>
            </w:r>
          </w:p>
        </w:tc>
        <w:tc>
          <w:tcPr/>
          <w:p>
            <w:pPr>
              <w:pStyle w:val="Compact"/>
              <w:jc w:val="left"/>
            </w:pPr>
            <w:r>
              <w:t xml:space="preserve">805 ± 42</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2910 ± 652</w:t>
            </w:r>
          </w:p>
        </w:tc>
        <w:tc>
          <w:tcPr/>
          <w:p>
            <w:pPr>
              <w:pStyle w:val="Compact"/>
              <w:jc w:val="left"/>
            </w:pPr>
            <w:r>
              <w:t xml:space="preserve">1718 ± 399</w:t>
            </w:r>
          </w:p>
        </w:tc>
        <w:tc>
          <w:tcPr/>
          <w:p>
            <w:pPr>
              <w:pStyle w:val="Compact"/>
              <w:jc w:val="left"/>
            </w:pPr>
            <w:r>
              <w:t xml:space="preserve">801 ± 609</w:t>
            </w:r>
          </w:p>
        </w:tc>
        <w:tc>
          <w:tcPr/>
          <w:p>
            <w:pPr>
              <w:pStyle w:val="Compact"/>
              <w:jc w:val="left"/>
            </w:pPr>
            <w:r>
              <w:t xml:space="preserve">1902 ± 207</w:t>
            </w:r>
          </w:p>
        </w:tc>
        <w:tc>
          <w:tcPr/>
          <w:p>
            <w:pPr>
              <w:pStyle w:val="Compact"/>
              <w:jc w:val="left"/>
            </w:pPr>
            <w:r>
              <w:t xml:space="preserve">4253 ± 1143</w:t>
            </w:r>
          </w:p>
        </w:tc>
        <w:tc>
          <w:tcPr/>
          <w:p>
            <w:pPr>
              <w:pStyle w:val="Compact"/>
              <w:jc w:val="left"/>
            </w:pPr>
            <w:r>
              <w:t xml:space="preserve">2793 ± 8</w:t>
            </w:r>
          </w:p>
        </w:tc>
        <w:tc>
          <w:tcPr/>
          <w:p>
            <w:pPr>
              <w:pStyle w:val="Compact"/>
              <w:jc w:val="left"/>
            </w:pPr>
            <w:r>
              <w:t xml:space="preserve">785 ± 4</w:t>
            </w:r>
          </w:p>
        </w:tc>
        <w:tc>
          <w:tcPr/>
          <w:p>
            <w:pPr>
              <w:pStyle w:val="Compact"/>
              <w:jc w:val="left"/>
            </w:pPr>
            <w:r>
              <w:t xml:space="preserve">83</w:t>
            </w:r>
          </w:p>
        </w:tc>
      </w:tr>
      <w:tr>
        <w:tc>
          <w:tcPr/>
          <w:p>
            <w:pPr>
              <w:pStyle w:val="Compact"/>
              <w:jc w:val="left"/>
            </w:pPr>
            <w:r>
              <w:t xml:space="preserve">DAMAD</w:t>
            </w:r>
          </w:p>
        </w:tc>
        <w:tc>
          <w:tcPr/>
          <w:p>
            <w:pPr>
              <w:pStyle w:val="Compact"/>
              <w:jc w:val="left"/>
            </w:pPr>
            <w:r>
              <w:t xml:space="preserve">619 ± 197</w:t>
            </w:r>
          </w:p>
        </w:tc>
        <w:tc>
          <w:tcPr/>
          <w:p>
            <w:pPr>
              <w:pStyle w:val="Compact"/>
              <w:jc w:val="left"/>
            </w:pPr>
            <w:r>
              <w:rPr>
                <w:bCs/>
                <w:b/>
              </w:rPr>
              <w:t xml:space="preserve">277 ± 143</w:t>
            </w:r>
          </w:p>
        </w:tc>
        <w:tc>
          <w:tcPr/>
          <w:p>
            <w:pPr>
              <w:pStyle w:val="Compact"/>
              <w:jc w:val="left"/>
            </w:pPr>
            <w:r>
              <w:t xml:space="preserve">186 ± 122</w:t>
            </w:r>
          </w:p>
        </w:tc>
        <w:tc>
          <w:tcPr/>
          <w:p>
            <w:pPr>
              <w:pStyle w:val="Compact"/>
              <w:jc w:val="left"/>
            </w:pPr>
            <w:r>
              <w:rPr>
                <w:bCs/>
                <w:b/>
              </w:rPr>
              <w:t xml:space="preserve">350 ± 139</w:t>
            </w:r>
          </w:p>
        </w:tc>
        <w:tc>
          <w:tcPr/>
          <w:p>
            <w:pPr>
              <w:pStyle w:val="Compact"/>
              <w:jc w:val="left"/>
            </w:pPr>
            <w:r>
              <w:t xml:space="preserve">697 ± 359</w:t>
            </w:r>
          </w:p>
        </w:tc>
        <w:tc>
          <w:tcPr/>
          <w:p>
            <w:pPr>
              <w:pStyle w:val="Compact"/>
              <w:jc w:val="left"/>
            </w:pPr>
            <w:r>
              <w:rPr>
                <w:bCs/>
                <w:b/>
              </w:rPr>
              <w:t xml:space="preserve">394 ± 92</w:t>
            </w:r>
          </w:p>
        </w:tc>
        <w:tc>
          <w:tcPr/>
          <w:p>
            <w:pPr>
              <w:pStyle w:val="Compact"/>
              <w:jc w:val="left"/>
            </w:pPr>
            <w:r>
              <w:t xml:space="preserve">539 ± 200</w:t>
            </w:r>
          </w:p>
        </w:tc>
        <w:tc>
          <w:tcPr/>
          <w:p>
            <w:pPr>
              <w:pStyle w:val="Compact"/>
              <w:jc w:val="left"/>
            </w:pPr>
            <w:r>
              <w:t xml:space="preserve">98</w:t>
            </w:r>
          </w:p>
        </w:tc>
      </w:tr>
    </w:tbl>
    <w:p>
      <w:pPr>
        <w:pStyle w:val="BodyText"/>
      </w:pPr>
      <w:r>
        <w:t xml:space="preserve">Recovery time tells the same story from the other side (Table 12). After a sudden change the static group needs 3,000–3,300 windows pooled, and on SMD close to 4,800, which is to say it never recovers within the segment; the value is the cap. DAMAD recovers in 190–620 windows depending on the pattern, VAE-DFT in 200–560, and both recover from 97–98 % of change points against 80–85 % for the rest. The adaptation itself takes twelve milliseconds; the time is spent waiting for five support windows and three hundred calibration windows, which is the price of setting a threshold without labels.</w:t>
      </w:r>
    </w:p>
    <w:p>
      <w:pPr>
        <w:pStyle w:val="BodyText"/>
      </w:pPr>
      <w:r>
        <w:t xml:space="preserve">F1 under drift (Table 10) follows from the false-alarm rate but less cleanly, because F1 also rewards recall and the static detectors have plenty of it: pooled under drift, the static VAE has recall 0.71 against DAMAD’s 0.55, bought with a 67 % false-alarm rate against 22 %. Pooled over datasets DAMAD has the best F1 under sudden (24.3) and recurring (26.5) drift, the incremental VAE under gradual (23.1) and incremental (25.7) drift, with DAMAD second in both. On SMD DAMAD is first under three of the four patterns and more than doubles the static VAE’s F1 in all four (24.6 versus 9.3 under sudden drift). On PSM every method sits near the F1 that alarming on everything would score (44 %, Section 8.3), which makes F1 uninformative there and the false-alarm rate the number to read: 100 % for the static group, 21–33 % for DAMAD. On HAI the picture is different. The injected shift raises the static VAE’s false-alarm rate only to 25–36 %, because the threshold set on the first regime of an HAI campaign is already high relative to the shifted residual, and DAMAD’s false-alarm rate (16–32 %) is not better. MAML-1 and OML-A have the best HAI F1 under drift (30–31) and DAMAD the worst of the VAE group under incremental drift (14.5), where each of its one to two adaptations recalibrated the threshold upward on a window that contained an attack. HAI is the dataset on which the method helps least, and it is the most industrial of the four.</w:t>
      </w:r>
    </w:p>
    <w:p>
      <w:pPr>
        <w:pStyle w:val="CaptionedFigure"/>
      </w:pPr>
      <w:r>
        <w:drawing>
          <wp:inline>
            <wp:extent cx="5334000" cy="2413947"/>
            <wp:effectExtent b="0" l="0" r="0" t="0"/>
            <wp:docPr descr="Figure 4. Pooled point-wise F1 (left) and false-alarm rate after drift (right) by drift condition, K = 5.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Error bars are standard deviations over seeds.</w:t>
      </w:r>
    </w:p>
    <w:p>
      <w:pPr>
        <w:pStyle w:val="BodyText"/>
      </w:pPr>
      <w:r>
        <w:t xml:space="preserve">Detection latency is the one streaming metric on which DAMAD is worse. Pooled over the drift conditions the static and adapt-once detectors raise their first alarm three windows into an anomaly segment, VAE-DFT five to seven, DAMAD seven to eight; and DAMAD detects 77–79 % of segments against 85–88 % for the static group. Both follow from the recalibrated threshold being higher than a threshold set once on a quiet first regime. An operator who wants the earliest possible alarm and can live with alarms on most normal steps after a change should use the static detector; one who needs the alarm stream to stay meaningful after a change cannot.</w:t>
      </w:r>
    </w:p>
    <w:p>
      <w:pPr>
        <w:pStyle w:val="BodyText"/>
      </w:pPr>
      <w:r>
        <w:t xml:space="preserve">Figure 5 shows one SMD stream under sudden drift.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Figures 6 and 7 show the same for PSM and HAI; on HAI the threshold set after the second adaptation is visibly high, which is what the F1 numbers reflect.</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PSM under sudden drift, same layout as Figure 5." title="" id="64" name="Picture"/>
            <a:graphic>
              <a:graphicData uri="http://schemas.openxmlformats.org/drawingml/2006/picture">
                <pic:pic>
                  <pic:nvPicPr>
                    <pic:cNvPr descr="../figures/fig_trace_psm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PSM under sudden drift, same layout as Figure 5.</w:t>
      </w:r>
    </w:p>
    <w:p>
      <w:pPr>
        <w:pStyle w:val="CaptionedFigure"/>
      </w:pPr>
      <w:r>
        <w:drawing>
          <wp:inline>
            <wp:extent cx="5334000" cy="3752550"/>
            <wp:effectExtent b="0" l="0" r="0" t="0"/>
            <wp:docPr descr="Figure 7. HAI test campaign 1 under sudden drift, same layout as Figure 5." title="" id="67" name="Picture"/>
            <a:graphic>
              <a:graphicData uri="http://schemas.openxmlformats.org/drawingml/2006/picture">
                <pic:pic>
                  <pic:nvPicPr>
                    <pic:cNvPr descr="../figures/fig_trace_hai_sudden.png" id="68" name="Picture"/>
                    <pic:cNvPicPr>
                      <a:picLocks noChangeArrowheads="1" noChangeAspect="1"/>
                    </pic:cNvPicPr>
                  </pic:nvPicPr>
                  <pic:blipFill>
                    <a:blip r:embed="rId66"/>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7. HAI test campaign 1 under sudden drift, same layout as Figure 5.</w:t>
      </w:r>
    </w:p>
    <w:bookmarkEnd w:id="69"/>
    <w:bookmarkStart w:id="73" w:name="ablations"/>
    <w:p>
      <w:pPr>
        <w:pStyle w:val="Heading2"/>
      </w:pPr>
      <w:r>
        <w:t xml:space="preserve">7.3 Ablations</w:t>
      </w:r>
    </w:p>
    <w:p>
      <w:pPr>
        <w:pStyle w:val="FirstParagraph"/>
      </w:pPr>
      <w:r>
        <w:t xml:space="preserve">Table 13 removes or replaces one element of DAMAD at a time under the four drift conditions pooled, per dataset, and Figure 8 shows the pooled picture. Two components carry the result. Without threshold recalibration (noM4) the false-alarm rate goes to 67 % on SMD and 98 % on PSM and recovery takes 1,700–3,000 windows, which is the static detector’s behaviour with extra steps; the adaptation of the model alone does not help if the threshold stays where it was. With MMD as the only gate (−mmd) the numbers are nearly as bad (66 % and 88 %), because the embedding statistic does not fire on the injected changes reliably and the detector then behaves as if it had no gate. Adding MMD to the residual gate (+mmd) is slightly worse than the residual gate alone on every dataset (F1 20.0 versus 22.5 on SMD, 13.9 versus 21.2 on HAI), which is what motivated dropping it from the method.</w:t>
      </w:r>
    </w:p>
    <w:p>
      <w:pPr>
        <w:pStyle w:val="BodyText"/>
      </w:pPr>
      <w:r>
        <w:t xml:space="preserve">Table 13. Ablations under the four drift patterns pooled, K = 5: F1 (%), false-alarm rate after drift (%) and adaptation steps.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Steps SMD</w:t>
            </w:r>
          </w:p>
        </w:tc>
        <w:tc>
          <w:tcPr/>
          <w:p>
            <w:pPr>
              <w:pStyle w:val="Compact"/>
              <w:jc w:val="left"/>
            </w:pPr>
            <w:r>
              <w:t xml:space="preserve">Steps PSM</w:t>
            </w:r>
          </w:p>
        </w:tc>
        <w:tc>
          <w:tcPr/>
          <w:p>
            <w:pPr>
              <w:pStyle w:val="Compact"/>
              <w:jc w:val="left"/>
            </w:pPr>
            <w:r>
              <w:t xml:space="preserve">Steps HAI</w:t>
            </w:r>
          </w:p>
        </w:tc>
      </w:tr>
      <w:tr>
        <w:tc>
          <w:tcPr/>
          <w:p>
            <w:pPr>
              <w:pStyle w:val="Compact"/>
              <w:jc w:val="left"/>
            </w:pPr>
            <w:r>
              <w:t xml:space="preserve">DAMAD</w:t>
            </w:r>
          </w:p>
        </w:tc>
        <w:tc>
          <w:tcPr/>
          <w:p>
            <w:pPr>
              <w:pStyle w:val="Compact"/>
              <w:jc w:val="left"/>
            </w:pPr>
            <w: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t xml:space="preserve">18.0 ± 3.0</w:t>
            </w:r>
          </w:p>
        </w:tc>
        <w:tc>
          <w:tcPr/>
          <w:p>
            <w:pPr>
              <w:pStyle w:val="Compact"/>
              <w:jc w:val="left"/>
            </w:pPr>
            <w:r>
              <w:t xml:space="preserve">26.7 ± 2.7</w:t>
            </w:r>
          </w:p>
        </w:tc>
        <w:tc>
          <w:tcPr/>
          <w:p>
            <w:pPr>
              <w:pStyle w:val="Compact"/>
              <w:jc w:val="left"/>
            </w:pPr>
            <w:r>
              <w:t xml:space="preserve">27.0 ± 6.5</w:t>
            </w:r>
          </w:p>
        </w:tc>
        <w:tc>
          <w:tcPr/>
          <w:p>
            <w:pPr>
              <w:pStyle w:val="Compact"/>
              <w:jc w:val="left"/>
            </w:pPr>
            <w:r>
              <w:t xml:space="preserve">362 ± 145</w:t>
            </w:r>
          </w:p>
        </w:tc>
        <w:tc>
          <w:tcPr/>
          <w:p>
            <w:pPr>
              <w:pStyle w:val="Compact"/>
              <w:jc w:val="left"/>
            </w:pPr>
            <w:r>
              <w:t xml:space="preserve">618 ± 476</w:t>
            </w:r>
          </w:p>
        </w:tc>
        <w:tc>
          <w:tcPr/>
          <w:p>
            <w:pPr>
              <w:pStyle w:val="Compact"/>
              <w:jc w:val="left"/>
            </w:pPr>
            <w:r>
              <w:t xml:space="preserve">300 ± 57</w:t>
            </w:r>
          </w:p>
        </w:tc>
      </w:tr>
      <w:tr>
        <w:tc>
          <w:tcPr/>
          <w:p>
            <w:pPr>
              <w:pStyle w:val="Compact"/>
              <w:jc w:val="left"/>
            </w:pPr>
            <w:r>
              <w:t xml:space="preserve">random episodes (rndM1)</w:t>
            </w:r>
          </w:p>
        </w:tc>
        <w:tc>
          <w:tcPr/>
          <w:p>
            <w:pPr>
              <w:pStyle w:val="Compact"/>
              <w:jc w:val="left"/>
            </w:pPr>
            <w:r>
              <w:t xml:space="preserve">22.8 ± 3.6</w:t>
            </w:r>
          </w:p>
        </w:tc>
        <w:tc>
          <w:tcPr/>
          <w:p>
            <w:pPr>
              <w:pStyle w:val="Compact"/>
              <w:jc w:val="left"/>
            </w:pPr>
            <w:r>
              <w:t xml:space="preserve">41.9 ± 9.2</w:t>
            </w:r>
          </w:p>
        </w:tc>
        <w:tc>
          <w:tcPr/>
          <w:p>
            <w:pPr>
              <w:pStyle w:val="Compact"/>
              <w:jc w:val="left"/>
            </w:pPr>
            <w:r>
              <w:rPr>
                <w:bCs/>
                <w:b/>
              </w:rPr>
              <w:t xml:space="preserve">29.5 ± 4.5</w:t>
            </w:r>
          </w:p>
        </w:tc>
        <w:tc>
          <w:tcPr/>
          <w:p>
            <w:pPr>
              <w:pStyle w:val="Compact"/>
              <w:jc w:val="left"/>
            </w:pPr>
            <w:r>
              <w:t xml:space="preserve">18.4 ± 3.5</w:t>
            </w:r>
          </w:p>
        </w:tc>
        <w:tc>
          <w:tcPr/>
          <w:p>
            <w:pPr>
              <w:pStyle w:val="Compact"/>
              <w:jc w:val="left"/>
            </w:pPr>
            <w:r>
              <w:t xml:space="preserve">30.3 ± 1.5</w:t>
            </w:r>
          </w:p>
        </w:tc>
        <w:tc>
          <w:tcPr/>
          <w:p>
            <w:pPr>
              <w:pStyle w:val="Compact"/>
              <w:jc w:val="left"/>
            </w:pPr>
            <w:r>
              <w:rPr>
                <w:bCs/>
                <w:b/>
              </w:rPr>
              <w:t xml:space="preserve">16.4 ± 8.3</w:t>
            </w:r>
          </w:p>
        </w:tc>
        <w:tc>
          <w:tcPr/>
          <w:p>
            <w:pPr>
              <w:pStyle w:val="Compact"/>
              <w:jc w:val="left"/>
            </w:pPr>
            <w:r>
              <w:t xml:space="preserve">345 ± 112</w:t>
            </w:r>
          </w:p>
        </w:tc>
        <w:tc>
          <w:tcPr/>
          <w:p>
            <w:pPr>
              <w:pStyle w:val="Compact"/>
              <w:jc w:val="left"/>
            </w:pPr>
            <w:r>
              <w:t xml:space="preserve">780 ± 356</w:t>
            </w:r>
          </w:p>
        </w:tc>
        <w:tc>
          <w:tcPr/>
          <w:p>
            <w:pPr>
              <w:pStyle w:val="Compact"/>
              <w:jc w:val="left"/>
            </w:pPr>
            <w:r>
              <w:t xml:space="preserve">292 ± 123</w:t>
            </w:r>
          </w:p>
        </w:tc>
      </w:tr>
      <w:tr>
        <w:tc>
          <w:tcPr/>
          <w:p>
            <w:pPr>
              <w:pStyle w:val="Compact"/>
              <w:jc w:val="left"/>
            </w:pPr>
            <w:r>
              <w:t xml:space="preserve">chunk episodes (noM1)</w:t>
            </w:r>
          </w:p>
        </w:tc>
        <w:tc>
          <w:tcPr/>
          <w:p>
            <w:pPr>
              <w:pStyle w:val="Compact"/>
              <w:jc w:val="left"/>
            </w:pPr>
            <w:r>
              <w:t xml:space="preserve">20.9 ± 1.7</w:t>
            </w:r>
          </w:p>
        </w:tc>
        <w:tc>
          <w:tcPr/>
          <w:p>
            <w:pPr>
              <w:pStyle w:val="Compact"/>
              <w:jc w:val="left"/>
            </w:pPr>
            <w:r>
              <w:t xml:space="preserve">36.2 ± 12.7</w:t>
            </w:r>
          </w:p>
        </w:tc>
        <w:tc>
          <w:tcPr/>
          <w:p>
            <w:pPr>
              <w:pStyle w:val="Compact"/>
              <w:jc w:val="left"/>
            </w:pPr>
            <w:r>
              <w:t xml:space="preserve">20.0 ± 2.4</w:t>
            </w:r>
          </w:p>
        </w:tc>
        <w:tc>
          <w:tcPr/>
          <w:p>
            <w:pPr>
              <w:pStyle w:val="Compact"/>
              <w:jc w:val="left"/>
            </w:pPr>
            <w:r>
              <w:t xml:space="preserve">18.8 ± 3.9</w:t>
            </w:r>
          </w:p>
        </w:tc>
        <w:tc>
          <w:tcPr/>
          <w:p>
            <w:pPr>
              <w:pStyle w:val="Compact"/>
              <w:jc w:val="left"/>
            </w:pPr>
            <w:r>
              <w:t xml:space="preserve">26.4 ± 8.7</w:t>
            </w:r>
          </w:p>
        </w:tc>
        <w:tc>
          <w:tcPr/>
          <w:p>
            <w:pPr>
              <w:pStyle w:val="Compact"/>
              <w:jc w:val="left"/>
            </w:pPr>
            <w:r>
              <w:t xml:space="preserve">26.8 ± 3.5</w:t>
            </w:r>
          </w:p>
        </w:tc>
        <w:tc>
          <w:tcPr/>
          <w:p>
            <w:pPr>
              <w:pStyle w:val="Compact"/>
              <w:jc w:val="left"/>
            </w:pPr>
            <w:r>
              <w:t xml:space="preserve">406 ± 146</w:t>
            </w:r>
          </w:p>
        </w:tc>
        <w:tc>
          <w:tcPr/>
          <w:p>
            <w:pPr>
              <w:pStyle w:val="Compact"/>
              <w:jc w:val="left"/>
            </w:pPr>
            <w:r>
              <w:t xml:space="preserve">398 ± 353</w:t>
            </w:r>
          </w:p>
        </w:tc>
        <w:tc>
          <w:tcPr/>
          <w:p>
            <w:pPr>
              <w:pStyle w:val="Compact"/>
              <w:jc w:val="left"/>
            </w:pPr>
            <w:r>
              <w:t xml:space="preserve">338 ± 27</w:t>
            </w:r>
          </w:p>
        </w:tc>
      </w:tr>
      <w:tr>
        <w:tc>
          <w:tcPr/>
          <w:p>
            <w:pPr>
              <w:pStyle w:val="Compact"/>
              <w:jc w:val="left"/>
            </w:pPr>
            <w:r>
              <w:t xml:space="preserve">ADWIN + MMD gate (+mmd)</w:t>
            </w:r>
          </w:p>
        </w:tc>
        <w:tc>
          <w:tcPr/>
          <w:p>
            <w:pPr>
              <w:pStyle w:val="Compact"/>
              <w:jc w:val="left"/>
            </w:pPr>
            <w:r>
              <w:t xml:space="preserve">20.0 ± 1.3</w:t>
            </w:r>
          </w:p>
        </w:tc>
        <w:tc>
          <w:tcPr/>
          <w:p>
            <w:pPr>
              <w:pStyle w:val="Compact"/>
              <w:jc w:val="left"/>
            </w:pPr>
            <w:r>
              <w:t xml:space="preserve">39.3 ± 5.4</w:t>
            </w:r>
          </w:p>
        </w:tc>
        <w:tc>
          <w:tcPr/>
          <w:p>
            <w:pPr>
              <w:pStyle w:val="Compact"/>
              <w:jc w:val="left"/>
            </w:pPr>
            <w:r>
              <w:t xml:space="preserve">13.9 ± 2.5</w:t>
            </w:r>
          </w:p>
        </w:tc>
        <w:tc>
          <w:tcPr/>
          <w:p>
            <w:pPr>
              <w:pStyle w:val="Compact"/>
              <w:jc w:val="left"/>
            </w:pPr>
            <w:r>
              <w:t xml:space="preserve">21.5 ± 4.7</w:t>
            </w:r>
          </w:p>
        </w:tc>
        <w:tc>
          <w:tcPr/>
          <w:p>
            <w:pPr>
              <w:pStyle w:val="Compact"/>
              <w:jc w:val="left"/>
            </w:pPr>
            <w:r>
              <w:t xml:space="preserve">32.5 ± 2.9</w:t>
            </w:r>
          </w:p>
        </w:tc>
        <w:tc>
          <w:tcPr/>
          <w:p>
            <w:pPr>
              <w:pStyle w:val="Compact"/>
              <w:jc w:val="left"/>
            </w:pPr>
            <w:r>
              <w:t xml:space="preserve">29.1 ± 3.2</w:t>
            </w:r>
          </w:p>
        </w:tc>
        <w:tc>
          <w:tcPr/>
          <w:p>
            <w:pPr>
              <w:pStyle w:val="Compact"/>
              <w:jc w:val="left"/>
            </w:pPr>
            <w:r>
              <w:t xml:space="preserve">596 ± 268</w:t>
            </w:r>
          </w:p>
        </w:tc>
        <w:tc>
          <w:tcPr/>
          <w:p>
            <w:pPr>
              <w:pStyle w:val="Compact"/>
              <w:jc w:val="left"/>
            </w:pPr>
            <w:r>
              <w:t xml:space="preserve">571 ± 248</w:t>
            </w:r>
          </w:p>
        </w:tc>
        <w:tc>
          <w:tcPr/>
          <w:p>
            <w:pPr>
              <w:pStyle w:val="Compact"/>
              <w:jc w:val="left"/>
            </w:pPr>
            <w:r>
              <w:t xml:space="preserve">379 ± 56</w:t>
            </w:r>
          </w:p>
        </w:tc>
      </w:tr>
      <w:tr>
        <w:tc>
          <w:tcPr/>
          <w:p>
            <w:pPr>
              <w:pStyle w:val="Compact"/>
              <w:jc w:val="left"/>
            </w:pPr>
            <w:r>
              <w:t xml:space="preserve">MMD-only gate (−mmd)</w:t>
            </w:r>
          </w:p>
        </w:tc>
        <w:tc>
          <w:tcPr/>
          <w:p>
            <w:pPr>
              <w:pStyle w:val="Compact"/>
              <w:jc w:val="left"/>
            </w:pPr>
            <w:r>
              <w:t xml:space="preserve">12.6 ± 3.3</w:t>
            </w:r>
          </w:p>
        </w:tc>
        <w:tc>
          <w:tcPr/>
          <w:p>
            <w:pPr>
              <w:pStyle w:val="Compact"/>
              <w:jc w:val="left"/>
            </w:pPr>
            <w:r>
              <w:t xml:space="preserve">42.7 ± 4.9</w:t>
            </w:r>
          </w:p>
        </w:tc>
        <w:tc>
          <w:tcPr/>
          <w:p>
            <w:pPr>
              <w:pStyle w:val="Compact"/>
              <w:jc w:val="left"/>
            </w:pPr>
            <w:r>
              <w:t xml:space="preserve">14.7 ± 5.0</w:t>
            </w:r>
          </w:p>
        </w:tc>
        <w:tc>
          <w:tcPr/>
          <w:p>
            <w:pPr>
              <w:pStyle w:val="Compact"/>
              <w:jc w:val="left"/>
            </w:pPr>
            <w:r>
              <w:t xml:space="preserve">66.0 ± 4.1</w:t>
            </w:r>
          </w:p>
        </w:tc>
        <w:tc>
          <w:tcPr/>
          <w:p>
            <w:pPr>
              <w:pStyle w:val="Compact"/>
              <w:jc w:val="left"/>
            </w:pPr>
            <w:r>
              <w:t xml:space="preserve">88.0 ± 9.5</w:t>
            </w:r>
          </w:p>
        </w:tc>
        <w:tc>
          <w:tcPr/>
          <w:p>
            <w:pPr>
              <w:pStyle w:val="Compact"/>
              <w:jc w:val="left"/>
            </w:pPr>
            <w:r>
              <w:t xml:space="preserve">30.8 ± 7.3</w:t>
            </w:r>
          </w:p>
        </w:tc>
        <w:tc>
          <w:tcPr/>
          <w:p>
            <w:pPr>
              <w:pStyle w:val="Compact"/>
              <w:jc w:val="left"/>
            </w:pPr>
            <w:r>
              <w:t xml:space="preserve">2128 ± 493</w:t>
            </w:r>
          </w:p>
        </w:tc>
        <w:tc>
          <w:tcPr/>
          <w:p>
            <w:pPr>
              <w:pStyle w:val="Compact"/>
              <w:jc w:val="left"/>
            </w:pPr>
            <w:r>
              <w:t xml:space="preserve">1827 ± 1082</w:t>
            </w:r>
          </w:p>
        </w:tc>
        <w:tc>
          <w:tcPr/>
          <w:p>
            <w:pPr>
              <w:pStyle w:val="Compact"/>
              <w:jc w:val="left"/>
            </w:pPr>
            <w:r>
              <w:t xml:space="preserve">412 ± 86</w:t>
            </w:r>
          </w:p>
        </w:tc>
      </w:tr>
      <w:tr>
        <w:tc>
          <w:tcPr/>
          <w:p>
            <w:pPr>
              <w:pStyle w:val="Compact"/>
              <w:jc w:val="left"/>
            </w:pPr>
            <w:r>
              <w:t xml:space="preserve">no replay (noM3)</w:t>
            </w:r>
          </w:p>
        </w:tc>
        <w:tc>
          <w:tcPr/>
          <w:p>
            <w:pPr>
              <w:pStyle w:val="Compact"/>
              <w:jc w:val="left"/>
            </w:pPr>
            <w:r>
              <w:t xml:space="preserve">22.0 ± 3.2</w:t>
            </w:r>
          </w:p>
        </w:tc>
        <w:tc>
          <w:tcPr/>
          <w:p>
            <w:pPr>
              <w:pStyle w:val="Compact"/>
              <w:jc w:val="left"/>
            </w:pPr>
            <w:r>
              <w:t xml:space="preserve">38.7 ± 14.8</w:t>
            </w:r>
          </w:p>
        </w:tc>
        <w:tc>
          <w:tcPr/>
          <w:p>
            <w:pPr>
              <w:pStyle w:val="Compact"/>
              <w:jc w:val="left"/>
            </w:pPr>
            <w:r>
              <w:t xml:space="preserve">21.0 ± 2.5</w:t>
            </w:r>
          </w:p>
        </w:tc>
        <w:tc>
          <w:tcPr/>
          <w:p>
            <w:pPr>
              <w:pStyle w:val="Compact"/>
              <w:jc w:val="left"/>
            </w:pPr>
            <w:r>
              <w:t xml:space="preserve">24.0 ± 1.5</w:t>
            </w:r>
          </w:p>
        </w:tc>
        <w:tc>
          <w:tcPr/>
          <w:p>
            <w:pPr>
              <w:pStyle w:val="Compact"/>
              <w:jc w:val="left"/>
            </w:pPr>
            <w:r>
              <w:t xml:space="preserve">27.4 ± 9.6</w:t>
            </w:r>
          </w:p>
        </w:tc>
        <w:tc>
          <w:tcPr/>
          <w:p>
            <w:pPr>
              <w:pStyle w:val="Compact"/>
              <w:jc w:val="left"/>
            </w:pPr>
            <w:r>
              <w:t xml:space="preserve">27.6 ± 5.1</w:t>
            </w:r>
          </w:p>
        </w:tc>
        <w:tc>
          <w:tcPr/>
          <w:p>
            <w:pPr>
              <w:pStyle w:val="Compact"/>
              <w:jc w:val="left"/>
            </w:pPr>
            <w:r>
              <w:t xml:space="preserve">384 ± 120</w:t>
            </w:r>
          </w:p>
        </w:tc>
        <w:tc>
          <w:tcPr/>
          <w:p>
            <w:pPr>
              <w:pStyle w:val="Compact"/>
              <w:jc w:val="left"/>
            </w:pPr>
            <w:r>
              <w:t xml:space="preserve">498 ± 588</w:t>
            </w:r>
          </w:p>
        </w:tc>
        <w:tc>
          <w:tcPr/>
          <w:p>
            <w:pPr>
              <w:pStyle w:val="Compact"/>
              <w:jc w:val="left"/>
            </w:pPr>
            <w:r>
              <w:t xml:space="preserve">305 ± 62</w:t>
            </w:r>
          </w:p>
        </w:tc>
      </w:tr>
      <w:tr>
        <w:tc>
          <w:tcPr/>
          <w:p>
            <w:pPr>
              <w:pStyle w:val="Compact"/>
              <w:jc w:val="left"/>
            </w:pPr>
            <w:r>
              <w:t xml:space="preserve">no τ recalibration (noM4)</w:t>
            </w:r>
          </w:p>
        </w:tc>
        <w:tc>
          <w:tcPr/>
          <w:p>
            <w:pPr>
              <w:pStyle w:val="Compact"/>
              <w:jc w:val="left"/>
            </w:pPr>
            <w:r>
              <w:t xml:space="preserve">13.6 ± 4.6</w:t>
            </w:r>
          </w:p>
        </w:tc>
        <w:tc>
          <w:tcPr/>
          <w:p>
            <w:pPr>
              <w:pStyle w:val="Compact"/>
              <w:jc w:val="left"/>
            </w:pPr>
            <w:r>
              <w:rPr>
                <w:bCs/>
                <w:b/>
              </w:rPr>
              <w:t xml:space="preserve">46.5 ± 1.8</w:t>
            </w:r>
          </w:p>
        </w:tc>
        <w:tc>
          <w:tcPr/>
          <w:p>
            <w:pPr>
              <w:pStyle w:val="Compact"/>
              <w:jc w:val="left"/>
            </w:pPr>
            <w:r>
              <w:t xml:space="preserve">28.3 ± 2.8</w:t>
            </w:r>
          </w:p>
        </w:tc>
        <w:tc>
          <w:tcPr/>
          <w:p>
            <w:pPr>
              <w:pStyle w:val="Compact"/>
              <w:jc w:val="left"/>
            </w:pPr>
            <w:r>
              <w:t xml:space="preserve">67.3 ± 9.0</w:t>
            </w:r>
          </w:p>
        </w:tc>
        <w:tc>
          <w:tcPr/>
          <w:p>
            <w:pPr>
              <w:pStyle w:val="Compact"/>
              <w:jc w:val="left"/>
            </w:pPr>
            <w:r>
              <w:t xml:space="preserve">98.2 ± 1.5</w:t>
            </w:r>
          </w:p>
        </w:tc>
        <w:tc>
          <w:tcPr/>
          <w:p>
            <w:pPr>
              <w:pStyle w:val="Compact"/>
              <w:jc w:val="left"/>
            </w:pPr>
            <w:r>
              <w:t xml:space="preserve">19.5 ± 0.7</w:t>
            </w:r>
          </w:p>
        </w:tc>
        <w:tc>
          <w:tcPr/>
          <w:p>
            <w:pPr>
              <w:pStyle w:val="Compact"/>
              <w:jc w:val="left"/>
            </w:pPr>
            <w:r>
              <w:t xml:space="preserve">1714 ± 711</w:t>
            </w:r>
          </w:p>
        </w:tc>
        <w:tc>
          <w:tcPr/>
          <w:p>
            <w:pPr>
              <w:pStyle w:val="Compact"/>
              <w:jc w:val="left"/>
            </w:pPr>
            <w:r>
              <w:t xml:space="preserve">2970 ± 227</w:t>
            </w:r>
          </w:p>
        </w:tc>
        <w:tc>
          <w:tcPr/>
          <w:p>
            <w:pPr>
              <w:pStyle w:val="Compact"/>
              <w:jc w:val="left"/>
            </w:pPr>
            <w:r>
              <w:t xml:space="preserve">537 ± 20</w:t>
            </w:r>
          </w:p>
        </w:tc>
      </w:tr>
      <w:tr>
        <w:tc>
          <w:tcPr/>
          <w:p>
            <w:pPr>
              <w:pStyle w:val="Compact"/>
              <w:jc w:val="left"/>
            </w:pPr>
            <w:r>
              <w:t xml:space="preserve">no acceptance test (noAcc)</w:t>
            </w:r>
          </w:p>
        </w:tc>
        <w:tc>
          <w:tcPr/>
          <w:p>
            <w:pPr>
              <w:pStyle w:val="Compact"/>
              <w:jc w:val="left"/>
            </w:pPr>
            <w:r>
              <w:t xml:space="preserve">23.0 ± 2.7</w:t>
            </w:r>
          </w:p>
        </w:tc>
        <w:tc>
          <w:tcPr/>
          <w:p>
            <w:pPr>
              <w:pStyle w:val="Compact"/>
              <w:jc w:val="left"/>
            </w:pPr>
            <w:r>
              <w:t xml:space="preserve">28.7 ± 4.7</w:t>
            </w:r>
          </w:p>
        </w:tc>
        <w:tc>
          <w:tcPr/>
          <w:p>
            <w:pPr>
              <w:pStyle w:val="Compact"/>
              <w:jc w:val="left"/>
            </w:pPr>
            <w:r>
              <w:t xml:space="preserve">20.0 ± 3.0</w:t>
            </w:r>
          </w:p>
        </w:tc>
        <w:tc>
          <w:tcPr/>
          <w:p>
            <w:pPr>
              <w:pStyle w:val="Compact"/>
              <w:jc w:val="left"/>
            </w:pPr>
            <w:r>
              <w:rPr>
                <w:bCs/>
                <w:b/>
              </w:rPr>
              <w:t xml:space="preserve">15.3 ± 2.2</w:t>
            </w:r>
          </w:p>
        </w:tc>
        <w:tc>
          <w:tcPr/>
          <w:p>
            <w:pPr>
              <w:pStyle w:val="Compact"/>
              <w:jc w:val="left"/>
            </w:pPr>
            <w:r>
              <w:t xml:space="preserve">22.3 ± 9.7</w:t>
            </w:r>
          </w:p>
        </w:tc>
        <w:tc>
          <w:tcPr/>
          <w:p>
            <w:pPr>
              <w:pStyle w:val="Compact"/>
              <w:jc w:val="left"/>
            </w:pPr>
            <w:r>
              <w:t xml:space="preserve">27.6 ± 4.3</w:t>
            </w:r>
          </w:p>
        </w:tc>
        <w:tc>
          <w:tcPr/>
          <w:p>
            <w:pPr>
              <w:pStyle w:val="Compact"/>
              <w:jc w:val="left"/>
            </w:pPr>
            <w:r>
              <w:t xml:space="preserve">277 ± 41</w:t>
            </w:r>
          </w:p>
        </w:tc>
        <w:tc>
          <w:tcPr/>
          <w:p>
            <w:pPr>
              <w:pStyle w:val="Compact"/>
              <w:jc w:val="left"/>
            </w:pPr>
            <w:r>
              <w:rPr>
                <w:bCs/>
                <w:b/>
              </w:rPr>
              <w:t xml:space="preserve">204 ± 81</w:t>
            </w:r>
          </w:p>
        </w:tc>
        <w:tc>
          <w:tcPr/>
          <w:p>
            <w:pPr>
              <w:pStyle w:val="Compact"/>
              <w:jc w:val="left"/>
            </w:pPr>
            <w:r>
              <w:t xml:space="preserve">295 ± 52</w:t>
            </w:r>
          </w:p>
        </w:tc>
      </w:tr>
      <w:tr>
        <w:tc>
          <w:tcPr/>
          <w:p>
            <w:pPr>
              <w:pStyle w:val="Compact"/>
              <w:jc w:val="left"/>
            </w:pPr>
            <w:r>
              <w:t xml:space="preserve">FOMAML init (fo)</w:t>
            </w:r>
          </w:p>
        </w:tc>
        <w:tc>
          <w:tcPr/>
          <w:p>
            <w:pPr>
              <w:pStyle w:val="Compact"/>
              <w:jc w:val="left"/>
            </w:pPr>
            <w:r>
              <w:rPr>
                <w:bCs/>
                <w:b/>
              </w:rPr>
              <w:t xml:space="preserve">24.3 ± 4.5</w:t>
            </w:r>
          </w:p>
        </w:tc>
        <w:tc>
          <w:tcPr/>
          <w:p>
            <w:pPr>
              <w:pStyle w:val="Compact"/>
              <w:jc w:val="left"/>
            </w:pPr>
            <w:r>
              <w:t xml:space="preserve">26.6 ± 8.1</w:t>
            </w:r>
          </w:p>
        </w:tc>
        <w:tc>
          <w:tcPr/>
          <w:p>
            <w:pPr>
              <w:pStyle w:val="Compact"/>
              <w:jc w:val="left"/>
            </w:pPr>
            <w:r>
              <w:t xml:space="preserve">27.5 ± 3.4</w:t>
            </w:r>
          </w:p>
        </w:tc>
        <w:tc>
          <w:tcPr/>
          <w:p>
            <w:pPr>
              <w:pStyle w:val="Compact"/>
              <w:jc w:val="left"/>
            </w:pPr>
            <w:r>
              <w:t xml:space="preserve">16.2 ± 4.1</w:t>
            </w:r>
          </w:p>
        </w:tc>
        <w:tc>
          <w:tcPr/>
          <w:p>
            <w:pPr>
              <w:pStyle w:val="Compact"/>
              <w:jc w:val="left"/>
            </w:pPr>
            <w:r>
              <w:rPr>
                <w:bCs/>
                <w:b/>
              </w:rPr>
              <w:t xml:space="preserve">18.2 ± 8.1</w:t>
            </w:r>
          </w:p>
        </w:tc>
        <w:tc>
          <w:tcPr/>
          <w:p>
            <w:pPr>
              <w:pStyle w:val="Compact"/>
              <w:jc w:val="left"/>
            </w:pPr>
            <w:r>
              <w:t xml:space="preserve">18.0 ± 3.2</w:t>
            </w:r>
          </w:p>
        </w:tc>
        <w:tc>
          <w:tcPr/>
          <w:p>
            <w:pPr>
              <w:pStyle w:val="Compact"/>
              <w:jc w:val="left"/>
            </w:pPr>
            <w:r>
              <w:rPr>
                <w:bCs/>
                <w:b/>
              </w:rPr>
              <w:t xml:space="preserve">269 ± 64</w:t>
            </w:r>
          </w:p>
        </w:tc>
        <w:tc>
          <w:tcPr/>
          <w:p>
            <w:pPr>
              <w:pStyle w:val="Compact"/>
              <w:jc w:val="left"/>
            </w:pPr>
            <w:r>
              <w:t xml:space="preserve">470 ± 540</w:t>
            </w:r>
          </w:p>
        </w:tc>
        <w:tc>
          <w:tcPr/>
          <w:p>
            <w:pPr>
              <w:pStyle w:val="Compact"/>
              <w:jc w:val="left"/>
            </w:pPr>
            <w:r>
              <w:rPr>
                <w:bCs/>
                <w:b/>
              </w:rPr>
              <w:t xml:space="preserve">230 ± 68</w:t>
            </w:r>
          </w:p>
        </w:tc>
      </w:tr>
      <w:tr>
        <w:tc>
          <w:tcPr/>
          <w:p>
            <w:pPr>
              <w:pStyle w:val="Compact"/>
              <w:jc w:val="left"/>
            </w:pPr>
            <w:r>
              <w:t xml:space="preserve">Meta-SGD init (msgd)</w:t>
            </w:r>
          </w:p>
        </w:tc>
        <w:tc>
          <w:tcPr/>
          <w:p>
            <w:pPr>
              <w:pStyle w:val="Compact"/>
              <w:jc w:val="left"/>
            </w:pPr>
            <w:r>
              <w:t xml:space="preserve">22.6 ± 3.2</w:t>
            </w:r>
          </w:p>
        </w:tc>
        <w:tc>
          <w:tcPr/>
          <w:p>
            <w:pPr>
              <w:pStyle w:val="Compact"/>
              <w:jc w:val="left"/>
            </w:pPr>
            <w:r>
              <w:t xml:space="preserve">33.8 ± 9.6</w:t>
            </w:r>
          </w:p>
        </w:tc>
        <w:tc>
          <w:tcPr/>
          <w:p>
            <w:pPr>
              <w:pStyle w:val="Compact"/>
              <w:jc w:val="left"/>
            </w:pPr>
            <w:r>
              <w:t xml:space="preserve">20.3 ± 2.3</w:t>
            </w:r>
          </w:p>
        </w:tc>
        <w:tc>
          <w:tcPr/>
          <w:p>
            <w:pPr>
              <w:pStyle w:val="Compact"/>
              <w:jc w:val="left"/>
            </w:pPr>
            <w:r>
              <w:t xml:space="preserve">21.7 ± 3.2</w:t>
            </w:r>
          </w:p>
        </w:tc>
        <w:tc>
          <w:tcPr/>
          <w:p>
            <w:pPr>
              <w:pStyle w:val="Compact"/>
              <w:jc w:val="left"/>
            </w:pPr>
            <w:r>
              <w:t xml:space="preserve">35.3 ± 16.0</w:t>
            </w:r>
          </w:p>
        </w:tc>
        <w:tc>
          <w:tcPr/>
          <w:p>
            <w:pPr>
              <w:pStyle w:val="Compact"/>
              <w:jc w:val="left"/>
            </w:pPr>
            <w:r>
              <w:t xml:space="preserve">26.2 ± 4.3</w:t>
            </w:r>
          </w:p>
        </w:tc>
        <w:tc>
          <w:tcPr/>
          <w:p>
            <w:pPr>
              <w:pStyle w:val="Compact"/>
              <w:jc w:val="left"/>
            </w:pPr>
            <w:r>
              <w:t xml:space="preserve">472 ± 155</w:t>
            </w:r>
          </w:p>
        </w:tc>
        <w:tc>
          <w:tcPr/>
          <w:p>
            <w:pPr>
              <w:pStyle w:val="Compact"/>
              <w:jc w:val="left"/>
            </w:pPr>
            <w:r>
              <w:t xml:space="preserve">781 ± 751</w:t>
            </w:r>
          </w:p>
        </w:tc>
        <w:tc>
          <w:tcPr/>
          <w:p>
            <w:pPr>
              <w:pStyle w:val="Compact"/>
              <w:jc w:val="left"/>
            </w:pPr>
            <w:r>
              <w:t xml:space="preserve">311 ± 57</w:t>
            </w:r>
          </w:p>
        </w:tc>
      </w:tr>
    </w:tbl>
    <w:p>
      <w:pPr>
        <w:pStyle w:val="BodyText"/>
      </w:pPr>
      <w:r>
        <w:t xml:space="preserve">The rest of the ablations are within seed noise or go the wrong way on one dataset, and we report them as such. Replay (noM3) changes F1 by less than a point; its one visible effect is a lower false-alarm rate on SMD (18 % with replay, 24 % without), which is consistent with a refreshed initialisation adapting more cleanly to a regime that resembles an earlier one, but the effect is small. The episode sampler makes no difference on SMD or PSM, and on HAI the regime-free random sampler is better (F1 29.5 versus 21.2). We read this as a sign that HAI’s training campaigns are stationary enough that cutting them into 400-step regimes only reduces episode diversity; the ADWIN-bounded sampler is not harmful, but we cannot claim that it helps. The acceptance test is the component whose value depends on the dataset: on SMD removing it costs nothing (F1 23.0 versus 22.5, false-alarm rate 15 % versus 18 %), on PSM, where 28 % of steps are anomalous and the gate fires eight to fifteen times per run, removing it drops F1 from 42.1 to 28.7 because adaptations on anomalous windows are kept. The initialisation variants are a wash: FOMAML is better than MAML++ on SMD and HAI and much worse on PSM, Meta-SGD is close to MAML++ everywhere. Given the flat shot curves in Section 7.1 this is not surprising. For a VAE of this size the initialisation is not where the problem is.</w:t>
      </w:r>
    </w:p>
    <w:p>
      <w:pPr>
        <w:pStyle w:val="CaptionedFigure"/>
      </w:pPr>
      <w:r>
        <w:drawing>
          <wp:inline>
            <wp:extent cx="5334000" cy="2607977"/>
            <wp:effectExtent b="0" l="0" r="0" t="0"/>
            <wp:docPr descr="Figure 8. Ablations under drift, pooled over SMD, PSM and HAI. The full method is in red." title="" id="71" name="Picture"/>
            <a:graphic>
              <a:graphicData uri="http://schemas.openxmlformats.org/drawingml/2006/picture">
                <pic:pic>
                  <pic:nvPicPr>
                    <pic:cNvPr descr="../figures/fig_ablation.png" id="72" name="Picture"/>
                    <pic:cNvPicPr>
                      <a:picLocks noChangeArrowheads="1" noChangeAspect="1"/>
                    </pic:cNvPicPr>
                  </pic:nvPicPr>
                  <pic:blipFill>
                    <a:blip r:embed="rId70"/>
                    <a:stretch>
                      <a:fillRect/>
                    </a:stretch>
                  </pic:blipFill>
                  <pic:spPr bwMode="auto">
                    <a:xfrm>
                      <a:off x="0" y="0"/>
                      <a:ext cx="5334000" cy="2607977"/>
                    </a:xfrm>
                    <a:prstGeom prst="rect">
                      <a:avLst/>
                    </a:prstGeom>
                    <a:noFill/>
                    <a:ln w="9525">
                      <a:noFill/>
                      <a:headEnd/>
                      <a:tailEnd/>
                    </a:ln>
                  </pic:spPr>
                </pic:pic>
              </a:graphicData>
            </a:graphic>
          </wp:inline>
        </w:drawing>
      </w:r>
    </w:p>
    <w:p>
      <w:pPr>
        <w:pStyle w:val="ImageCaption"/>
      </w:pPr>
      <w:r>
        <w:t xml:space="preserve">Figure 8. Ablations under drift, pooled over SMD, PSM and HAI. The full method is in red.</w:t>
      </w:r>
    </w:p>
    <w:bookmarkEnd w:id="73"/>
    <w:bookmarkStart w:id="74" w:name="gate-behaviour"/>
    <w:p>
      <w:pPr>
        <w:pStyle w:val="Heading2"/>
      </w:pPr>
      <w:r>
        <w:t xml:space="preserve">7.4 Gate behaviour</w:t>
      </w:r>
    </w:p>
    <w:p>
      <w:pPr>
        <w:pStyle w:val="FirstParagraph"/>
      </w:pPr>
      <w:r>
        <w:t xml:space="preserve">Under drift DAMAD confirms 3.7 changes per run on average and rejects 1.0 of them in the shadow period, so about a quarter of the adaptations it tries are undone. On the original streams the rate is 0.5 confirmations per run on HAI, 0.7 on SKAB, 3.0 on SMD and 8.4 on PSM. The SMD and PSM figures are not false positives in any useful sense: those streams carry their own regime changes (Figure 5 shows two in the first 8,000 windows of an SMD machine before any injection), and the comparison with the static detector’s 18 % and 38 % false-alarm rates on the same streams says that adapting to them was the right call. Each confirmed change costs about 0.9 s of meta-update time on one CPU core; the adaptation itself costs 12 ms.</w:t>
      </w:r>
    </w:p>
    <w:bookmarkEnd w:id="74"/>
    <w:bookmarkStart w:id="75" w:name="cost-1"/>
    <w:p>
      <w:pPr>
        <w:pStyle w:val="Heading2"/>
      </w:pPr>
      <w:r>
        <w:t xml:space="preserve">7.5 Cost</w:t>
      </w:r>
    </w:p>
    <w:p>
      <w:pPr>
        <w:pStyle w:val="FirstParagraph"/>
      </w:pPr>
      <w:r>
        <w:t xml:space="preserve">Every VAE-based method scores a window in about 0.24 ms on one CPU core (Table 14), Isolation Forest in 0.02 ms. DAMAD’s steady-state cost is the same as the static VAE’s; the shadow period adds a second forward pass for 600 windows after each adaptation. The regime memory holds 107 kB on average. The incrementally updated VAE is the expensive one at 18 s of optimiser time per run, because it takes a gradient step every five windows for the whole stream. All models have 182 k parameters.</w:t>
      </w:r>
    </w:p>
    <w:p>
      <w:pPr>
        <w:pStyle w:val="BodyText"/>
      </w:pPr>
      <w:r>
        <w:t xml:space="preserve">Table 14.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0.018</w:t>
            </w:r>
          </w:p>
        </w:tc>
        <w:tc>
          <w:tcPr/>
          <w:p>
            <w:pPr>
              <w:pStyle w:val="Compact"/>
              <w:jc w:val="left"/>
            </w:pPr>
            <w:r>
              <w:t xml:space="preserve">0.25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0.238</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0.239</w:t>
            </w:r>
          </w:p>
        </w:tc>
        <w:tc>
          <w:tcPr/>
          <w:p>
            <w:pPr>
              <w:pStyle w:val="Compact"/>
              <w:jc w:val="left"/>
            </w:pPr>
            <w:r>
              <w:t xml:space="preserve">0.12</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0.276</w:t>
            </w:r>
          </w:p>
        </w:tc>
        <w:tc>
          <w:tcPr/>
          <w:p>
            <w:pPr>
              <w:pStyle w:val="Compact"/>
              <w:jc w:val="left"/>
            </w:pPr>
            <w:r>
              <w:t xml:space="preserve">18.2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0.246</w:t>
            </w:r>
          </w:p>
        </w:tc>
        <w:tc>
          <w:tcPr/>
          <w:p>
            <w:pPr>
              <w:pStyle w:val="Compact"/>
              <w:jc w:val="left"/>
            </w:pPr>
            <w:r>
              <w:t xml:space="preserve">0.53</w:t>
            </w:r>
          </w:p>
        </w:tc>
        <w:tc>
          <w:tcPr/>
          <w:p>
            <w:pPr>
              <w:pStyle w:val="Compact"/>
              <w:jc w:val="left"/>
            </w:pPr>
            <w:r>
              <w:t xml:space="preserve">0</w:t>
            </w:r>
          </w:p>
        </w:tc>
        <w:tc>
          <w:tcPr/>
          <w:p>
            <w:pPr>
              <w:pStyle w:val="Compact"/>
              <w:jc w:val="left"/>
            </w:pPr>
            <w:r>
              <w:t xml:space="preserve">4.5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0.235</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0.237</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0.247</w:t>
            </w:r>
          </w:p>
        </w:tc>
        <w:tc>
          <w:tcPr/>
          <w:p>
            <w:pPr>
              <w:pStyle w:val="Compact"/>
              <w:jc w:val="left"/>
            </w:pPr>
            <w:r>
              <w:t xml:space="preserve">0.05</w:t>
            </w:r>
          </w:p>
        </w:tc>
        <w:tc>
          <w:tcPr/>
          <w:p>
            <w:pPr>
              <w:pStyle w:val="Compact"/>
              <w:jc w:val="left"/>
            </w:pPr>
            <w:r>
              <w:t xml:space="preserve">0</w:t>
            </w:r>
          </w:p>
        </w:tc>
        <w:tc>
          <w:tcPr/>
          <w:p>
            <w:pPr>
              <w:pStyle w:val="Compact"/>
              <w:jc w:val="left"/>
            </w:pPr>
            <w:r>
              <w:t xml:space="preserve">4.5</w:t>
            </w:r>
          </w:p>
        </w:tc>
        <w:tc>
          <w:tcPr/>
          <w:p>
            <w:pPr>
              <w:pStyle w:val="Compact"/>
              <w:jc w:val="left"/>
            </w:pPr>
            <w:r>
              <w:t xml:space="preserve">145</w:t>
            </w:r>
          </w:p>
        </w:tc>
      </w:tr>
      <w:tr>
        <w:tc>
          <w:tcPr/>
          <w:p>
            <w:pPr>
              <w:pStyle w:val="Compact"/>
              <w:jc w:val="left"/>
            </w:pPr>
            <w:r>
              <w:t xml:space="preserve">DAMAD</w:t>
            </w:r>
          </w:p>
        </w:tc>
        <w:tc>
          <w:tcPr/>
          <w:p>
            <w:pPr>
              <w:pStyle w:val="Compact"/>
              <w:jc w:val="left"/>
            </w:pPr>
            <w:r>
              <w:t xml:space="preserve">0.245</w:t>
            </w:r>
          </w:p>
        </w:tc>
        <w:tc>
          <w:tcPr/>
          <w:p>
            <w:pPr>
              <w:pStyle w:val="Compact"/>
              <w:jc w:val="left"/>
            </w:pPr>
            <w:r>
              <w:t xml:space="preserve">0.05</w:t>
            </w:r>
          </w:p>
        </w:tc>
        <w:tc>
          <w:tcPr/>
          <w:p>
            <w:pPr>
              <w:pStyle w:val="Compact"/>
              <w:jc w:val="left"/>
            </w:pPr>
            <w:r>
              <w:t xml:space="preserve">1.84</w:t>
            </w:r>
          </w:p>
        </w:tc>
        <w:tc>
          <w:tcPr/>
          <w:p>
            <w:pPr>
              <w:pStyle w:val="Compact"/>
              <w:jc w:val="left"/>
            </w:pPr>
            <w:r>
              <w:t xml:space="preserve">4.1</w:t>
            </w:r>
          </w:p>
        </w:tc>
        <w:tc>
          <w:tcPr/>
          <w:p>
            <w:pPr>
              <w:pStyle w:val="Compact"/>
              <w:jc w:val="left"/>
            </w:pPr>
            <w:r>
              <w:t xml:space="preserve">107</w:t>
            </w:r>
          </w:p>
        </w:tc>
      </w:tr>
    </w:tbl>
    <w:bookmarkEnd w:id="75"/>
    <w:bookmarkEnd w:id="76"/>
    <w:bookmarkStart w:id="81" w:name="discussion"/>
    <w:p>
      <w:pPr>
        <w:pStyle w:val="Heading1"/>
      </w:pPr>
      <w:r>
        <w:t xml:space="preserve">8 Discussion</w:t>
      </w:r>
    </w:p>
    <w:bookmarkStart w:id="77"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after a sudden change, and the meta-learned model adapted once (MAML-1) does the same, because a good initialisation does not help a model that is never asked to adapt again. Finding 2 was that nobody updates the meta-level online. We did, and the honest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HAI is the closest open relative of SWaT and WADI, and it is also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comes out of Section 7.1 clearly enough to state on its own. For a small reconstruction model, the meta-learned initialisation is not what limits few-shot anomaly detection on these streams. One support window gives the same F1 as ten, and a static VAE trained on pooled normal data is as good a starting point as MAML++ or Meta-SGD. The few-shot literature we reviewed measures the quality of the initialisation; the deployment problem is dominated by what happens in the hours after it.</w:t>
      </w:r>
    </w:p>
    <w:bookmarkEnd w:id="77"/>
    <w:bookmarkStart w:id="78"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but it is checkable, which a one-shot decision rule is not.</w:t>
      </w:r>
    </w:p>
    <w:bookmarkEnd w:id="78"/>
    <w:bookmarkStart w:id="79"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and about 0.5 on SKAB. Under drift on PSM every baseline sits within a few points of 0.44 with a false-alarm rate of 92–100 %, which is that strategy by another name.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w:t>
      </w:r>
      <w:r>
        <w:t xml:space="preserve"> </w:t>
      </w:r>
      <w:r>
        <w:t xml:space="preserve">Recalibrated thresholds are higher than a threshold set once on a quiet first regime, and the first alarm in an anomaly segment comes four to five windows later on average, with a lower share of segments detected. The trade is explicit in Table 12 and Section 7.2.</w:t>
      </w:r>
    </w:p>
    <w:p>
      <w:pPr>
        <w:pStyle w:val="BodyText"/>
      </w:pPr>
      <w:r>
        <w:rPr>
          <w:iCs/>
          <w:i/>
        </w:rPr>
        <w:t xml:space="preserve">Licence-gated benchmarks.</w:t>
      </w:r>
      <w:r>
        <w:t xml:space="preserve"> </w:t>
      </w:r>
      <w:r>
        <w:t xml:space="preserve">SWaT and WADI were not used because they require a licence agreement, and SMAP/MSL were not reachable from our build environment. The loaders support all four.</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9"/>
    <w:bookmarkStart w:id="80"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80"/>
    <w:bookmarkEnd w:id="81"/>
    <w:bookmarkStart w:id="82"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87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The remaining distance to a production system is in robust threshold calibration under contamination and in evaluation on real rather than injected drift, and the released code is arranged so that either can be tried by changing one configuration.</w:t>
      </w:r>
    </w:p>
    <w:bookmarkEnd w:id="82"/>
    <w:bookmarkStart w:id="83"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and PSM are public; the loaders fetch them.</w:t>
      </w:r>
    </w:p>
    <w:bookmarkEnd w:id="83"/>
    <w:bookmarkStart w:id="134" w:name="declaration"/>
    <w:p>
      <w:pPr>
        <w:pStyle w:val="Heading1"/>
      </w:pPr>
      <w:r>
        <w:t xml:space="preserve">Declaration</w:t>
      </w:r>
    </w:p>
    <w:p>
      <w:pPr>
        <w:pStyle w:val="FirstParagraph"/>
      </w:pPr>
      <w:r>
        <w:t xml:space="preserve">The authors declare no competing interests. This research received no specific grant.</w:t>
      </w:r>
    </w:p>
    <w:bookmarkStart w:id="133" w:name="refs"/>
    <w:bookmarkStart w:id="85"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4">
        <w:r>
          <w:rPr>
            <w:rStyle w:val="Hyperlink"/>
          </w:rPr>
          <w:t xml:space="preserve">10.1145/1541880.1541882</w:t>
        </w:r>
      </w:hyperlink>
      <w:r>
        <w:t xml:space="preserve">.</w:t>
      </w:r>
    </w:p>
    <w:bookmarkEnd w:id="85"/>
    <w:bookmarkStart w:id="87"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6">
        <w:r>
          <w:rPr>
            <w:rStyle w:val="Hyperlink"/>
          </w:rPr>
          <w:t xml:space="preserve">10.1145/3439950</w:t>
        </w:r>
      </w:hyperlink>
      <w:r>
        <w:t xml:space="preserve">.</w:t>
      </w:r>
    </w:p>
    <w:bookmarkEnd w:id="87"/>
    <w:bookmarkStart w:id="88"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8"/>
    <w:bookmarkStart w:id="89"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w:t>
      </w:r>
    </w:p>
    <w:bookmarkEnd w:id="89"/>
    <w:bookmarkStart w:id="90"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90"/>
    <w:bookmarkStart w:id="91"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w:t>
      </w:r>
    </w:p>
    <w:bookmarkEnd w:id="91"/>
    <w:bookmarkStart w:id="92"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2"/>
    <w:bookmarkStart w:id="93"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3"/>
    <w:bookmarkStart w:id="94"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4"/>
    <w:bookmarkStart w:id="96" w:name="ref-moon2023mavae"/>
    <w:p>
      <w:pPr>
        <w:pStyle w:val="Bibliography"/>
      </w:pPr>
      <w:r>
        <w:t xml:space="preserve">[10]</w:t>
      </w:r>
      <w:r>
        <w:t xml:space="preserve"> </w:t>
      </w:r>
      <w:r>
        <w:t xml:space="preserve">	</w:t>
      </w:r>
      <w:r>
        <w:t xml:space="preserve">J. Moon, Y. Noh, S. Jung, J. Lee, and J.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5">
        <w:r>
          <w:rPr>
            <w:rStyle w:val="Hyperlink"/>
          </w:rPr>
          <w:t xml:space="preserve">10.1016/j.jobe.2023.106099</w:t>
        </w:r>
      </w:hyperlink>
      <w:r>
        <w:t xml:space="preserve">.</w:t>
      </w:r>
    </w:p>
    <w:bookmarkEnd w:id="96"/>
    <w:bookmarkStart w:id="97" w:name="ref-feng2025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in</w:t>
      </w:r>
      <w:r>
        <w:t xml:space="preserve"> </w:t>
      </w:r>
      <w:r>
        <w:rPr>
          <w:iCs/>
          <w:i/>
        </w:rPr>
        <w:t xml:space="preserve">2025 IEEE international conference on acoustics, speech and signal processing (ICASSP)</w:t>
      </w:r>
      <w:r>
        <w:t xml:space="preserve">, 2025.</w:t>
      </w:r>
    </w:p>
    <w:bookmarkEnd w:id="97"/>
    <w:bookmarkStart w:id="98"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98"/>
    <w:bookmarkStart w:id="100"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99">
        <w:r>
          <w:rPr>
            <w:rStyle w:val="Hyperlink"/>
          </w:rPr>
          <w:t xml:space="preserve">10.3390/s23063260</w:t>
        </w:r>
      </w:hyperlink>
      <w:r>
        <w:t xml:space="preserve">.</w:t>
      </w:r>
    </w:p>
    <w:bookmarkEnd w:id="100"/>
    <w:bookmarkStart w:id="102"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1">
        <w:r>
          <w:rPr>
            <w:rStyle w:val="Hyperlink"/>
          </w:rPr>
          <w:t xml:space="preserve">10.1109/JIOT.2022.3167005</w:t>
        </w:r>
      </w:hyperlink>
      <w:r>
        <w:t xml:space="preserve">.</w:t>
      </w:r>
    </w:p>
    <w:bookmarkEnd w:id="102"/>
    <w:bookmarkStart w:id="103"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3"/>
    <w:bookmarkStart w:id="104"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4"/>
    <w:bookmarkStart w:id="105"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5"/>
    <w:bookmarkStart w:id="106" w:name="ref-bifet2007adwin"/>
    <w:p>
      <w:pPr>
        <w:pStyle w:val="Bibliography"/>
      </w:pPr>
      <w:r>
        <w:t xml:space="preserve">[18]</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w:t>
      </w:r>
    </w:p>
    <w:bookmarkEnd w:id="106"/>
    <w:bookmarkStart w:id="107" w:name="ref-gretton2012mmd"/>
    <w:p>
      <w:pPr>
        <w:pStyle w:val="Bibliography"/>
      </w:pPr>
      <w:r>
        <w:t xml:space="preserve">[19]</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07"/>
    <w:bookmarkStart w:id="108" w:name="ref-hinder2024a"/>
    <w:p>
      <w:pPr>
        <w:pStyle w:val="Bibliography"/>
      </w:pPr>
      <w:r>
        <w:t xml:space="preserve">[20]</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w:t>
      </w:r>
    </w:p>
    <w:bookmarkEnd w:id="108"/>
    <w:bookmarkStart w:id="109" w:name="ref-hinder2024b"/>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Adapting to concept drift,”</w:t>
      </w:r>
      <w:r>
        <w:t xml:space="preserve"> </w:t>
      </w:r>
      <w:r>
        <w:rPr>
          <w:iCs/>
          <w:i/>
        </w:rPr>
        <w:t xml:space="preserve">Frontiers in Artificial Intelligence</w:t>
      </w:r>
      <w:r>
        <w:t xml:space="preserve">, vol. 7, p. 1338265, 2024.</w:t>
      </w:r>
    </w:p>
    <w:bookmarkEnd w:id="109"/>
    <w:bookmarkStart w:id="110" w:name="ref-kirkpatrick2017ewc"/>
    <w:p>
      <w:pPr>
        <w:pStyle w:val="Bibliography"/>
      </w:pPr>
      <w:r>
        <w:t xml:space="preserve">[22]</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0"/>
    <w:bookmarkStart w:id="111" w:name="ref-rolnick2019replay"/>
    <w:p>
      <w:pPr>
        <w:pStyle w:val="Bibliography"/>
      </w:pPr>
      <w:r>
        <w:t xml:space="preserve">[23]</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1"/>
    <w:bookmarkStart w:id="112" w:name="ref-wang2024continual"/>
    <w:p>
      <w:pPr>
        <w:pStyle w:val="Bibliography"/>
      </w:pPr>
      <w:r>
        <w:t xml:space="preserve">[24]</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2"/>
    <w:bookmarkStart w:id="113" w:name="ref-page2021prisma"/>
    <w:p>
      <w:pPr>
        <w:pStyle w:val="Bibliography"/>
      </w:pPr>
      <w:r>
        <w:t xml:space="preserve">[25]</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3"/>
    <w:bookmarkStart w:id="115" w:name="ref-belay2023iot"/>
    <w:p>
      <w:pPr>
        <w:pStyle w:val="Bibliography"/>
      </w:pPr>
      <w:r>
        <w:t xml:space="preserve">[26]</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14">
        <w:r>
          <w:rPr>
            <w:rStyle w:val="Hyperlink"/>
          </w:rPr>
          <w:t xml:space="preserve">10.3390/s23052844</w:t>
        </w:r>
      </w:hyperlink>
      <w:r>
        <w:t xml:space="preserve">.</w:t>
      </w:r>
    </w:p>
    <w:bookmarkEnd w:id="115"/>
    <w:bookmarkStart w:id="116" w:name="ref-goh2016swat"/>
    <w:p>
      <w:pPr>
        <w:pStyle w:val="Bibliography"/>
      </w:pPr>
      <w:r>
        <w:t xml:space="preserve">[27]</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16"/>
    <w:bookmarkStart w:id="117" w:name="ref-ahmed2017wadi"/>
    <w:p>
      <w:pPr>
        <w:pStyle w:val="Bibliography"/>
      </w:pPr>
      <w:r>
        <w:t xml:space="preserve">[28]</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17"/>
    <w:bookmarkStart w:id="118" w:name="ref-shin2021hai"/>
    <w:p>
      <w:pPr>
        <w:pStyle w:val="Bibliography"/>
      </w:pPr>
      <w:r>
        <w:t xml:space="preserve">[29]</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18"/>
    <w:bookmarkStart w:id="119" w:name="ref-hundman2018smap"/>
    <w:p>
      <w:pPr>
        <w:pStyle w:val="Bibliography"/>
      </w:pPr>
      <w:r>
        <w:t xml:space="preserve">[30]</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w:t>
      </w:r>
    </w:p>
    <w:bookmarkEnd w:id="119"/>
    <w:bookmarkStart w:id="120" w:name="ref-zhang2023prn"/>
    <w:p>
      <w:pPr>
        <w:pStyle w:val="Bibliography"/>
      </w:pPr>
      <w:r>
        <w:t xml:space="preserve">[31]</w:t>
      </w:r>
      <w:r>
        <w:t xml:space="preserve"> </w:t>
      </w:r>
      <w:r>
        <w:t xml:space="preserve">	</w:t>
      </w:r>
      <w:r>
        <w:t xml:space="preserve">H. Zhang, Z. Wu, Z. Wang, Z. Chen, and Y.-G. Jiang,</w:t>
      </w:r>
      <w:r>
        <w:t xml:space="preserve"> </w:t>
      </w:r>
      <w:r>
        <w:t xml:space="preserve">“Prototypical residual networks for anomaly detection and localization,”</w:t>
      </w:r>
      <w:r>
        <w:t xml:space="preserve"> </w:t>
      </w:r>
      <w:r>
        <w:t xml:space="preserve">in</w:t>
      </w:r>
      <w:r>
        <w:t xml:space="preserve"> </w:t>
      </w:r>
      <w:r>
        <w:rPr>
          <w:iCs/>
          <w:i/>
        </w:rPr>
        <w:t xml:space="preserve">Proceedings of the IEEE/CVF conference on computer vision and pattern recognition</w:t>
      </w:r>
      <w:r>
        <w:t xml:space="preserve">, 2023, pp. 16281–16291.</w:t>
      </w:r>
    </w:p>
    <w:bookmarkEnd w:id="120"/>
    <w:bookmarkStart w:id="122" w:name="ref-wang2024fewshot"/>
    <w:p>
      <w:pPr>
        <w:pStyle w:val="Bibliography"/>
      </w:pPr>
      <w:r>
        <w:t xml:space="preserve">[32]</w:t>
      </w:r>
      <w:r>
        <w:t xml:space="preserve"> </w:t>
      </w:r>
      <w:r>
        <w:t xml:space="preserve">	</w:t>
      </w:r>
      <w:r>
        <w:t xml:space="preserve">Y. Wang, Z. Zhang, K. Zhao, P. Wang, and W. Wu,</w:t>
      </w:r>
      <w:r>
        <w:t xml:space="preserve"> </w:t>
      </w:r>
      <w:r>
        <w:t xml:space="preserve">“A few-shot learning based method for industrial internet intrusion detection,”</w:t>
      </w:r>
      <w:r>
        <w:t xml:space="preserve"> </w:t>
      </w:r>
      <w:r>
        <w:rPr>
          <w:iCs/>
          <w:i/>
        </w:rPr>
        <w:t xml:space="preserve">International Journal of Information Security</w:t>
      </w:r>
      <w:r>
        <w:t xml:space="preserve">, vol. 23, no. 5, pp. 3241–3252, 2024, doi:</w:t>
      </w:r>
      <w:r>
        <w:t xml:space="preserve"> </w:t>
      </w:r>
      <w:hyperlink r:id="rId121">
        <w:r>
          <w:rPr>
            <w:rStyle w:val="Hyperlink"/>
          </w:rPr>
          <w:t xml:space="preserve">10.1007/s10207-024-00889-x</w:t>
        </w:r>
      </w:hyperlink>
      <w:r>
        <w:t xml:space="preserve">.</w:t>
      </w:r>
    </w:p>
    <w:bookmarkEnd w:id="122"/>
    <w:bookmarkStart w:id="123" w:name="ref-kim2022rigorous"/>
    <w:p>
      <w:pPr>
        <w:pStyle w:val="Bibliography"/>
      </w:pPr>
      <w:r>
        <w:t xml:space="preserve">[33]</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w:t>
      </w:r>
    </w:p>
    <w:bookmarkEnd w:id="123"/>
    <w:bookmarkStart w:id="124" w:name="ref-garg2022evaluation"/>
    <w:p>
      <w:pPr>
        <w:pStyle w:val="Bibliography"/>
      </w:pPr>
      <w:r>
        <w:t xml:space="preserve">[34]</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w:t>
      </w:r>
    </w:p>
    <w:bookmarkEnd w:id="124"/>
    <w:bookmarkStart w:id="125" w:name="ref-wu2023flawed"/>
    <w:p>
      <w:pPr>
        <w:pStyle w:val="Bibliography"/>
      </w:pPr>
      <w:r>
        <w:t xml:space="preserve">[35]</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w:t>
      </w:r>
    </w:p>
    <w:bookmarkEnd w:id="125"/>
    <w:bookmarkStart w:id="126" w:name="ref-siffer2017pot"/>
    <w:p>
      <w:pPr>
        <w:pStyle w:val="Bibliography"/>
      </w:pPr>
      <w:r>
        <w:t xml:space="preserve">[36]</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26"/>
    <w:bookmarkStart w:id="127" w:name="ref-bach2008paired"/>
    <w:p>
      <w:pPr>
        <w:pStyle w:val="Bibliography"/>
      </w:pPr>
      <w:r>
        <w:t xml:space="preserve">[37]</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27"/>
    <w:bookmarkStart w:id="128" w:name="ref-su2019omnianomaly"/>
    <w:p>
      <w:pPr>
        <w:pStyle w:val="Bibliography"/>
      </w:pPr>
      <w:r>
        <w:t xml:space="preserve">[38]</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w:t>
      </w:r>
    </w:p>
    <w:bookmarkEnd w:id="128"/>
    <w:bookmarkStart w:id="131" w:name="ref-katser2020skab"/>
    <w:p>
      <w:pPr>
        <w:pStyle w:val="Bibliography"/>
      </w:pPr>
      <w:r>
        <w:t xml:space="preserve">[39]</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29">
        <w:r>
          <w:rPr>
            <w:rStyle w:val="Hyperlink"/>
          </w:rPr>
          <w:t xml:space="preserve">https://github.com/waico/SKAB</w:t>
        </w:r>
      </w:hyperlink>
      <w:r>
        <w:t xml:space="preserve">, 2020. doi:</w:t>
      </w:r>
      <w:r>
        <w:t xml:space="preserve"> </w:t>
      </w:r>
      <w:hyperlink r:id="rId130">
        <w:r>
          <w:rPr>
            <w:rStyle w:val="Hyperlink"/>
          </w:rPr>
          <w:t xml:space="preserve">10.34740/kaggle/dsv/1693952</w:t>
        </w:r>
      </w:hyperlink>
      <w:r>
        <w:t xml:space="preserve">.</w:t>
      </w:r>
    </w:p>
    <w:bookmarkEnd w:id="131"/>
    <w:bookmarkStart w:id="132" w:name="ref-abdulaal2021psm"/>
    <w:p>
      <w:pPr>
        <w:pStyle w:val="Bibliography"/>
      </w:pPr>
      <w:r>
        <w:t xml:space="preserve">[40]</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hyperlink" Id="rId121" Target="https://doi.org/10.1007/s10207-024-00889-x" TargetMode="External" /><Relationship Type="http://schemas.openxmlformats.org/officeDocument/2006/relationships/hyperlink" Id="rId95" Target="https://doi.org/10.1016/j.jobe.2023.106099" TargetMode="External" /><Relationship Type="http://schemas.openxmlformats.org/officeDocument/2006/relationships/hyperlink" Id="rId101" Target="https://doi.org/10.1109/JIOT.2022.3167005" TargetMode="External" /><Relationship Type="http://schemas.openxmlformats.org/officeDocument/2006/relationships/hyperlink" Id="rId84" Target="https://doi.org/10.1145/1541880.1541882" TargetMode="External" /><Relationship Type="http://schemas.openxmlformats.org/officeDocument/2006/relationships/hyperlink" Id="rId86" Target="https://doi.org/10.1145/3439950" TargetMode="External" /><Relationship Type="http://schemas.openxmlformats.org/officeDocument/2006/relationships/hyperlink" Id="rId114" Target="https://doi.org/10.3390/s23052844" TargetMode="External" /><Relationship Type="http://schemas.openxmlformats.org/officeDocument/2006/relationships/hyperlink" Id="rId99" Target="https://doi.org/10.3390/s23063260" TargetMode="External" /><Relationship Type="http://schemas.openxmlformats.org/officeDocument/2006/relationships/hyperlink" Id="rId130" Target="https://doi.org/10.34740/kaggle/dsv/1693952" TargetMode="External" /><Relationship Type="http://schemas.openxmlformats.org/officeDocument/2006/relationships/hyperlink" Id="rId129"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7/s10207-024-00889-x" TargetMode="External" /><Relationship Type="http://schemas.openxmlformats.org/officeDocument/2006/relationships/hyperlink" Id="rId95" Target="https://doi.org/10.1016/j.jobe.2023.106099" TargetMode="External" /><Relationship Type="http://schemas.openxmlformats.org/officeDocument/2006/relationships/hyperlink" Id="rId101" Target="https://doi.org/10.1109/JIOT.2022.3167005" TargetMode="External" /><Relationship Type="http://schemas.openxmlformats.org/officeDocument/2006/relationships/hyperlink" Id="rId84" Target="https://doi.org/10.1145/1541880.1541882" TargetMode="External" /><Relationship Type="http://schemas.openxmlformats.org/officeDocument/2006/relationships/hyperlink" Id="rId86" Target="https://doi.org/10.1145/3439950" TargetMode="External" /><Relationship Type="http://schemas.openxmlformats.org/officeDocument/2006/relationships/hyperlink" Id="rId114" Target="https://doi.org/10.3390/s23052844" TargetMode="External" /><Relationship Type="http://schemas.openxmlformats.org/officeDocument/2006/relationships/hyperlink" Id="rId99" Target="https://doi.org/10.3390/s23063260" TargetMode="External" /><Relationship Type="http://schemas.openxmlformats.org/officeDocument/2006/relationships/hyperlink" Id="rId130" Target="https://doi.org/10.34740/kaggle/dsv/1693952" TargetMode="External" /><Relationship Type="http://schemas.openxmlformats.org/officeDocument/2006/relationships/hyperlink" Id="rId129"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2026-10-27T15:05:34Z</dcterms:created>
  <dcterms:modified xsi:type="dcterms:W3CDTF">2026-10-27T15:05:34Z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