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7.png" ContentType="image/png"/>
  <Override PartName="/word/media/rId57.png" ContentType="image/png"/>
  <Override PartName="/word/media/rId27.png" ContentType="image/png"/>
  <Override PartName="/word/media/rId53.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66 peer-reviewed papers (2020–2025)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eight benchmarks, SWaT, WADI, HAI 21.03, SMAP, MSL, SMD, SKAB and PSM, over five seeds, four drift patterns and ten ablations, 19,650 streaming runs in all. Without injected drift, the static VAE is as good as any meta-learned detector on six of the eight, and the number of support windows makes no difference between one and ten: the initialisation is not the bottleneck. SWaT and WADI are the exception, because their attack recordings sit at a different operating point from their normal recordings: there the static and adapt-once detectors alarm on 49–74 % of normal steps and DAMAD on 4–6 %, with F1 55 against 26 on SWaT. Under injected drift the static and adapt-once detectors alarm on 73–87 % of normal steps pooled (95–100 % on SWaT, WADI and PSM) and do not recover; DAMAD keeps the rate at 17–30 %, recovers within 230–440 windows, and has the best pooled point-wise F1 under every pattern, driven by SWaT, WADI and SMD. On HAI it brings no gain, on SMAP and MSL every method is weak, and its recalibrated thresholds cost it detection latency everywhere. The ablations show that threshold recalibration and the residual-side gate carry the result, the acceptance test matters where anomalies are long, replay helps on some streams and hurts on SWaT, and the choice of meta-learner is secondary.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Train one learner across many tasks instead of one, and what comes out is an initialisation, an embedding or a memory that fits a fresh task from a handful of examples</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Five things come out of this work.</w:t>
      </w:r>
    </w:p>
    <w:p>
      <w:pPr>
        <w:numPr>
          <w:ilvl w:val="0"/>
          <w:numId w:val="1001"/>
        </w:numPr>
        <w:pStyle w:val="Compact"/>
      </w:pPr>
      <w:r>
        <w:t xml:space="preserve">A four-dimensional taxonomy of meta-learning AD methods (paradigm, detection mechanism, streaming capability, industrial validation) grounded in a PRISMA-style review of 66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SWaT, WADI, HAI 21.03, SMAP, MSL,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rest of the paper runs in this order. Section 2 covers the background on AD, meta-learning and drift. Section 3 condenses the review into the taxonomy and the gap map. Section 4 sets out the three sub-problems and the protocol, and Section 5 presents DAMAD. The setup is in Section 6 and the results in Section 7; Section 8 goes through the limitations and Section 9 closes.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instead learn a space in which a query takes the label of whichever class prototype sits closest to it; model-based methods keep an external memory and adapt in a single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carry guarantees on both kinds of mistake, a false alarm and a missed change.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follows the PRISMA 2020 reporting items</w:t>
      </w:r>
      <w:r>
        <w:t xml:space="preserve"> </w:t>
      </w:r>
      <w:hyperlink w:anchor="ref-page2021prisma">
        <w:r>
          <w:rPr>
            <w:rStyle w:val="Hyperlink"/>
          </w:rPr>
          <w:t xml:space="preserve">[26]</w:t>
        </w:r>
      </w:hyperlink>
      <w:r>
        <w:t xml:space="preserve"> </w:t>
      </w:r>
      <w:r>
        <w:t xml:space="preserve">as far as a two-author study allows. This section states what was done, not what a full-scale review would do. Two sources were searched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IEEE Xplore, exported on 28 September 2026, and Lens.org, which aggregates Crossref, PubMed, Microsoft Academic and OpenAlex records and therefore covers Elsevier, Springer, MDPI and ACM venues alongside IEEE.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 The IEEE Xplore export was run with the primary string, each term applied to the</w:t>
      </w:r>
      <w:r>
        <w:t xml:space="preserve"> </w:t>
      </w:r>
      <w:r>
        <w:t xml:space="preserve">“</w:t>
      </w:r>
      <w:r>
        <w:t xml:space="preserve">All Metadata</w:t>
      </w:r>
      <w:r>
        <w:t xml:space="preserve">”</w:t>
      </w:r>
      <w:r>
        <w:t xml:space="preserve"> </w:t>
      </w:r>
      <w:r>
        <w:t xml:space="preserve">field (title, abstract and index terms); Lens.org was run with both strings.</w:t>
      </w:r>
    </w:p>
    <w:p>
      <w:pPr>
        <w:pStyle w:val="BodyText"/>
      </w:pPr>
      <w:r>
        <w:t xml:space="preserve">Table 1 lists the inclusion and exclusion criteria and Table 2 the selection. The three exports held 788 records (IEEE Xplore 188, Lens primary 124, Lens secondary 476); matching on DOI and then on normalised title removed 93 duplicates within and across sources, leaving 695 unique works. Screening ran in three steps. First, 466 records whose title, abstract and keywords contain no meta-learning or few-shot term (meta-learning, few-shot, one-shot, MAML, prototypical, Siamese, metric learning, learning to learn) were excluded under EC1 without further reading; almost all of them are the drift-and-AD papers that the secondary string was designed to retrieve, and they inform Section 2.3 but are not meta-learning papers. Second, 29 of the remaining 229 records were preprints, book chapters, editorials, datasets, reports or theses and were excluded under EC4. Third, the remaining 200 records were read at title-and-abstract level by the first author: 83 were excluded under EC1 (meta-learning in the stacking-ensemble, AutoML or hyper-parameter sense, few-shot learning mentioned only as motivation, or no anomaly or fault detection task), 50 under EC2 as image-only, two as surveys with no method to classify, one under EC3 as a plain application of an existing method, and 64 were retained. Two papers that we knew from earlier reading and that meet the criteria but were not retrieved by either string, MAVAE</w:t>
      </w:r>
      <w:r>
        <w:t xml:space="preserve"> </w:t>
      </w:r>
      <w:hyperlink w:anchor="ref-moon2023mavae">
        <w:r>
          <w:rPr>
            <w:rStyle w:val="Hyperlink"/>
          </w:rPr>
          <w:t xml:space="preserve">[10]</w:t>
        </w:r>
      </w:hyperlink>
      <w:r>
        <w:t xml:space="preserve"> </w:t>
      </w:r>
      <w:r>
        <w:t xml:space="preserve">and the 5G industrial-internet detector of Yan et al.</w:t>
      </w:r>
      <w:r>
        <w:t xml:space="preserve"> </w:t>
      </w:r>
      <w:hyperlink w:anchor="ref-yan2024fewshot">
        <w:r>
          <w:rPr>
            <w:rStyle w:val="Hyperlink"/>
          </w:rPr>
          <w:t xml:space="preserve">[27]</w:t>
        </w:r>
      </w:hyperlink>
      <w:r>
        <w:t xml:space="preserve">, were added from our reference list. The corpus is 66 papers. One in 2020, three in 2021, five in 2022, 13 in 2023, 13 in 2024 and 31 in 2025: 86 % of it is from 2023 onwards, and nothing before 2020 survived screening. Supplementary Table S1 lists every paper with its DOI and its codes.</w:t>
      </w:r>
    </w:p>
    <w:p>
      <w:pPr>
        <w:pStyle w:val="BodyText"/>
      </w:pPr>
      <w:r>
        <w:t xml:space="preserve">Two limits of the procedure should be stated. No full-text stage was carried out, so the taxonomy codes in Section 3.2 come from titles, abstracts and keywords; where an abstract names a method (</w:t>
      </w:r>
      <w:r>
        <w:t xml:space="preserve">“</w:t>
      </w:r>
      <w:r>
        <w:t xml:space="preserve">MAML</w:t>
      </w:r>
      <w:r>
        <w:t xml:space="preserve">”</w:t>
      </w:r>
      <w:r>
        <w:t xml:space="preserve">,</w:t>
      </w:r>
      <w:r>
        <w:t xml:space="preserve"> </w:t>
      </w:r>
      <w:r>
        <w:t xml:space="preserve">“</w:t>
      </w:r>
      <w:r>
        <w:t xml:space="preserve">prototypical network</w:t>
      </w:r>
      <w:r>
        <w:t xml:space="preserve">”</w:t>
      </w:r>
      <w:r>
        <w:t xml:space="preserve">) the code is reliable, and where it says only</w:t>
      </w:r>
      <w:r>
        <w:t xml:space="preserve"> </w:t>
      </w:r>
      <w:r>
        <w:t xml:space="preserve">“</w:t>
      </w:r>
      <w:r>
        <w:t xml:space="preserve">meta-learning</w:t>
      </w:r>
      <w:r>
        <w:t xml:space="preserve">”</w:t>
      </w:r>
      <w:r>
        <w:t xml:space="preserve"> </w:t>
      </w:r>
      <w:r>
        <w:t xml:space="preserve">the paradigm is recorded as not stated. And the screening was done by one author, so the inter-rater agreement that a two-reader review reports is not available; the screening sheet with a one-line reason for every decision is released with the code so that any reader can audit it.</w:t>
      </w:r>
    </w:p>
    <w:p>
      <w:pPr>
        <w:pStyle w:val="BodyText"/>
      </w:pPr>
      <w:r>
        <w:t xml:space="preserve">Table 1. The criteria used to keep (IC) or drop (EC) a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The paper puts forward, or tests, a meta-learning or few-shot method whose job is to find anomalies or faults in sensor, telemetry, network or log data</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Journal or conference paper as typed by the source database; English</w:t>
            </w:r>
          </w:p>
        </w:tc>
      </w:tr>
      <w:tr>
        <w:tc>
          <w:tcPr/>
          <w:p>
            <w:pPr>
              <w:pStyle w:val="Compact"/>
              <w:jc w:val="left"/>
            </w:pPr>
            <w:r>
              <w:t xml:space="preserve">EC1</w:t>
            </w:r>
          </w:p>
        </w:tc>
        <w:tc>
          <w:tcPr/>
          <w:p>
            <w:pPr>
              <w:pStyle w:val="Compact"/>
              <w:jc w:val="left"/>
            </w:pPr>
            <w:r>
              <w:t xml:space="preserve">No meta-/few-shot component, or</w:t>
            </w:r>
            <w:r>
              <w:t xml:space="preserve"> </w:t>
            </w:r>
            <w:r>
              <w:t xml:space="preserve">“</w:t>
            </w:r>
            <w:r>
              <w:t xml:space="preserve">meta-learning</w:t>
            </w:r>
            <w:r>
              <w:t xml:space="preserve">”</w:t>
            </w:r>
            <w:r>
              <w:t xml:space="preserve"> </w:t>
            </w:r>
            <w:r>
              <w:t xml:space="preserve">in the ensemble, AutoML or hyper-parameter sense, or few-shot scarcity named only as motivation, or no detection task</w:t>
            </w:r>
          </w:p>
        </w:tc>
      </w:tr>
      <w:tr>
        <w:tc>
          <w:tcPr/>
          <w:p>
            <w:pPr>
              <w:pStyle w:val="Compact"/>
              <w:jc w:val="left"/>
            </w:pPr>
            <w:r>
              <w:t xml:space="preserve">EC2</w:t>
            </w:r>
          </w:p>
        </w:tc>
        <w:tc>
          <w:tcPr/>
          <w:p>
            <w:pPr>
              <w:pStyle w:val="Compact"/>
              <w:jc w:val="left"/>
            </w:pPr>
            <w:r>
              <w:t xml:space="preserve">Image or video anomaly detection only</w:t>
            </w:r>
          </w:p>
        </w:tc>
      </w:tr>
      <w:tr>
        <w:tc>
          <w:tcPr/>
          <w:p>
            <w:pPr>
              <w:pStyle w:val="Compact"/>
              <w:jc w:val="left"/>
            </w:pPr>
            <w:r>
              <w:t xml:space="preserve">EC3</w:t>
            </w:r>
          </w:p>
        </w:tc>
        <w:tc>
          <w:tcPr/>
          <w:p>
            <w:pPr>
              <w:pStyle w:val="Compact"/>
              <w:jc w:val="left"/>
            </w:pPr>
            <w:r>
              <w:t xml:space="preserve">Applies an existing method with no methodological contribution</w:t>
            </w:r>
          </w:p>
        </w:tc>
      </w:tr>
      <w:tr>
        <w:tc>
          <w:tcPr/>
          <w:p>
            <w:pPr>
              <w:pStyle w:val="Compact"/>
              <w:jc w:val="left"/>
            </w:pPr>
            <w:r>
              <w:t xml:space="preserve">EC4</w:t>
            </w:r>
          </w:p>
        </w:tc>
        <w:tc>
          <w:tcPr/>
          <w:p>
            <w:pPr>
              <w:pStyle w:val="Compact"/>
              <w:jc w:val="left"/>
            </w:pPr>
            <w:r>
              <w:t xml:space="preserve">Preprint, book chapter, editorial, dataset, report or thesis</w:t>
            </w:r>
          </w:p>
        </w:tc>
      </w:tr>
    </w:tbl>
    <w:p>
      <w:pPr>
        <w:pStyle w:val="BodyText"/>
      </w:pPr>
      <w:r>
        <w:t xml:space="preserve">Table 2.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(IEEE Xplore, Lens.org primary, Lens.org secondary)</w:t>
            </w:r>
          </w:p>
        </w:tc>
        <w:tc>
          <w:tcPr/>
          <w:p>
            <w:pPr>
              <w:pStyle w:val="Compact"/>
              <w:jc w:val="left"/>
            </w:pPr>
            <w:r>
              <w:t xml:space="preserve">788 records; 695 after removing 93 duplicates</w:t>
            </w:r>
          </w:p>
        </w:tc>
      </w:tr>
      <w:tr>
        <w:tc>
          <w:tcPr/>
          <w:p>
            <w:pPr>
              <w:pStyle w:val="Compact"/>
              <w:jc w:val="left"/>
            </w:pPr>
            <w:r>
              <w:t xml:space="preserve">2. Keyword pre-screen (no meta-/few-shot term)</w:t>
            </w:r>
          </w:p>
        </w:tc>
        <w:tc>
          <w:tcPr/>
          <w:p>
            <w:pPr>
              <w:pStyle w:val="Compact"/>
              <w:jc w:val="left"/>
            </w:pPr>
            <w:r>
              <w:t xml:space="preserve">466 excluded (EC1); 229 retained</w:t>
            </w:r>
          </w:p>
        </w:tc>
      </w:tr>
      <w:tr>
        <w:tc>
          <w:tcPr/>
          <w:p>
            <w:pPr>
              <w:pStyle w:val="Compact"/>
              <w:jc w:val="left"/>
            </w:pPr>
            <w:r>
              <w:t xml:space="preserve">3. Publication type</w:t>
            </w:r>
          </w:p>
        </w:tc>
        <w:tc>
          <w:tcPr/>
          <w:p>
            <w:pPr>
              <w:pStyle w:val="Compact"/>
              <w:jc w:val="left"/>
            </w:pPr>
            <w:r>
              <w:t xml:space="preserve">29 excluded (EC4); 200 read</w:t>
            </w:r>
          </w:p>
        </w:tc>
      </w:tr>
      <w:tr>
        <w:tc>
          <w:tcPr/>
          <w:p>
            <w:pPr>
              <w:pStyle w:val="Compact"/>
              <w:jc w:val="left"/>
            </w:pPr>
            <w:r>
              <w:t xml:space="preserve">4. Title and abstract reading</w:t>
            </w:r>
          </w:p>
        </w:tc>
        <w:tc>
          <w:tcPr/>
          <w:p>
            <w:pPr>
              <w:pStyle w:val="Compact"/>
              <w:jc w:val="left"/>
            </w:pPr>
            <w:r>
              <w:t xml:space="preserve">83 EC1, 50 EC2, 2 surveys, 1 EC3; 64 retained</w:t>
            </w:r>
          </w:p>
        </w:tc>
      </w:tr>
      <w:tr>
        <w:tc>
          <w:tcPr/>
          <w:p>
            <w:pPr>
              <w:pStyle w:val="Compact"/>
              <w:jc w:val="left"/>
            </w:pPr>
            <w:r>
              <w:t xml:space="preserve">5. Reference-list additions</w:t>
            </w:r>
          </w:p>
        </w:tc>
        <w:tc>
          <w:tcPr/>
          <w:p>
            <w:pPr>
              <w:pStyle w:val="Compact"/>
              <w:jc w:val="left"/>
            </w:pPr>
            <w:r>
              <w:t xml:space="preserve">2 added</w:t>
            </w:r>
          </w:p>
        </w:tc>
      </w:tr>
      <w:tr>
        <w:tc>
          <w:tcPr/>
          <w:p>
            <w:pPr>
              <w:pStyle w:val="Compact"/>
              <w:jc w:val="left"/>
            </w:pPr>
            <w:r>
              <w:t xml:space="preserve">Final corpus</w:t>
            </w:r>
          </w:p>
        </w:tc>
        <w:tc>
          <w:tcPr/>
          <w:p>
            <w:pPr>
              <w:pStyle w:val="Compact"/>
              <w:jc w:val="left"/>
            </w:pPr>
            <w:r>
              <w:t xml:space="preserve">66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[28]</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learning paradigm.</w:t>
      </w:r>
      <w:r>
        <w:t xml:space="preserve"> </w:t>
      </w:r>
      <w:r>
        <w:t xml:space="preserve">OPT: optimisation-based meta-learning, learning a shared initialisation (MAML, MAML++, Meta-SGD). MET: metric-based, learning a task-agnostic embedding (Siamese, prototypical and relation networks). MOD: model-based, using memory, hypernetworks or a pretrained sequence model. HYB: two or more of the above. NML: few-shot learning without a meta-learning paradigm, by transfer and fine-tuning or by generating synthetic samples. NS: the abstract says</w:t>
      </w:r>
      <w:r>
        <w:t xml:space="preserve"> </w:t>
      </w:r>
      <w:r>
        <w:t xml:space="preserve">“</w:t>
      </w:r>
      <w:r>
        <w:t xml:space="preserve">meta-learning</w:t>
      </w:r>
      <w:r>
        <w:t xml:space="preserve">”</w:t>
      </w:r>
      <w:r>
        <w:t xml:space="preserve"> </w:t>
      </w:r>
      <w:r>
        <w:t xml:space="preserve">or</w:t>
      </w:r>
      <w:r>
        <w:t xml:space="preserve"> </w:t>
      </w:r>
      <w:r>
        <w:t xml:space="preserve">“</w:t>
      </w:r>
      <w:r>
        <w:t xml:space="preserve">few-shot</w:t>
      </w:r>
      <w:r>
        <w:t xml:space="preserve">”</w:t>
      </w:r>
      <w:r>
        <w:t xml:space="preserve"> </w:t>
      </w:r>
      <w:r>
        <w:t xml:space="preserve">and no more.</w:t>
      </w:r>
    </w:p>
    <w:p>
      <w:pPr>
        <w:pStyle w:val="BodyText"/>
      </w:pPr>
      <w:r>
        <w:rPr>
          <w:iCs/>
          <w:i/>
        </w:rPr>
        <w:t xml:space="preserve">D2, detection mechanism.</w:t>
      </w:r>
      <w:r>
        <w:t xml:space="preserve"> </w:t>
      </w:r>
      <w:r>
        <w:t xml:space="preserve">REC: reconstruction error (AE, VAE, transformer). DIS: distance to learned prototypes or embeddings. DEN: density estimation. PRE: prediction error. CLS: supervised few-shot classification of known fault or attack classes. HYB: a combination.</w:t>
      </w:r>
    </w:p>
    <w:p>
      <w:pPr>
        <w:pStyle w:val="BodyText"/>
      </w:pPr>
      <w:r>
        <w:rPr>
          <w:iCs/>
          <w:i/>
        </w:rPr>
        <w:t xml:space="preserve">D3, streaming and drift capability.</w:t>
      </w:r>
      <w:r>
        <w:t xml:space="preserve"> </w:t>
      </w:r>
      <w:r>
        <w:t xml:space="preserve">STA: trained offline, no online update. INC: incremental or class-incremental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or telemetry benchmark (SWaT</w:t>
      </w:r>
      <w:r>
        <w:t xml:space="preserve"> </w:t>
      </w:r>
      <w:hyperlink w:anchor="ref-goh2016swat">
        <w:r>
          <w:rPr>
            <w:rStyle w:val="Hyperlink"/>
          </w:rPr>
          <w:t xml:space="preserve">[29]</w:t>
        </w:r>
      </w:hyperlink>
      <w:r>
        <w:t xml:space="preserve">, WADI</w:t>
      </w:r>
      <w:r>
        <w:t xml:space="preserve"> </w:t>
      </w:r>
      <w:hyperlink w:anchor="ref-ahmed2017wadi">
        <w:r>
          <w:rPr>
            <w:rStyle w:val="Hyperlink"/>
          </w:rPr>
          <w:t xml:space="preserve">[30]</w:t>
        </w:r>
      </w:hyperlink>
      <w:r>
        <w:t xml:space="preserve">, HAI</w:t>
      </w:r>
      <w:r>
        <w:t xml:space="preserve"> </w:t>
      </w:r>
      <w:hyperlink w:anchor="ref-shin2021hai">
        <w:r>
          <w:rPr>
            <w:rStyle w:val="Hyperlink"/>
          </w:rPr>
          <w:t xml:space="preserve">[31]</w:t>
        </w:r>
      </w:hyperlink>
      <w:r>
        <w:t xml:space="preserve">, SMAP/MSL</w:t>
      </w:r>
      <w:r>
        <w:t xml:space="preserve"> </w:t>
      </w:r>
      <w:hyperlink w:anchor="ref-hundman2018smap">
        <w:r>
          <w:rPr>
            <w:rStyle w:val="Hyperlink"/>
          </w:rPr>
          <w:t xml:space="preserve">[32]</w:t>
        </w:r>
      </w:hyperlink>
      <w:r>
        <w:t xml:space="preserve">). IOV: evaluated on other IoT, industrial or network data (bearing and motor rigs, process data, intrusion datasets, satellite telemetry without a named benchmark). GEN: generic datasets. THE: theory or simulation only.</w:t>
      </w:r>
    </w:p>
    <w:p>
      <w:pPr>
        <w:pStyle w:val="BodyText"/>
      </w:pPr>
      <w:r>
        <w:t xml:space="preserve">Table 3 places representative papers on the grid, and Figure 1 plots the whole corpus on the D1 × D3 plane. Metric-based methods are the largest group, 22 of the 66 papers (33 %); optimisation-based methods follow with 18 (27 %); ten (15 %) are few-shot methods with no meta-learning paradigm at all, mostly transfer learning with a handful of target samples; four are model-based, two hybrid, and ten state no paradigm in the abstract. On D2 the corpus is dominated by supervised few-shot classification of known fault classes (31 papers, 47 %), which is the bearing and motor fault-diagnosis literature; 21 papers score by distance to prototypes, eight by reconstruction, one by prediction and five by a combination. On D3, 62 papers (94 %) are static, three update incrementally</w:t>
      </w:r>
      <w:r>
        <w:t xml:space="preserve"> </w:t>
      </w:r>
      <w:hyperlink w:anchor="ref-yue2023incremental">
        <w:r>
          <w:rPr>
            <w:rStyle w:val="Hyperlink"/>
          </w:rPr>
          <w:t xml:space="preserve">[33]</w:t>
        </w:r>
      </w:hyperlink>
      <w:r>
        <w:t xml:space="preserve">,</w:t>
      </w:r>
      <w:r>
        <w:t xml:space="preserve"> </w:t>
      </w:r>
      <w:hyperlink w:anchor="ref-pu2024fseocl">
        <w:r>
          <w:rPr>
            <w:rStyle w:val="Hyperlink"/>
          </w:rPr>
          <w:t xml:space="preserve">[34]</w:t>
        </w:r>
      </w:hyperlink>
      <w:r>
        <w:t xml:space="preserve">,</w:t>
      </w:r>
      <w:r>
        <w:t xml:space="preserve"> </w:t>
      </w:r>
      <w:hyperlink w:anchor="ref-du2024fscil">
        <w:r>
          <w:rPr>
            <w:rStyle w:val="Hyperlink"/>
          </w:rPr>
          <w:t xml:space="preserve">[35]</w:t>
        </w:r>
      </w:hyperlink>
      <w:r>
        <w:t xml:space="preserve"> </w:t>
      </w:r>
      <w:r>
        <w:t xml:space="preserve">and one, OMLog</w:t>
      </w:r>
      <w:r>
        <w:t xml:space="preserve"> </w:t>
      </w:r>
      <w:hyperlink w:anchor="ref-tian2024omlog">
        <w:r>
          <w:rPr>
            <w:rStyle w:val="Hyperlink"/>
          </w:rPr>
          <w:t xml:space="preserve">[12]</w:t>
        </w:r>
      </w:hyperlink>
      <w:r>
        <w:t xml:space="preserve">, detects drift before it adapts. On D4, two papers</w:t>
      </w:r>
      <w:r>
        <w:t xml:space="preserve"> </w:t>
      </w:r>
      <w:hyperlink w:anchor="ref-tuli2022tranad">
        <w:r>
          <w:rPr>
            <w:rStyle w:val="Hyperlink"/>
          </w:rPr>
          <w:t xml:space="preserve">[36]</w:t>
        </w:r>
      </w:hyperlink>
      <w:r>
        <w:t xml:space="preserve">,</w:t>
      </w:r>
      <w:r>
        <w:t xml:space="preserve"> </w:t>
      </w:r>
      <w:hyperlink w:anchor="ref-xu2025swat">
        <w:r>
          <w:rPr>
            <w:rStyle w:val="Hyperlink"/>
          </w:rPr>
          <w:t xml:space="preserve">[37]</w:t>
        </w:r>
      </w:hyperlink>
      <w:r>
        <w:t xml:space="preserve"> </w:t>
      </w:r>
      <w:r>
        <w:t xml:space="preserve">use the industrial benchmarks of this study, 59 use other IoT, industrial or network data and five use generic data.</w:t>
      </w:r>
    </w:p>
    <w:p>
      <w:pPr>
        <w:pStyle w:val="BodyText"/>
      </w:pPr>
      <w:r>
        <w:t xml:space="preserve">Table 3. Taxonomy placement of representative papers. Rows marked</w:t>
      </w:r>
      <w:r>
        <w:t xml:space="preserve"> </w:t>
      </w:r>
      <w:r>
        <w:t xml:space="preserve">“</w:t>
      </w:r>
      <w:r>
        <w:t xml:space="preserve">context</w:t>
      </w:r>
      <w:r>
        <w:t xml:space="preserve">”</w:t>
      </w:r>
      <w:r>
        <w:t xml:space="preserve"> </w:t>
      </w:r>
      <w:r>
        <w:t xml:space="preserve">are cited in the text but are not meta-learning papers and are not in the corpus.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r>
              <w:t xml:space="preserve"> </w:t>
            </w:r>
            <w:r>
              <w:t xml:space="preserve">(context)</w:t>
            </w:r>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Zhang et al.</w:t>
            </w:r>
            <w:r>
              <w:t xml:space="preserve"> </w:t>
            </w:r>
            <w:hyperlink w:anchor="ref-zhang2020maml">
              <w:r>
                <w:rPr>
                  <w:rStyle w:val="Hyperlink"/>
                </w:rPr>
                <w:t xml:space="preserve">[38]</w:t>
              </w:r>
            </w:hyperlink>
          </w:p>
        </w:tc>
        <w:tc>
          <w:tcPr/>
          <w:p>
            <w:pPr>
              <w:pStyle w:val="Compact"/>
              <w:jc w:val="left"/>
            </w:pPr>
            <w:r>
              <w:t xml:space="preserve">2020</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Zhou et al.</w:t>
            </w:r>
            <w:r>
              <w:t xml:space="preserve"> </w:t>
            </w:r>
            <w:hyperlink w:anchor="ref-zhou2021siamese">
              <w:r>
                <w:rPr>
                  <w:rStyle w:val="Hyperlink"/>
                </w:rPr>
                <w:t xml:space="preserve">[39]</w:t>
              </w:r>
            </w:hyperlink>
          </w:p>
        </w:tc>
        <w:tc>
          <w:tcPr/>
          <w:p>
            <w:pPr>
              <w:pStyle w:val="Compact"/>
              <w:jc w:val="left"/>
            </w:pPr>
            <w:r>
              <w:t xml:space="preserve">2021</w:t>
            </w:r>
          </w:p>
        </w:tc>
        <w:tc>
          <w:tcPr/>
          <w:p>
            <w:pPr>
              <w:pStyle w:val="Compact"/>
              <w:jc w:val="left"/>
            </w:pPr>
            <w:r>
              <w:t xml:space="preserve">MET/Siamese</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Tuli et al., TranAD</w:t>
            </w:r>
            <w:r>
              <w:t xml:space="preserve"> </w:t>
            </w:r>
            <w:hyperlink w:anchor="ref-tuli2022tranad">
              <w:r>
                <w:rPr>
                  <w:rStyle w:val="Hyperlink"/>
                </w:rPr>
                <w:t xml:space="preserve">[36]</w:t>
              </w:r>
            </w:hyperlink>
          </w:p>
        </w:tc>
        <w:tc>
          <w:tcPr/>
          <w:p>
            <w:pPr>
              <w:pStyle w:val="Compact"/>
              <w:jc w:val="left"/>
            </w:pPr>
            <w:r>
              <w:t xml:space="preserve">2022</w:t>
            </w:r>
          </w:p>
        </w:tc>
        <w:tc>
          <w:tcPr/>
          <w:p>
            <w:pPr>
              <w:pStyle w:val="Compact"/>
              <w:jc w:val="left"/>
            </w:pPr>
            <w:r>
              <w:t xml:space="preserve">OPT/MAML</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Wahab</w:t>
            </w:r>
            <w:r>
              <w:t xml:space="preserve"> </w:t>
            </w:r>
            <w:hyperlink w:anchor="ref-wahab2022online">
              <w:r>
                <w:rPr>
                  <w:rStyle w:val="Hyperlink"/>
                </w:rPr>
                <w:t xml:space="preserve">[14]</w:t>
              </w:r>
            </w:hyperlink>
            <w:r>
              <w:t xml:space="preserve"> </w:t>
            </w:r>
            <w:r>
              <w:t xml:space="preserve">(context)</w:t>
            </w:r>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Chen et al.</w:t>
            </w:r>
            <w:r>
              <w:t xml:space="preserve"> </w:t>
            </w:r>
            <w:hyperlink w:anchor="ref-chen2023metabearing">
              <w:r>
                <w:rPr>
                  <w:rStyle w:val="Hyperlink"/>
                </w:rPr>
                <w:t xml:space="preserve">[40]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Yue et al.</w:t>
            </w:r>
            <w:r>
              <w:t xml:space="preserve"> </w:t>
            </w:r>
            <w:hyperlink w:anchor="ref-yue2023incremental">
              <w:r>
                <w:rPr>
                  <w:rStyle w:val="Hyperlink"/>
                </w:rPr>
                <w:t xml:space="preserve">[33]</w:t>
              </w:r>
            </w:hyperlink>
          </w:p>
        </w:tc>
        <w:tc>
          <w:tcPr/>
          <w:p>
            <w:pPr>
              <w:pStyle w:val="Compact"/>
              <w:jc w:val="left"/>
            </w:pPr>
            <w:r>
              <w:t xml:space="preserve">2023</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Moon et al., MAVAE</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[28]</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Li et al.</w:t>
            </w:r>
            <w:r>
              <w:t xml:space="preserve"> </w:t>
            </w:r>
            <w:hyperlink w:anchor="ref-li2024rrpn">
              <w:r>
                <w:rPr>
                  <w:rStyle w:val="Hyperlink"/>
                </w:rPr>
                <w:t xml:space="preserve">[41]</w:t>
              </w:r>
            </w:hyperlink>
          </w:p>
        </w:tc>
        <w:tc>
          <w:tcPr/>
          <w:p>
            <w:pPr>
              <w:pStyle w:val="Compact"/>
              <w:jc w:val="left"/>
            </w:pPr>
            <w:r>
              <w:t xml:space="preserve">2024</w:t>
            </w:r>
          </w:p>
        </w:tc>
        <w:tc>
          <w:tcPr/>
          <w:p>
            <w:pPr>
              <w:pStyle w:val="Compact"/>
              <w:jc w:val="left"/>
            </w:pPr>
            <w:r>
              <w:t xml:space="preserve">MET/prototypical</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Pu et al.</w:t>
            </w:r>
            <w:r>
              <w:t xml:space="preserve"> </w:t>
            </w:r>
            <w:hyperlink w:anchor="ref-pu2024fseocl">
              <w:r>
                <w:rPr>
                  <w:rStyle w:val="Hyperlink"/>
                </w:rPr>
                <w:t xml:space="preserve">[34]</w:t>
              </w:r>
            </w:hyperlink>
          </w:p>
        </w:tc>
        <w:tc>
          <w:tcPr/>
          <w:p>
            <w:pPr>
              <w:pStyle w:val="Compact"/>
              <w:jc w:val="left"/>
            </w:pPr>
            <w:r>
              <w:t xml:space="preserve">2024</w:t>
            </w:r>
          </w:p>
        </w:tc>
        <w:tc>
          <w:tcPr/>
          <w:p>
            <w:pPr>
              <w:pStyle w:val="Compact"/>
              <w:jc w:val="left"/>
            </w:pPr>
            <w:r>
              <w:t xml:space="preserve">NML</w:t>
            </w:r>
          </w:p>
        </w:tc>
        <w:tc>
          <w:tcPr/>
          <w:p>
            <w:pPr>
              <w:pStyle w:val="Compact"/>
              <w:jc w:val="left"/>
            </w:pPr>
            <w:r>
              <w:t xml:space="preserve">HYB</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Du et al.</w:t>
            </w:r>
            <w:r>
              <w:t xml:space="preserve"> </w:t>
            </w:r>
            <w:hyperlink w:anchor="ref-du2024fscil">
              <w:r>
                <w:rPr>
                  <w:rStyle w:val="Hyperlink"/>
                </w:rPr>
                <w:t xml:space="preserve">[35]</w:t>
              </w:r>
            </w:hyperlink>
          </w:p>
        </w:tc>
        <w:tc>
          <w:tcPr/>
          <w:p>
            <w:pPr>
              <w:pStyle w:val="Compact"/>
              <w:jc w:val="left"/>
            </w:pPr>
            <w:r>
              <w:t xml:space="preserve">2024</w:t>
            </w:r>
          </w:p>
        </w:tc>
        <w:tc>
          <w:tcPr/>
          <w:p>
            <w:pPr>
              <w:pStyle w:val="Compact"/>
              <w:jc w:val="left"/>
            </w:pPr>
            <w:r>
              <w:t xml:space="preserve">NS</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Yan et al.</w:t>
            </w:r>
            <w:r>
              <w:t xml:space="preserve"> </w:t>
            </w:r>
            <w:hyperlink w:anchor="ref-yan2024fewshot">
              <w:r>
                <w:rPr>
                  <w:rStyle w:val="Hyperlink"/>
                </w:rPr>
                <w:t xml:space="preserve">[27]</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 OMLog</w:t>
            </w:r>
            <w:r>
              <w:t xml:space="preserve"> </w:t>
            </w:r>
            <w:hyperlink w:anchor="ref-tian2024omlog">
              <w:r>
                <w:rPr>
                  <w:rStyle w:val="Hyperlink"/>
                </w:rPr>
                <w:t xml:space="preserve">[12]</w:t>
              </w:r>
            </w:hyperlink>
          </w:p>
        </w:tc>
        <w:tc>
          <w:tcPr/>
          <w:p>
            <w:pPr>
              <w:pStyle w:val="Compact"/>
              <w:jc w:val="left"/>
            </w:pPr>
            <w:r>
              <w:t xml:space="preserve">2025</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770716"/>
            <wp:effectExtent b="0" l="0" r="0" t="0"/>
            <wp:docPr descr="Figure 1. Coverage of the 66 reviewed papers on the D1 × D3 plane. The online meta-adaptive column is empty for every paradigm; the drift-aware column holds one paper. The bottom-right cell of the original sketch, hybrid and online meta-adaptive,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770716"/>
                    </a:xfrm>
                    <a:prstGeom prst="rect">
                      <a:avLst/>
                    </a:prstGeom>
                    <a:noFill/>
                    <a:ln w="9525">
                      <a:noFill/>
                      <a:headEnd/>
                      <a:tailEnd/>
                    </a:ln>
                  </pic:spPr>
                </pic:pic>
              </a:graphicData>
            </a:graphic>
          </wp:inline>
        </w:drawing>
      </w:r>
    </w:p>
    <w:p>
      <w:pPr>
        <w:pStyle w:val="ImageCaption"/>
      </w:pPr>
      <w:r>
        <w:t xml:space="preserve">Figure 1. Coverage of the 66 reviewed papers on the D1 × D3 plane. The online meta-adaptive column is empty for every paradigm; the drift-aware column holds one paper. The bottom-right cell of the original sketch, hybrid and online meta-adaptive,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62 of the 66 papers sit in the STA column, and the three that update do so by adding fault classes or samples, not by watching the stream. Methods designed for offline training are being applied to a problem that is online by nature. The finding has a second face that the D2 counts show: half of the corpus treats the problem as supervised classification of fault classes seen at training time, which is a different problem from detecting a fault that has never been seen.</w:t>
      </w:r>
    </w:p>
    <w:p>
      <w:pPr>
        <w:pStyle w:val="BodyText"/>
      </w:pPr>
      <w:r>
        <w:rPr>
          <w:iCs/>
          <w:i/>
        </w:rPr>
        <w:t xml:space="preserve">Finding 2, the OMA gap.</w:t>
      </w:r>
      <w:r>
        <w:t xml:space="preserve"> </w:t>
      </w:r>
      <w:r>
        <w:t xml:space="preserve">No paper in the corpus updates its meta-learning strategy in response to stream evolution. The column is empty for every paradigm and every year. The closest are OMLog</w:t>
      </w:r>
      <w:r>
        <w:t xml:space="preserve"> </w:t>
      </w:r>
      <w:hyperlink w:anchor="ref-tian2024omlog">
        <w:r>
          <w:rPr>
            <w:rStyle w:val="Hyperlink"/>
          </w:rPr>
          <w:t xml:space="preserve">[12]</w:t>
        </w:r>
      </w:hyperlink>
      <w:r>
        <w:t xml:space="preserve">, which detects a shift and adapts once, and the three incremental methods, which never ask whether the stream has moved.</w:t>
      </w:r>
    </w:p>
    <w:p>
      <w:pPr>
        <w:pStyle w:val="BodyText"/>
      </w:pPr>
      <w:r>
        <w:rPr>
          <w:iCs/>
          <w:i/>
        </w:rPr>
        <w:t xml:space="preserve">Finding 3, the validation gap.</w:t>
      </w:r>
      <w:r>
        <w:t xml:space="preserve"> </w:t>
      </w:r>
      <w:r>
        <w:t xml:space="preserve">Two papers in the corpus evaluate on the industrial benchmarks of this study. TranAD</w:t>
      </w:r>
      <w:r>
        <w:t xml:space="preserve"> </w:t>
      </w:r>
      <w:hyperlink w:anchor="ref-tuli2022tranad">
        <w:r>
          <w:rPr>
            <w:rStyle w:val="Hyperlink"/>
          </w:rPr>
          <w:t xml:space="preserve">[36]</w:t>
        </w:r>
      </w:hyperlink>
      <w:r>
        <w:t xml:space="preserve"> </w:t>
      </w:r>
      <w:r>
        <w:t xml:space="preserve">is a transformer reconstruction detector that uses MAML during training so that it can be trained on a fraction of the data, and it reports on SWaT, WADI, SMAP, MSL and SMD; its meta-learning is a training aid, nothing is adapted at deployment, and its scores are point-adjusted. Xu et al.</w:t>
      </w:r>
      <w:r>
        <w:t xml:space="preserve"> </w:t>
      </w:r>
      <w:hyperlink w:anchor="ref-xu2025swat">
        <w:r>
          <w:rPr>
            <w:rStyle w:val="Hyperlink"/>
          </w:rPr>
          <w:t xml:space="preserve">[37]</w:t>
        </w:r>
      </w:hyperlink>
      <w:r>
        <w:t xml:space="preserve"> </w:t>
      </w:r>
      <w:r>
        <w:t xml:space="preserve">detect SWaT attacks with an LSTM-UNet trained on augmented attack samples, a supervised few-shot classifier with no meta-learning. Every other paper that meta-learns is evaluated on bearing and motor rigs, process datasets, intrusion datasets or telemetry without a named benchmark, and no paper evaluates few-shot</w:t>
      </w:r>
      <w:r>
        <w:t xml:space="preserve"> </w:t>
      </w:r>
      <w:r>
        <w:rPr>
          <w:iCs/>
          <w:i/>
        </w:rPr>
        <w:t xml:space="preserve">adaptation</w:t>
      </w:r>
      <w:r>
        <w:t xml:space="preserve"> </w:t>
      </w:r>
      <w:r>
        <w:t xml:space="preserve">on SWaT, WADI, HAI, SMAP or MSL. Nobody has yet put the two together.</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[42]</w:t>
        </w:r>
      </w:hyperlink>
      <w:r>
        <w:t xml:space="preserve">,</w:t>
      </w:r>
      <w:r>
        <w:t xml:space="preserve"> </w:t>
      </w:r>
      <w:hyperlink w:anchor="ref-garg2022evaluation">
        <w:r>
          <w:rPr>
            <w:rStyle w:val="Hyperlink"/>
          </w:rPr>
          <w:t xml:space="preserve">[43]</w:t>
        </w:r>
      </w:hyperlink>
      <w:r>
        <w:t xml:space="preserve">,</w:t>
      </w:r>
      <w:r>
        <w:t xml:space="preserve"> </w:t>
      </w:r>
      <w:hyperlink w:anchor="ref-wu2023flawed">
        <w:r>
          <w:rPr>
            <w:rStyle w:val="Hyperlink"/>
          </w:rPr>
          <w:t xml:space="preserve">[44]</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The dataset list is split into an open tier that anyone can download (HAI, SMD, SKAB, PSM, SMAP, MSL) and a licensed tier (SWaT, WADI, obtained under the iTrust data-use agreement), and both tiers are reported here.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Open tier: HAI 21.03 (ICS testbed), SMAP and MSL (spacecraft telemetry), SMD (server machines), SKAB (rotating-machinery rig), PSM (server metrics). Licensed tier: SWaT and WADI (water treatment and distribution testbeds, iTrust agreement).</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[45]</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34000" cy="4546022"/>
            <wp:effectExtent b="0" l="0" r="0" t="0"/>
            <wp:docPr descr="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 title="" id="38" name="Picture"/>
            <a:graphic>
              <a:graphicData uri="http://schemas.openxmlformats.org/drawingml/2006/picture">
                <pic:pic>
                  <pic:nvPicPr>
                    <pic:cNvPr descr="../figures/fig_damad_architecture.png" id="39" name="Picture"/>
                    <pic:cNvPicPr>
                      <a:picLocks noChangeArrowheads="1" noChangeAspect="1"/>
                    </pic:cNvPicPr>
                  </pic:nvPicPr>
                  <pic:blipFill>
                    <a:blip r:embed="rId37"/>
                    <a:stretch>
                      <a:fillRect/>
                    </a:stretch>
                  </pic:blipFill>
                  <pic:spPr bwMode="auto">
                    <a:xfrm>
                      <a:off x="0" y="0"/>
                      <a:ext cx="5334000" cy="4546022"/>
                    </a:xfrm>
                    <a:prstGeom prst="rect">
                      <a:avLst/>
                    </a:prstGeom>
                    <a:noFill/>
                    <a:ln w="9525">
                      <a:noFill/>
                      <a:headEnd/>
                      <a:tailEnd/>
                    </a:ln>
                  </pic:spPr>
                </pic:pic>
              </a:graphicData>
            </a:graphic>
          </wp:inline>
        </w:drawing>
      </w:r>
    </w:p>
    <w:p>
      <w:pPr>
        <w:pStyle w:val="ImageCaption"/>
      </w:pPr>
      <w:r>
        <w:t xml:space="preserve">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squared gap between a window and its reconstruction from the posterior mean, averaged over the window, so the score carries no sampling noise.</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adds up the query loss measured after every inner step, with weights that shift over the first 200 outer iterations until only the last step counts.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[45]</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[46]</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SWaT, WADI, HAI, SMAP and MSL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[31]</w:t>
        </w:r>
      </w:hyperlink>
      <w:r>
        <w:t xml:space="preserve"> </w:t>
      </w:r>
      <w:r>
        <w:t xml:space="preserve">is recorded on a hardware-in-the-loop rig that joins three processes, a boiler, a turbine and water treatment, into one plant: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[47]</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[48]</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[49]</w:t>
        </w:r>
      </w:hyperlink>
      <w:r>
        <w:t xml:space="preserve"> </w:t>
      </w:r>
      <w:r>
        <w:t xml:space="preserve">is a single stream of 25 server metrics; regimes for meta-training are carved from its training part, and its test part is the held-out stream.</w:t>
      </w:r>
      <w:r>
        <w:t xml:space="preserve"> </w:t>
      </w:r>
      <w:r>
        <w:rPr>
          <w:iCs/>
          <w:i/>
        </w:rPr>
        <w:t xml:space="preserve">SWaT</w:t>
      </w:r>
      <w:r>
        <w:t xml:space="preserve"> </w:t>
      </w:r>
      <w:hyperlink w:anchor="ref-goh2016swat">
        <w:r>
          <w:rPr>
            <w:rStyle w:val="Hyperlink"/>
          </w:rPr>
          <w:t xml:space="preserve">[29]</w:t>
        </w:r>
      </w:hyperlink>
      <w:r>
        <w:t xml:space="preserve"> </w:t>
      </w:r>
      <w:r>
        <w:t xml:space="preserve">and</w:t>
      </w:r>
      <w:r>
        <w:t xml:space="preserve"> </w:t>
      </w:r>
      <w:r>
        <w:rPr>
          <w:iCs/>
          <w:i/>
        </w:rPr>
        <w:t xml:space="preserve">WADI</w:t>
      </w:r>
      <w:r>
        <w:t xml:space="preserve"> </w:t>
      </w:r>
      <w:hyperlink w:anchor="ref-ahmed2017wadi">
        <w:r>
          <w:rPr>
            <w:rStyle w:val="Hyperlink"/>
          </w:rPr>
          <w:t xml:space="preserve">[30]</w:t>
        </w:r>
      </w:hyperlink>
      <w:r>
        <w:t xml:space="preserve"> </w:t>
      </w:r>
      <w:r>
        <w:t xml:space="preserve">are the iTrust water-treatment (51 tags, 36 attacks) and water-distribution (123 tags after dropping four empty channels, 15 attacks) testbeds, used under the iTrust data-use agreement; both are downsampled to 10 s by stride, the first six hours of SWaT’s normal trace are dropped as the plant start-up transient, and each is one entity treated like PSM.</w:t>
      </w:r>
      <w:r>
        <w:t xml:space="preserve"> </w:t>
      </w:r>
      <w:r>
        <w:rPr>
          <w:iCs/>
          <w:i/>
        </w:rPr>
        <w:t xml:space="preserve">SMAP</w:t>
      </w:r>
      <w:r>
        <w:t xml:space="preserve"> </w:t>
      </w:r>
      <w:r>
        <w:t xml:space="preserve">and</w:t>
      </w:r>
      <w:r>
        <w:t xml:space="preserve"> </w:t>
      </w:r>
      <w:r>
        <w:rPr>
          <w:iCs/>
          <w:i/>
        </w:rPr>
        <w:t xml:space="preserve">MSL</w:t>
      </w:r>
      <w:r>
        <w:t xml:space="preserve"> </w:t>
      </w:r>
      <w:hyperlink w:anchor="ref-hundman2018smap">
        <w:r>
          <w:rPr>
            <w:rStyle w:val="Hyperlink"/>
          </w:rPr>
          <w:t xml:space="preserve">[32]</w:t>
        </w:r>
      </w:hyperlink>
      <w:r>
        <w:t xml:space="preserve"> </w:t>
      </w:r>
      <w:r>
        <w:t xml:space="preserve">are the NASA telemetry channels of the telemanom release: 55 SMAP channels with 25 features and 27 MSL channels with 55 features, each with its own training and labelled test stream, one entity per channel and 30 % of channels held out per seed. Their test streams are 1,100 to 8,600 windows long, so these two datasets use a 200-window calibration and a 400-window shadow period.</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c>
          <w:tcPr/>
          <w:p>
            <w:pPr>
              <w:pStyle w:val="Compact"/>
              <w:jc w:val="left"/>
            </w:pPr>
            <w:r>
              <w:t xml:space="preserve">10 s (stride)</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c>
          <w:tcPr/>
          <w:p>
            <w:pPr>
              <w:pStyle w:val="Compact"/>
              <w:jc w:val="left"/>
            </w:pPr>
            <w:r>
              <w:t xml:space="preserve">10 s (stride)</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c>
          <w:tcPr/>
          <w:p>
            <w:pPr>
              <w:pStyle w:val="Compact"/>
              <w:jc w:val="left"/>
            </w:pPr>
            <w:r>
              <w:t xml:space="preserve">native</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c>
          <w:tcPr/>
          <w:p>
            <w:pPr>
              <w:pStyle w:val="Compact"/>
              <w:jc w:val="left"/>
            </w:pPr>
            <w:r>
              <w:t xml:space="preserve">native</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r>
              <w:t xml:space="preserve"> </w:t>
            </w:r>
            <w:hyperlink w:anchor="ref-liu2008iforest">
              <w:r>
                <w:rPr>
                  <w:rStyle w:val="Hyperlink"/>
                </w:rPr>
                <w:t xml:space="preserve">[50]</w:t>
              </w:r>
            </w:hyperlink>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PSM, SWaT, WADI, SMAP and MSL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3" w:name="results"/>
    <w:p>
      <w:pPr>
        <w:pStyle w:val="Heading1"/>
      </w:pPr>
      <w:r>
        <w:t xml:space="preserve">7 Results</w:t>
      </w:r>
    </w:p>
    <w:p>
      <w:pPr>
        <w:pStyle w:val="FirstParagraph"/>
      </w:pPr>
      <w:r>
        <w:t xml:space="preserve">All numbers are means ± standard deviations over five seeds. Within a seed, a value is first averaged over the held-out entities of a dataset; where a table pools datasets, the per-dataset values are then averaged with equal weight per dataset, so that SMAP’s 17 held-out channels do not outvote SWaT’s one stream. The complete tables, including every per-dataset, per-condition version, are in the repository; the ones reproduced here are the ones the text refers to. In total 19,650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Tables 8 and 9 give point-wise F1 at each method’s own threshold and AUROC on the original test streams with K = 5. Two things stand out. AUROC is nearly flat across the VAE-based methods on every dataset: 85–87 % on SKAB, 82–87 % on SMD, 69–78 % on PSM, 94–95 % on HAI, 83–89 % on SWaT, 57–62 % on WADI, 57–61 % on SMAP and 60–62 % on MSL. The ranking of raw scores does not depend much on how the model was initialised or whether it adapts. What differs is F1, and F1 is decided by the threshold and by what the detector does after the first few hundred windows.</w:t>
      </w:r>
    </w:p>
    <w:p>
      <w:pPr>
        <w:pStyle w:val="BodyText"/>
      </w:pPr>
      <w:r>
        <w:t xml:space="preserve">Table 8. Cold start on held-out entities, no injected drift, K = 5: point-wise F1 (%) at the deployed threshold.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t xml:space="preserve">50.4 ± 4.9</w:t>
            </w:r>
          </w:p>
        </w:tc>
        <w:tc>
          <w:tcPr/>
          <w:p>
            <w:pPr>
              <w:pStyle w:val="Compact"/>
              <w:jc w:val="left"/>
            </w:pPr>
            <w:r>
              <w:rPr>
                <w:bCs/>
                <w:b/>
              </w:rPr>
              <w:t xml:space="preserve">27.1 ± 1.6</w:t>
            </w:r>
          </w:p>
        </w:tc>
        <w:tc>
          <w:tcPr/>
          <w:p>
            <w:pPr>
              <w:pStyle w:val="Compact"/>
              <w:jc w:val="left"/>
            </w:pPr>
            <w:r>
              <w:t xml:space="preserve">2.9 ± 1.7</w:t>
            </w:r>
          </w:p>
        </w:tc>
        <w:tc>
          <w:tcPr/>
          <w:p>
            <w:pPr>
              <w:pStyle w:val="Compact"/>
              <w:jc w:val="left"/>
            </w:pPr>
            <w:r>
              <w:t xml:space="preserve">10.8 ± 3.7</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25.5 ± 0.3</w:t>
            </w:r>
          </w:p>
        </w:tc>
        <w:tc>
          <w:tcPr/>
          <w:p>
            <w:pPr>
              <w:pStyle w:val="Compact"/>
              <w:jc w:val="left"/>
            </w:pPr>
            <w:r>
              <w:t xml:space="preserve">11.1 ± 0.4</w:t>
            </w:r>
          </w:p>
        </w:tc>
        <w:tc>
          <w:tcPr/>
          <w:p>
            <w:pPr>
              <w:pStyle w:val="Compact"/>
              <w:jc w:val="left"/>
            </w:pPr>
            <w:r>
              <w:rPr>
                <w:bCs/>
                <w:b/>
              </w:rPr>
              <w:t xml:space="preserve">10.0 ± 4.1</w:t>
            </w:r>
          </w:p>
        </w:tc>
        <w:tc>
          <w:tcPr/>
          <w:p>
            <w:pPr>
              <w:pStyle w:val="Compact"/>
              <w:jc w:val="left"/>
            </w:pPr>
            <w:r>
              <w:t xml:space="preserve">8.9 ± 5.9</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25.4 ± 0.3</w:t>
            </w:r>
          </w:p>
        </w:tc>
        <w:tc>
          <w:tcPr/>
          <w:p>
            <w:pPr>
              <w:pStyle w:val="Compact"/>
              <w:jc w:val="left"/>
            </w:pPr>
            <w:r>
              <w:t xml:space="preserve">10.9 ± 0.2</w:t>
            </w:r>
          </w:p>
        </w:tc>
        <w:tc>
          <w:tcPr/>
          <w:p>
            <w:pPr>
              <w:pStyle w:val="Compact"/>
              <w:jc w:val="left"/>
            </w:pPr>
            <w:r>
              <w:t xml:space="preserve">7.3 ± 3.2</w:t>
            </w:r>
          </w:p>
        </w:tc>
        <w:tc>
          <w:tcPr/>
          <w:p>
            <w:pPr>
              <w:pStyle w:val="Compact"/>
              <w:jc w:val="left"/>
            </w:pPr>
            <w:r>
              <w:t xml:space="preserve">11.7 ± 7.9</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rPr>
                <w:bCs/>
                <w:b/>
              </w:rPr>
              <w:t xml:space="preserve">57.6 ± 0.5</w:t>
            </w:r>
          </w:p>
        </w:tc>
        <w:tc>
          <w:tcPr/>
          <w:p>
            <w:pPr>
              <w:pStyle w:val="Compact"/>
              <w:jc w:val="left"/>
            </w:pPr>
            <w:r>
              <w:t xml:space="preserve">10.7 ± 4.1</w:t>
            </w:r>
          </w:p>
        </w:tc>
        <w:tc>
          <w:tcPr/>
          <w:p>
            <w:pPr>
              <w:pStyle w:val="Compact"/>
              <w:jc w:val="left"/>
            </w:pPr>
            <w:r>
              <w:t xml:space="preserve">6.0 ± 4.7</w:t>
            </w:r>
          </w:p>
        </w:tc>
        <w:tc>
          <w:tcPr/>
          <w:p>
            <w:pPr>
              <w:pStyle w:val="Compact"/>
              <w:jc w:val="left"/>
            </w:pPr>
            <w:r>
              <w:t xml:space="preserve">7.5 ± 5.3</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30.4 ± 10.9</w:t>
            </w:r>
          </w:p>
        </w:tc>
        <w:tc>
          <w:tcPr/>
          <w:p>
            <w:pPr>
              <w:pStyle w:val="Compact"/>
              <w:jc w:val="left"/>
            </w:pPr>
            <w:r>
              <w:t xml:space="preserve">21.0 ± 4.1</w:t>
            </w:r>
          </w:p>
        </w:tc>
        <w:tc>
          <w:tcPr/>
          <w:p>
            <w:pPr>
              <w:pStyle w:val="Compact"/>
              <w:jc w:val="left"/>
            </w:pPr>
            <w:r>
              <w:t xml:space="preserve">7.1 ± 1.5</w:t>
            </w:r>
          </w:p>
        </w:tc>
        <w:tc>
          <w:tcPr/>
          <w:p>
            <w:pPr>
              <w:pStyle w:val="Compact"/>
              <w:jc w:val="left"/>
            </w:pPr>
            <w:r>
              <w:rPr>
                <w:bCs/>
                <w:b/>
              </w:rPr>
              <w:t xml:space="preserve">12.3 ± 9.3</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25.7 ± 0.3</w:t>
            </w:r>
          </w:p>
        </w:tc>
        <w:tc>
          <w:tcPr/>
          <w:p>
            <w:pPr>
              <w:pStyle w:val="Compact"/>
              <w:jc w:val="left"/>
            </w:pPr>
            <w:r>
              <w:t xml:space="preserve">12.2 ± 1.4</w:t>
            </w:r>
          </w:p>
        </w:tc>
        <w:tc>
          <w:tcPr/>
          <w:p>
            <w:pPr>
              <w:pStyle w:val="Compact"/>
              <w:jc w:val="left"/>
            </w:pPr>
            <w:r>
              <w:t xml:space="preserve">7.8 ± 5.6</w:t>
            </w:r>
          </w:p>
        </w:tc>
        <w:tc>
          <w:tcPr/>
          <w:p>
            <w:pPr>
              <w:pStyle w:val="Compact"/>
              <w:jc w:val="left"/>
            </w:pPr>
            <w:r>
              <w:t xml:space="preserve">10.9 ± 6.5</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25.4 ± 0.2</w:t>
            </w:r>
          </w:p>
        </w:tc>
        <w:tc>
          <w:tcPr/>
          <w:p>
            <w:pPr>
              <w:pStyle w:val="Compact"/>
              <w:jc w:val="left"/>
            </w:pPr>
            <w:r>
              <w:t xml:space="preserve">12.4 ± 2.0</w:t>
            </w:r>
          </w:p>
        </w:tc>
        <w:tc>
          <w:tcPr/>
          <w:p>
            <w:pPr>
              <w:pStyle w:val="Compact"/>
              <w:jc w:val="left"/>
            </w:pPr>
            <w:r>
              <w:t xml:space="preserve">7.0 ± 4.8</w:t>
            </w:r>
          </w:p>
        </w:tc>
        <w:tc>
          <w:tcPr/>
          <w:p>
            <w:pPr>
              <w:pStyle w:val="Compact"/>
              <w:jc w:val="left"/>
            </w:pPr>
            <w:r>
              <w:t xml:space="preserve">10.9 ± 5.8</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26.1 ± 0.6</w:t>
            </w:r>
          </w:p>
        </w:tc>
        <w:tc>
          <w:tcPr/>
          <w:p>
            <w:pPr>
              <w:pStyle w:val="Compact"/>
              <w:jc w:val="left"/>
            </w:pPr>
            <w:r>
              <w:t xml:space="preserve">12.4 ± 1.4</w:t>
            </w:r>
          </w:p>
        </w:tc>
        <w:tc>
          <w:tcPr/>
          <w:p>
            <w:pPr>
              <w:pStyle w:val="Compact"/>
              <w:jc w:val="left"/>
            </w:pPr>
            <w:r>
              <w:t xml:space="preserve">5.0 ± 3.4</w:t>
            </w:r>
          </w:p>
        </w:tc>
        <w:tc>
          <w:tcPr/>
          <w:p>
            <w:pPr>
              <w:pStyle w:val="Compact"/>
              <w:jc w:val="left"/>
            </w:pPr>
            <w:r>
              <w:t xml:space="preserve">11.2 ± 7.5</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55.5 ± 3.0</w:t>
            </w:r>
          </w:p>
        </w:tc>
        <w:tc>
          <w:tcPr/>
          <w:p>
            <w:pPr>
              <w:pStyle w:val="Compact"/>
              <w:jc w:val="left"/>
            </w:pPr>
            <w:r>
              <w:t xml:space="preserve">15.9 ± 6.9</w:t>
            </w:r>
          </w:p>
        </w:tc>
        <w:tc>
          <w:tcPr/>
          <w:p>
            <w:pPr>
              <w:pStyle w:val="Compact"/>
              <w:jc w:val="left"/>
            </w:pPr>
            <w:r>
              <w:t xml:space="preserve">7.0 ± 5.0</w:t>
            </w:r>
          </w:p>
        </w:tc>
        <w:tc>
          <w:tcPr/>
          <w:p>
            <w:pPr>
              <w:pStyle w:val="Compact"/>
              <w:jc w:val="left"/>
            </w:pPr>
            <w:r>
              <w:t xml:space="preserve">11.3 ± 7.5</w:t>
            </w:r>
          </w:p>
        </w:tc>
      </w:tr>
    </w:tbl>
    <w:p>
      <w:pPr>
        <w:pStyle w:val="BodyText"/>
      </w:pPr>
      <w:r>
        <w:t xml:space="preserve">Table 9. Cold start, no injected drift, K = 5: AUROC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c>
          <w:tcPr/>
          <w:p>
            <w:pPr>
              <w:pStyle w:val="Compact"/>
              <w:jc w:val="left"/>
            </w:pPr>
            <w:r>
              <w:t xml:space="preserve">83.9 ± 0.3</w:t>
            </w:r>
          </w:p>
        </w:tc>
        <w:tc>
          <w:tcPr/>
          <w:p>
            <w:pPr>
              <w:pStyle w:val="Compact"/>
              <w:jc w:val="left"/>
            </w:pPr>
            <w:r>
              <w:rPr>
                <w:bCs/>
                <w:b/>
              </w:rPr>
              <w:t xml:space="preserve">73.6 ± 2.0</w:t>
            </w:r>
          </w:p>
        </w:tc>
        <w:tc>
          <w:tcPr/>
          <w:p>
            <w:pPr>
              <w:pStyle w:val="Compact"/>
              <w:jc w:val="left"/>
            </w:pPr>
            <w:r>
              <w:t xml:space="preserve">60.5 ± 3.7</w:t>
            </w:r>
          </w:p>
        </w:tc>
        <w:tc>
          <w:tcPr/>
          <w:p>
            <w:pPr>
              <w:pStyle w:val="Compact"/>
              <w:jc w:val="left"/>
            </w:pPr>
            <w:r>
              <w:t xml:space="preserve">59.6 ± 5.9</w:t>
            </w:r>
          </w:p>
        </w:tc>
      </w:tr>
      <w:tr>
        <w:tc>
          <w:tcPr/>
          <w:p>
            <w:pPr>
              <w:pStyle w:val="Compact"/>
              <w:jc w:val="left"/>
            </w:pPr>
            <w:r>
              <w:t xml:space="preserve">VAE-S</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c>
          <w:tcPr/>
          <w:p>
            <w:pPr>
              <w:pStyle w:val="Compact"/>
              <w:jc w:val="left"/>
            </w:pPr>
            <w:r>
              <w:t xml:space="preserve">86.3 ± 0.1</w:t>
            </w:r>
          </w:p>
        </w:tc>
        <w:tc>
          <w:tcPr/>
          <w:p>
            <w:pPr>
              <w:pStyle w:val="Compact"/>
              <w:jc w:val="left"/>
            </w:pPr>
            <w:r>
              <w:t xml:space="preserve">58.2 ± 1.3</w:t>
            </w:r>
          </w:p>
        </w:tc>
        <w:tc>
          <w:tcPr/>
          <w:p>
            <w:pPr>
              <w:pStyle w:val="Compact"/>
              <w:jc w:val="left"/>
            </w:pPr>
            <w:r>
              <w:t xml:space="preserve">59.3 ± 5.6</w:t>
            </w:r>
          </w:p>
        </w:tc>
        <w:tc>
          <w:tcPr/>
          <w:p>
            <w:pPr>
              <w:pStyle w:val="Compact"/>
              <w:jc w:val="left"/>
            </w:pPr>
            <w:r>
              <w:t xml:space="preserve">59.7 ± 6.2</w:t>
            </w:r>
          </w:p>
        </w:tc>
      </w:tr>
      <w:tr>
        <w:tc>
          <w:tcPr/>
          <w:p>
            <w:pPr>
              <w:pStyle w:val="Compact"/>
              <w:jc w:val="left"/>
            </w:pPr>
            <w:r>
              <w:t xml:space="preserve">VAE-FT</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c>
          <w:tcPr/>
          <w:p>
            <w:pPr>
              <w:pStyle w:val="Compact"/>
              <w:jc w:val="left"/>
            </w:pPr>
            <w:r>
              <w:t xml:space="preserve">86.1 ± 0.2</w:t>
            </w:r>
          </w:p>
        </w:tc>
        <w:tc>
          <w:tcPr/>
          <w:p>
            <w:pPr>
              <w:pStyle w:val="Compact"/>
              <w:jc w:val="left"/>
            </w:pPr>
            <w:r>
              <w:t xml:space="preserve">56.9 ± 1.7</w:t>
            </w:r>
          </w:p>
        </w:tc>
        <w:tc>
          <w:tcPr/>
          <w:p>
            <w:pPr>
              <w:pStyle w:val="Compact"/>
              <w:jc w:val="left"/>
            </w:pPr>
            <w:r>
              <w:t xml:space="preserve">60.4 ± 2.3</w:t>
            </w:r>
          </w:p>
        </w:tc>
        <w:tc>
          <w:tcPr/>
          <w:p>
            <w:pPr>
              <w:pStyle w:val="Compact"/>
              <w:jc w:val="left"/>
            </w:pPr>
            <w:r>
              <w:t xml:space="preserve">59.9 ± 7.4</w:t>
            </w:r>
          </w:p>
        </w:tc>
      </w:tr>
      <w:tr>
        <w:tc>
          <w:tcPr/>
          <w:p>
            <w:pPr>
              <w:pStyle w:val="Compact"/>
              <w:jc w:val="left"/>
            </w:pPr>
            <w:r>
              <w:t xml:space="preserve">VAE-INC</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c>
          <w:tcPr/>
          <w:p>
            <w:pPr>
              <w:pStyle w:val="Compact"/>
              <w:jc w:val="left"/>
            </w:pPr>
            <w:r>
              <w:rPr>
                <w:bCs/>
                <w:b/>
              </w:rPr>
              <w:t xml:space="preserve">89.1 ± 0.2</w:t>
            </w:r>
          </w:p>
        </w:tc>
        <w:tc>
          <w:tcPr/>
          <w:p>
            <w:pPr>
              <w:pStyle w:val="Compact"/>
              <w:jc w:val="left"/>
            </w:pPr>
            <w:r>
              <w:t xml:space="preserve">56.5 ± 9.2</w:t>
            </w:r>
          </w:p>
        </w:tc>
        <w:tc>
          <w:tcPr/>
          <w:p>
            <w:pPr>
              <w:pStyle w:val="Compact"/>
              <w:jc w:val="left"/>
            </w:pPr>
            <w:r>
              <w:t xml:space="preserve">57.6 ± 8.3</w:t>
            </w:r>
          </w:p>
        </w:tc>
        <w:tc>
          <w:tcPr/>
          <w:p>
            <w:pPr>
              <w:pStyle w:val="Compact"/>
              <w:jc w:val="left"/>
            </w:pPr>
            <w:r>
              <w:t xml:space="preserve">60.5 ± 7.3</w:t>
            </w:r>
          </w:p>
        </w:tc>
      </w:tr>
      <w:tr>
        <w:tc>
          <w:tcPr/>
          <w:p>
            <w:pPr>
              <w:pStyle w:val="Compact"/>
              <w:jc w:val="left"/>
            </w:pPr>
            <w:r>
              <w:t xml:space="preserve">VAE-DFT</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c>
          <w:tcPr/>
          <w:p>
            <w:pPr>
              <w:pStyle w:val="Compact"/>
              <w:jc w:val="left"/>
            </w:pPr>
            <w:r>
              <w:t xml:space="preserve">82.7 ± 6.2</w:t>
            </w:r>
          </w:p>
        </w:tc>
        <w:tc>
          <w:tcPr/>
          <w:p>
            <w:pPr>
              <w:pStyle w:val="Compact"/>
              <w:jc w:val="left"/>
            </w:pPr>
            <w:r>
              <w:t xml:space="preserve">62.4 ± 0.8</w:t>
            </w:r>
          </w:p>
        </w:tc>
        <w:tc>
          <w:tcPr/>
          <w:p>
            <w:pPr>
              <w:pStyle w:val="Compact"/>
              <w:jc w:val="left"/>
            </w:pPr>
            <w:r>
              <w:t xml:space="preserve">57.2 ± 6.2</w:t>
            </w:r>
          </w:p>
        </w:tc>
        <w:tc>
          <w:tcPr/>
          <w:p>
            <w:pPr>
              <w:pStyle w:val="Compact"/>
              <w:jc w:val="left"/>
            </w:pPr>
            <w:r>
              <w:rPr>
                <w:bCs/>
                <w:b/>
              </w:rPr>
              <w:t xml:space="preserve">61.8 ± 7.9</w:t>
            </w:r>
          </w:p>
        </w:tc>
      </w:tr>
      <w:tr>
        <w:tc>
          <w:tcPr/>
          <w:p>
            <w:pPr>
              <w:pStyle w:val="Compact"/>
              <w:jc w:val="left"/>
            </w:pPr>
            <w:r>
              <w:t xml:space="preserve">MAML-1</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c>
          <w:tcPr/>
          <w:p>
            <w:pPr>
              <w:pStyle w:val="Compact"/>
              <w:jc w:val="left"/>
            </w:pPr>
            <w:r>
              <w:t xml:space="preserve">85.7 ± 0.3</w:t>
            </w:r>
          </w:p>
        </w:tc>
        <w:tc>
          <w:tcPr/>
          <w:p>
            <w:pPr>
              <w:pStyle w:val="Compact"/>
              <w:jc w:val="left"/>
            </w:pPr>
            <w:r>
              <w:t xml:space="preserve">59.4 ± 0.4</w:t>
            </w:r>
          </w:p>
        </w:tc>
        <w:tc>
          <w:tcPr/>
          <w:p>
            <w:pPr>
              <w:pStyle w:val="Compact"/>
              <w:jc w:val="left"/>
            </w:pPr>
            <w:r>
              <w:t xml:space="preserve">59.0 ± 6.5</w:t>
            </w:r>
          </w:p>
        </w:tc>
        <w:tc>
          <w:tcPr/>
          <w:p>
            <w:pPr>
              <w:pStyle w:val="Compact"/>
              <w:jc w:val="left"/>
            </w:pPr>
            <w:r>
              <w:t xml:space="preserve">59.9 ± 6.5</w:t>
            </w:r>
          </w:p>
        </w:tc>
      </w:tr>
      <w:tr>
        <w:tc>
          <w:tcPr/>
          <w:p>
            <w:pPr>
              <w:pStyle w:val="Compact"/>
              <w:jc w:val="left"/>
            </w:pPr>
            <w:r>
              <w:t xml:space="preserve">MSGD-1</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c>
          <w:tcPr/>
          <w:p>
            <w:pPr>
              <w:pStyle w:val="Compact"/>
              <w:jc w:val="left"/>
            </w:pPr>
            <w:r>
              <w:t xml:space="preserve">85.5 ± 0.2</w:t>
            </w:r>
          </w:p>
        </w:tc>
        <w:tc>
          <w:tcPr/>
          <w:p>
            <w:pPr>
              <w:pStyle w:val="Compact"/>
              <w:jc w:val="left"/>
            </w:pPr>
            <w:r>
              <w:t xml:space="preserve">58.8 ± 0.4</w:t>
            </w:r>
          </w:p>
        </w:tc>
        <w:tc>
          <w:tcPr/>
          <w:p>
            <w:pPr>
              <w:pStyle w:val="Compact"/>
              <w:jc w:val="left"/>
            </w:pPr>
            <w:r>
              <w:rPr>
                <w:bCs/>
                <w:b/>
              </w:rPr>
              <w:t xml:space="preserve">60.5 ± 5.8</w:t>
            </w:r>
          </w:p>
        </w:tc>
        <w:tc>
          <w:tcPr/>
          <w:p>
            <w:pPr>
              <w:pStyle w:val="Compact"/>
              <w:jc w:val="left"/>
            </w:pPr>
            <w:r>
              <w:t xml:space="preserve">60.0 ± 6.6</w:t>
            </w:r>
          </w:p>
        </w:tc>
      </w:tr>
      <w:tr>
        <w:tc>
          <w:tcPr/>
          <w:p>
            <w:pPr>
              <w:pStyle w:val="Compact"/>
              <w:jc w:val="left"/>
            </w:pPr>
            <w:r>
              <w:t xml:space="preserve">OML-A</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c>
          <w:tcPr/>
          <w:p>
            <w:pPr>
              <w:pStyle w:val="Compact"/>
              <w:jc w:val="left"/>
            </w:pPr>
            <w:r>
              <w:t xml:space="preserve">85.0 ± 0.6</w:t>
            </w:r>
          </w:p>
        </w:tc>
        <w:tc>
          <w:tcPr/>
          <w:p>
            <w:pPr>
              <w:pStyle w:val="Compact"/>
              <w:jc w:val="left"/>
            </w:pPr>
            <w:r>
              <w:t xml:space="preserve">59.7 ± 0.4</w:t>
            </w:r>
          </w:p>
        </w:tc>
        <w:tc>
          <w:tcPr/>
          <w:p>
            <w:pPr>
              <w:pStyle w:val="Compact"/>
              <w:jc w:val="left"/>
            </w:pPr>
            <w:r>
              <w:t xml:space="preserve">59.7 ± 6.0</w:t>
            </w:r>
          </w:p>
        </w:tc>
        <w:tc>
          <w:tcPr/>
          <w:p>
            <w:pPr>
              <w:pStyle w:val="Compact"/>
              <w:jc w:val="left"/>
            </w:pPr>
            <w:r>
              <w:t xml:space="preserve">60.8 ± 6.9</w:t>
            </w:r>
          </w:p>
        </w:tc>
      </w:tr>
      <w:tr>
        <w:tc>
          <w:tcPr/>
          <w:p>
            <w:pPr>
              <w:pStyle w:val="Compact"/>
              <w:jc w:val="left"/>
            </w:pPr>
            <w:r>
              <w:t xml:space="preserve">DAMAD</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c>
          <w:tcPr/>
          <w:p>
            <w:pPr>
              <w:pStyle w:val="Compact"/>
              <w:jc w:val="left"/>
            </w:pPr>
            <w:r>
              <w:t xml:space="preserve">86.8 ± 1.1</w:t>
            </w:r>
          </w:p>
        </w:tc>
        <w:tc>
          <w:tcPr/>
          <w:p>
            <w:pPr>
              <w:pStyle w:val="Compact"/>
              <w:jc w:val="left"/>
            </w:pPr>
            <w:r>
              <w:t xml:space="preserve">59.1 ± 1.4</w:t>
            </w:r>
          </w:p>
        </w:tc>
        <w:tc>
          <w:tcPr/>
          <w:p>
            <w:pPr>
              <w:pStyle w:val="Compact"/>
              <w:jc w:val="left"/>
            </w:pPr>
            <w:r>
              <w:t xml:space="preserve">58.1 ± 7.4</w:t>
            </w:r>
          </w:p>
        </w:tc>
        <w:tc>
          <w:tcPr/>
          <w:p>
            <w:pPr>
              <w:pStyle w:val="Compact"/>
              <w:jc w:val="left"/>
            </w:pPr>
            <w:r>
              <w:t xml:space="preserve">61.0 ± 6.8</w:t>
            </w:r>
          </w:p>
        </w:tc>
      </w:tr>
    </w:tbl>
    <w:p>
      <w:pPr>
        <w:pStyle w:val="BodyText"/>
      </w:pPr>
      <w:r>
        <w:t xml:space="preserve">The datasets fall into two groups. On SKAB, SMD, PSM and HAI the static VAE is as good as anything else and better than the meta-learned detectors on PSM and HAI. The meta-learned initialisation adapted once (MAML-1, MSGD-1) does not beat it on any of them;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w:t>
      </w:r>
    </w:p>
    <w:p>
      <w:pPr>
        <w:pStyle w:val="BodyText"/>
      </w:pPr>
      <w:r>
        <w:t xml:space="preserve">SWaT and WADI are the other group, and they are the datasets this paper is about. Their attack recordings were made days after their normal recordings, at different operating points, so the test stream</w:t>
      </w:r>
      <w:r>
        <w:t xml:space="preserve"> </w:t>
      </w:r>
      <w:r>
        <w:rPr>
          <w:iCs/>
          <w:i/>
        </w:rPr>
        <w:t xml:space="preserve">is</w:t>
      </w:r>
      <w:r>
        <w:t xml:space="preserve"> </w:t>
      </w:r>
      <w:r>
        <w:t xml:space="preserve">a drifted stream even before anything is injected. On the original SWaT stream the static VAE, both adapt-once meta-learners and the fine-tuned VAE alarm on 72–74 % of normal steps; on WADI on 49–57 %. Every one of them scores F1 ≈ 25 on SWaT and ≈ 11–12 on WADI, which is what alarming on most of the stream scores at those anomaly rates. DAMAD confirms 5.4 regime changes per SWaT run and 2.2 per WADI run on the original streams, brings the false-alarm rate down to 4.0 % and 6.4 %, and reaches F1 55.5 on SWaT (AUROC 86.8 %) against 25.5 for the static VAE, and 15.9 on WADI against 11.1. The incrementally updated VAE also copes with SWaT’s shift (57.6, false-alarm rate 12 %) because the shift is slow enough for one gradient step every five windows to follow, but it does not cope with WADI’s (10.7, 32 %). Isolation Forest, which has no threshold tied to a reconstruction model, is the best method on WADI (27.1) and second on SWaT; its advantage is that its score distribution moves less than a reconstruction residual does when the operating point changes.</w:t>
      </w:r>
    </w:p>
    <w:p>
      <w:pPr>
        <w:pStyle w:val="BodyText"/>
      </w:pPr>
      <w:r>
        <w:t xml:space="preserve">SMAP and MSL are a third case, and a caution. Every method, including Isolation Forest, is weak on them: AUROC 57–62 %, point-wise F1 3–12 %, oracle-threshold F1 25–33 %. The telemetry channels of these datasets are one physical value plus 24 or 54 binary command flags, and a reconstruction model on eight-step windows of that input is not a good detector for them; the methods that do well on SMAP/MSL in the literature are sequence predictors with long context</w:t>
      </w:r>
      <w:r>
        <w:t xml:space="preserve"> </w:t>
      </w:r>
      <w:hyperlink w:anchor="ref-hundman2018smap">
        <w:r>
          <w:rPr>
            <w:rStyle w:val="Hyperlink"/>
          </w:rPr>
          <w:t xml:space="preserve">[32]</w:t>
        </w:r>
      </w:hyperlink>
      <w:r>
        <w:t xml:space="preserve">. We keep the two datasets because the drift behaviour of the methods is still informative there, but we do not read the absolute F1 numbers on them as meaning much.</w:t>
      </w:r>
    </w:p>
    <w:p>
      <w:pPr>
        <w:pStyle w:val="BodyText"/>
      </w:pPr>
      <w:r>
        <w:t xml:space="preserve">Table 10 shows F1 against the number of support windows, and Figure 3 plots it. The lines are flat: on no dataset does going from one to ten support windows move any adapt-once method by more than two points, and on SKAB, PSM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 DAMAD is the only line that moves with K on SWaT and WADI (55 → 59 and 15 → 18), and that movement comes from its later adaptations, not the first one.</w:t>
      </w:r>
    </w:p>
    <w:p>
      <w:pPr>
        <w:pStyle w:val="BodyText"/>
      </w:pPr>
      <w:r>
        <w:t xml:space="preserve">Table 10. F1 (%) at K = 1 / 5 / 10 support windows on the original test streams.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VAE-S</w:t>
            </w:r>
          </w:p>
        </w:tc>
        <w:tc>
          <w:tcPr/>
          <w:p>
            <w:pPr>
              <w:pStyle w:val="Compact"/>
              <w:jc w:val="left"/>
            </w:pPr>
            <w:r>
              <w:t xml:space="preserve">64 / 64 / 64</w:t>
            </w:r>
          </w:p>
        </w:tc>
        <w:tc>
          <w:tcPr/>
          <w:p>
            <w:pPr>
              <w:pStyle w:val="Compact"/>
              <w:jc w:val="left"/>
            </w:pPr>
            <w:r>
              <w:t xml:space="preserve">29 / 29 / 29</w:t>
            </w:r>
          </w:p>
        </w:tc>
        <w:tc>
          <w:tcPr/>
          <w:p>
            <w:pPr>
              <w:pStyle w:val="Compact"/>
              <w:jc w:val="left"/>
            </w:pPr>
            <w:r>
              <w:t xml:space="preserve">59 / 59 / 59</w:t>
            </w:r>
          </w:p>
        </w:tc>
        <w:tc>
          <w:tcPr/>
          <w:p>
            <w:pPr>
              <w:pStyle w:val="Compact"/>
              <w:jc w:val="left"/>
            </w:pPr>
            <w:r>
              <w:t xml:space="preserve">33 / 33 / 33</w:t>
            </w:r>
          </w:p>
        </w:tc>
        <w:tc>
          <w:tcPr/>
          <w:p>
            <w:pPr>
              <w:pStyle w:val="Compact"/>
              <w:jc w:val="left"/>
            </w:pPr>
            <w:r>
              <w:t xml:space="preserve">25 / 25 / 26</w:t>
            </w:r>
          </w:p>
        </w:tc>
        <w:tc>
          <w:tcPr/>
          <w:p>
            <w:pPr>
              <w:pStyle w:val="Compact"/>
              <w:jc w:val="left"/>
            </w:pPr>
            <w:r>
              <w:t xml:space="preserve">11 / 11 / 11</w:t>
            </w:r>
          </w:p>
        </w:tc>
        <w:tc>
          <w:tcPr/>
          <w:p>
            <w:pPr>
              <w:pStyle w:val="Compact"/>
              <w:jc w:val="left"/>
            </w:pPr>
            <w:r>
              <w:t xml:space="preserve">10 / 10 / 10</w:t>
            </w:r>
          </w:p>
        </w:tc>
        <w:tc>
          <w:tcPr/>
          <w:p>
            <w:pPr>
              <w:pStyle w:val="Compact"/>
              <w:jc w:val="left"/>
            </w:pPr>
            <w:r>
              <w:t xml:space="preserve">7 / 9 / 9</w:t>
            </w:r>
          </w:p>
        </w:tc>
      </w:tr>
      <w:tr>
        <w:tc>
          <w:tcPr/>
          <w:p>
            <w:pPr>
              <w:pStyle w:val="Compact"/>
              <w:jc w:val="left"/>
            </w:pPr>
            <w:r>
              <w:t xml:space="preserve">VAE-FT</w:t>
            </w:r>
          </w:p>
        </w:tc>
        <w:tc>
          <w:tcPr/>
          <w:p>
            <w:pPr>
              <w:pStyle w:val="Compact"/>
              <w:jc w:val="left"/>
            </w:pPr>
            <w:r>
              <w:t xml:space="preserve">67 / 66 / 64</w:t>
            </w:r>
          </w:p>
        </w:tc>
        <w:tc>
          <w:tcPr/>
          <w:p>
            <w:pPr>
              <w:pStyle w:val="Compact"/>
              <w:jc w:val="left"/>
            </w:pPr>
            <w:r>
              <w:t xml:space="preserve">28 / 29 / 28</w:t>
            </w:r>
          </w:p>
        </w:tc>
        <w:tc>
          <w:tcPr/>
          <w:p>
            <w:pPr>
              <w:pStyle w:val="Compact"/>
              <w:jc w:val="left"/>
            </w:pPr>
            <w:r>
              <w:t xml:space="preserve">52 / 52 / 52</w:t>
            </w:r>
          </w:p>
        </w:tc>
        <w:tc>
          <w:tcPr/>
          <w:p>
            <w:pPr>
              <w:pStyle w:val="Compact"/>
              <w:jc w:val="left"/>
            </w:pPr>
            <w:r>
              <w:t xml:space="preserve">34 / 32 / 31</w:t>
            </w:r>
          </w:p>
        </w:tc>
        <w:tc>
          <w:tcPr/>
          <w:p>
            <w:pPr>
              <w:pStyle w:val="Compact"/>
              <w:jc w:val="left"/>
            </w:pPr>
            <w:r>
              <w:t xml:space="preserve">26 / 25 / 26</w:t>
            </w:r>
          </w:p>
        </w:tc>
        <w:tc>
          <w:tcPr/>
          <w:p>
            <w:pPr>
              <w:pStyle w:val="Compact"/>
              <w:jc w:val="left"/>
            </w:pPr>
            <w:r>
              <w:t xml:space="preserve">11 / 11 / 11</w:t>
            </w:r>
          </w:p>
        </w:tc>
        <w:tc>
          <w:tcPr/>
          <w:p>
            <w:pPr>
              <w:pStyle w:val="Compact"/>
              <w:jc w:val="left"/>
            </w:pPr>
            <w:r>
              <w:t xml:space="preserve">6 / 7 / 7</w:t>
            </w:r>
          </w:p>
        </w:tc>
        <w:tc>
          <w:tcPr/>
          <w:p>
            <w:pPr>
              <w:pStyle w:val="Compact"/>
              <w:jc w:val="left"/>
            </w:pPr>
            <w:r>
              <w:t xml:space="preserve">9 / 12 / 12</w:t>
            </w:r>
          </w:p>
        </w:tc>
      </w:tr>
      <w:tr>
        <w:tc>
          <w:tcPr/>
          <w:p>
            <w:pPr>
              <w:pStyle w:val="Compact"/>
              <w:jc w:val="left"/>
            </w:pPr>
            <w:r>
              <w:t xml:space="preserve">MAML-1</w:t>
            </w:r>
          </w:p>
        </w:tc>
        <w:tc>
          <w:tcPr/>
          <w:p>
            <w:pPr>
              <w:pStyle w:val="Compact"/>
              <w:jc w:val="left"/>
            </w:pPr>
            <w:r>
              <w:t xml:space="preserve">64 / 64 / 63</w:t>
            </w:r>
          </w:p>
        </w:tc>
        <w:tc>
          <w:tcPr/>
          <w:p>
            <w:pPr>
              <w:pStyle w:val="Compact"/>
              <w:jc w:val="left"/>
            </w:pPr>
            <w:r>
              <w:t xml:space="preserve">26 / 26 / 26</w:t>
            </w:r>
          </w:p>
        </w:tc>
        <w:tc>
          <w:tcPr/>
          <w:p>
            <w:pPr>
              <w:pStyle w:val="Compact"/>
              <w:jc w:val="left"/>
            </w:pPr>
            <w:r>
              <w:t xml:space="preserve">53 / 53 / 52</w:t>
            </w:r>
          </w:p>
        </w:tc>
        <w:tc>
          <w:tcPr/>
          <w:p>
            <w:pPr>
              <w:pStyle w:val="Compact"/>
              <w:jc w:val="left"/>
            </w:pPr>
            <w:r>
              <w:t xml:space="preserve">22 / 22 / 21</w:t>
            </w:r>
          </w:p>
        </w:tc>
        <w:tc>
          <w:tcPr/>
          <w:p>
            <w:pPr>
              <w:pStyle w:val="Compact"/>
              <w:jc w:val="left"/>
            </w:pPr>
            <w:r>
              <w:t xml:space="preserve">26 / 26 / 26</w:t>
            </w:r>
          </w:p>
        </w:tc>
        <w:tc>
          <w:tcPr/>
          <w:p>
            <w:pPr>
              <w:pStyle w:val="Compact"/>
              <w:jc w:val="left"/>
            </w:pPr>
            <w:r>
              <w:t xml:space="preserve">12 / 12 / 12</w:t>
            </w:r>
          </w:p>
        </w:tc>
        <w:tc>
          <w:tcPr/>
          <w:p>
            <w:pPr>
              <w:pStyle w:val="Compact"/>
              <w:jc w:val="left"/>
            </w:pPr>
            <w:r>
              <w:t xml:space="preserve">8 / 8 / 8</w:t>
            </w:r>
          </w:p>
        </w:tc>
        <w:tc>
          <w:tcPr/>
          <w:p>
            <w:pPr>
              <w:pStyle w:val="Compact"/>
              <w:jc w:val="left"/>
            </w:pPr>
            <w:r>
              <w:t xml:space="preserve">9 / 11 / 11</w:t>
            </w:r>
          </w:p>
        </w:tc>
      </w:tr>
      <w:tr>
        <w:tc>
          <w:tcPr/>
          <w:p>
            <w:pPr>
              <w:pStyle w:val="Compact"/>
              <w:jc w:val="left"/>
            </w:pPr>
            <w:r>
              <w:t xml:space="preserve">MSGD-1</w:t>
            </w:r>
          </w:p>
        </w:tc>
        <w:tc>
          <w:tcPr/>
          <w:p>
            <w:pPr>
              <w:pStyle w:val="Compact"/>
              <w:jc w:val="left"/>
            </w:pPr>
            <w:r>
              <w:t xml:space="preserve">64 / 64 / 63</w:t>
            </w:r>
          </w:p>
        </w:tc>
        <w:tc>
          <w:tcPr/>
          <w:p>
            <w:pPr>
              <w:pStyle w:val="Compact"/>
              <w:jc w:val="left"/>
            </w:pPr>
            <w:r>
              <w:t xml:space="preserve">27 / 27 / 27</w:t>
            </w:r>
          </w:p>
        </w:tc>
        <w:tc>
          <w:tcPr/>
          <w:p>
            <w:pPr>
              <w:pStyle w:val="Compact"/>
              <w:jc w:val="left"/>
            </w:pPr>
            <w:r>
              <w:t xml:space="preserve">53 / 54 / 53</w:t>
            </w:r>
          </w:p>
        </w:tc>
        <w:tc>
          <w:tcPr/>
          <w:p>
            <w:pPr>
              <w:pStyle w:val="Compact"/>
              <w:jc w:val="left"/>
            </w:pPr>
            <w:r>
              <w:t xml:space="preserve">22 / 22 / 21</w:t>
            </w:r>
          </w:p>
        </w:tc>
        <w:tc>
          <w:tcPr/>
          <w:p>
            <w:pPr>
              <w:pStyle w:val="Compact"/>
              <w:jc w:val="left"/>
            </w:pPr>
            <w:r>
              <w:t xml:space="preserve">25 / 25 / 26</w:t>
            </w:r>
          </w:p>
        </w:tc>
        <w:tc>
          <w:tcPr/>
          <w:p>
            <w:pPr>
              <w:pStyle w:val="Compact"/>
              <w:jc w:val="left"/>
            </w:pPr>
            <w:r>
              <w:t xml:space="preserve">13 / 12 / 12</w:t>
            </w:r>
          </w:p>
        </w:tc>
        <w:tc>
          <w:tcPr/>
          <w:p>
            <w:pPr>
              <w:pStyle w:val="Compact"/>
              <w:jc w:val="left"/>
            </w:pPr>
            <w:r>
              <w:t xml:space="preserve">8 / 7 / 6</w:t>
            </w:r>
          </w:p>
        </w:tc>
        <w:tc>
          <w:tcPr/>
          <w:p>
            <w:pPr>
              <w:pStyle w:val="Compact"/>
              <w:jc w:val="left"/>
            </w:pPr>
            <w:r>
              <w:t xml:space="preserve">10 / 11 / 11</w:t>
            </w:r>
          </w:p>
        </w:tc>
      </w:tr>
      <w:tr>
        <w:tc>
          <w:tcPr/>
          <w:p>
            <w:pPr>
              <w:pStyle w:val="Compact"/>
              <w:jc w:val="left"/>
            </w:pPr>
            <w:r>
              <w:t xml:space="preserve">OML-A</w:t>
            </w:r>
          </w:p>
        </w:tc>
        <w:tc>
          <w:tcPr/>
          <w:p>
            <w:pPr>
              <w:pStyle w:val="Compact"/>
              <w:jc w:val="left"/>
            </w:pPr>
            <w:r>
              <w:t xml:space="preserve">63 / 63 / 62</w:t>
            </w:r>
          </w:p>
        </w:tc>
        <w:tc>
          <w:tcPr/>
          <w:p>
            <w:pPr>
              <w:pStyle w:val="Compact"/>
              <w:jc w:val="left"/>
            </w:pPr>
            <w:r>
              <w:t xml:space="preserve">27 / 27 / 27</w:t>
            </w:r>
          </w:p>
        </w:tc>
        <w:tc>
          <w:tcPr/>
          <w:p>
            <w:pPr>
              <w:pStyle w:val="Compact"/>
              <w:jc w:val="left"/>
            </w:pPr>
            <w:r>
              <w:t xml:space="preserve">53 / 53 / 51</w:t>
            </w:r>
          </w:p>
        </w:tc>
        <w:tc>
          <w:tcPr/>
          <w:p>
            <w:pPr>
              <w:pStyle w:val="Compact"/>
              <w:jc w:val="left"/>
            </w:pPr>
            <w:r>
              <w:t xml:space="preserve">24 / 23 / 24</w:t>
            </w:r>
          </w:p>
        </w:tc>
        <w:tc>
          <w:tcPr/>
          <w:p>
            <w:pPr>
              <w:pStyle w:val="Compact"/>
              <w:jc w:val="left"/>
            </w:pPr>
            <w:r>
              <w:t xml:space="preserve">26 / 26 / 27</w:t>
            </w:r>
          </w:p>
        </w:tc>
        <w:tc>
          <w:tcPr/>
          <w:p>
            <w:pPr>
              <w:pStyle w:val="Compact"/>
              <w:jc w:val="left"/>
            </w:pPr>
            <w:r>
              <w:t xml:space="preserve">13 / 12 / 15</w:t>
            </w:r>
          </w:p>
        </w:tc>
        <w:tc>
          <w:tcPr/>
          <w:p>
            <w:pPr>
              <w:pStyle w:val="Compact"/>
              <w:jc w:val="left"/>
            </w:pPr>
            <w:r>
              <w:t xml:space="preserve">4 / 5 / 5</w:t>
            </w:r>
          </w:p>
        </w:tc>
        <w:tc>
          <w:tcPr/>
          <w:p>
            <w:pPr>
              <w:pStyle w:val="Compact"/>
              <w:jc w:val="left"/>
            </w:pPr>
            <w:r>
              <w:t xml:space="preserve">10 / 11 / 11</w:t>
            </w:r>
          </w:p>
        </w:tc>
      </w:tr>
      <w:tr>
        <w:tc>
          <w:tcPr/>
          <w:p>
            <w:pPr>
              <w:pStyle w:val="Compact"/>
              <w:jc w:val="left"/>
            </w:pPr>
            <w:r>
              <w:t xml:space="preserve">DAMAD</w:t>
            </w:r>
          </w:p>
        </w:tc>
        <w:tc>
          <w:tcPr/>
          <w:p>
            <w:pPr>
              <w:pStyle w:val="Compact"/>
              <w:jc w:val="left"/>
            </w:pPr>
            <w:r>
              <w:t xml:space="preserve">55 / 55 / 55</w:t>
            </w:r>
          </w:p>
        </w:tc>
        <w:tc>
          <w:tcPr/>
          <w:p>
            <w:pPr>
              <w:pStyle w:val="Compact"/>
              <w:jc w:val="left"/>
            </w:pPr>
            <w:r>
              <w:t xml:space="preserve">30 / 29 / 29</w:t>
            </w:r>
          </w:p>
        </w:tc>
        <w:tc>
          <w:tcPr/>
          <w:p>
            <w:pPr>
              <w:pStyle w:val="Compact"/>
              <w:jc w:val="left"/>
            </w:pPr>
            <w:r>
              <w:t xml:space="preserve">33 / 47 / 46</w:t>
            </w:r>
          </w:p>
        </w:tc>
        <w:tc>
          <w:tcPr/>
          <w:p>
            <w:pPr>
              <w:pStyle w:val="Compact"/>
              <w:jc w:val="left"/>
            </w:pPr>
            <w:r>
              <w:t xml:space="preserve">26 / 26 / 25</w:t>
            </w:r>
          </w:p>
        </w:tc>
        <w:tc>
          <w:tcPr/>
          <w:p>
            <w:pPr>
              <w:pStyle w:val="Compact"/>
              <w:jc w:val="left"/>
            </w:pPr>
            <w:r>
              <w:t xml:space="preserve">55 / 55 / 59</w:t>
            </w:r>
          </w:p>
        </w:tc>
        <w:tc>
          <w:tcPr/>
          <w:p>
            <w:pPr>
              <w:pStyle w:val="Compact"/>
              <w:jc w:val="left"/>
            </w:pPr>
            <w:r>
              <w:t xml:space="preserve">15 / 16 / 18</w:t>
            </w:r>
          </w:p>
        </w:tc>
        <w:tc>
          <w:tcPr/>
          <w:p>
            <w:pPr>
              <w:pStyle w:val="Compact"/>
              <w:jc w:val="left"/>
            </w:pPr>
            <w:r>
              <w:t xml:space="preserve">4 / 7 / 4</w:t>
            </w:r>
          </w:p>
        </w:tc>
        <w:tc>
          <w:tcPr/>
          <w:p>
            <w:pPr>
              <w:pStyle w:val="Compact"/>
              <w:jc w:val="left"/>
            </w:pPr>
            <w:r>
              <w:t xml:space="preserve">10 / 11 / 11</w:t>
            </w:r>
          </w:p>
        </w:tc>
      </w:tr>
    </w:tbl>
    <w:p>
      <w:pPr>
        <w:pStyle w:val="CaptionedFigure"/>
      </w:pPr>
      <w:r>
        <w:drawing>
          <wp:inline>
            <wp:extent cx="5334000" cy="1298698"/>
            <wp:effectExtent b="0" l="0" r="0" t="0"/>
            <wp:docPr descr="Figure 3. F1 versus support-set size on the original streams.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1298698"/>
                    </a:xfrm>
                    <a:prstGeom prst="rect">
                      <a:avLst/>
                    </a:prstGeom>
                    <a:noFill/>
                    <a:ln w="9525">
                      <a:noFill/>
                      <a:headEnd/>
                      <a:tailEnd/>
                    </a:ln>
                  </pic:spPr>
                </pic:pic>
              </a:graphicData>
            </a:graphic>
          </wp:inline>
        </w:drawing>
      </w:r>
    </w:p>
    <w:p>
      <w:pPr>
        <w:pStyle w:val="ImageCaption"/>
      </w:pPr>
      <w:r>
        <w:t xml:space="preserve">Figure 3. F1 versus support-set size on the original streams. Error bars are standard deviations over seeds; the dashed line is the static VAE, which uses no support set.</w:t>
      </w:r>
    </w:p>
    <w:bookmarkEnd w:id="56"/>
    <w:bookmarkStart w:id="66" w:name="streaming-drift"/>
    <w:p>
      <w:pPr>
        <w:pStyle w:val="Heading2"/>
      </w:pPr>
      <w:r>
        <w:t xml:space="preserve">7.2 Streaming drift</w:t>
      </w:r>
    </w:p>
    <w:p>
      <w:pPr>
        <w:pStyle w:val="FirstParagraph"/>
      </w:pPr>
      <w:r>
        <w:t xml:space="preserve">Tables 11 to 13 report the drift conditions on the seven datasets that are long enough for them, with K = 5, pooled by condition and per dataset averaged over the four patterns; Figure 4 plots the pooled F1 and false-alarm rate. The false-alarm rate after the first change point (Table 12) is where the methods separate. Pooled over datasets, the static VAE alarms on 75–87 % of normal steps after a change; the meta-learned detectors adapted once do the same (73–83 %), and OML-A, which adapts on an MMD trigger but never moves its threshold, is barely better (72–81 %). On SWaT, WADI and PSM the whole static group is at 95–100 %. These detectors still see the anomalies. The trouble is that almost every normal step is also above the threshold set in the first regime, so the alarm stream no longer says anything. The incrementally updated VAE sits in the middle (44–82 %), and is the best method under incremental drift on four datasets, where a slow shift is exactly what one optimiser step every five windows can follow. The two drift-aware methods are the only ones that keep the rate low in every condition: 21–33 % for VAE-DFT and 17–30 % for DAMAD. Per dataset, DAMAD has the lowest rate on SMD, PSM, SWaT and WADI (11–27 %), VAE-DFT on SMAP and MSL, and the incremental VAE on HAI.</w:t>
      </w:r>
    </w:p>
    <w:p>
      <w:pPr>
        <w:pStyle w:val="BodyText"/>
      </w:pPr>
      <w:r>
        <w:t xml:space="preserve">Table 11. Point-wise F1 (%) under drift, K = 5. Left: pooled over the seven datasets by condition (</w:t>
      </w:r>
      <w:r>
        <w:t xml:space="preserve">“</w:t>
      </w:r>
      <w:r>
        <w:t xml:space="preserve">none</w:t>
      </w:r>
      <w:r>
        <w:t xml:space="preserve">”</w:t>
      </w:r>
      <w:r>
        <w:t xml:space="preserve"> </w:t>
      </w:r>
      <w:r>
        <w:t xml:space="preserve">is the original stream). Right: per dataset, averaged over the four drift patterns.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none</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23.5 ± 1.7</w:t>
            </w:r>
          </w:p>
        </w:tc>
        <w:tc>
          <w:tcPr/>
          <w:p>
            <w:pPr>
              <w:pStyle w:val="Compact"/>
              <w:jc w:val="left"/>
            </w:pPr>
            <w:r>
              <w:t xml:space="preserve">21.0 ± 1.7</w:t>
            </w:r>
          </w:p>
        </w:tc>
        <w:tc>
          <w:tcPr/>
          <w:p>
            <w:pPr>
              <w:pStyle w:val="Compact"/>
              <w:jc w:val="left"/>
            </w:pPr>
            <w:r>
              <w:t xml:space="preserve">21.5 ± 1.8</w:t>
            </w:r>
          </w:p>
        </w:tc>
        <w:tc>
          <w:tcPr/>
          <w:p>
            <w:pPr>
              <w:pStyle w:val="Compact"/>
              <w:jc w:val="left"/>
            </w:pPr>
            <w:r>
              <w:t xml:space="preserve">20.6 ± 1.5</w:t>
            </w:r>
          </w:p>
        </w:tc>
        <w:tc>
          <w:tcPr/>
          <w:p>
            <w:pPr>
              <w:pStyle w:val="Compact"/>
              <w:jc w:val="left"/>
            </w:pPr>
            <w:r>
              <w:t xml:space="preserve">20.4 ± 1.5</w:t>
            </w:r>
          </w:p>
        </w:tc>
        <w:tc>
          <w:tcPr/>
          <w:p>
            <w:pPr>
              <w:pStyle w:val="Compact"/>
              <w:jc w:val="left"/>
            </w:pPr>
            <w:r>
              <w:t xml:space="preserve">11.4 ± 4.2</w:t>
            </w:r>
          </w:p>
        </w:tc>
        <w:tc>
          <w:tcPr/>
          <w:p>
            <w:pPr>
              <w:pStyle w:val="Compact"/>
              <w:jc w:val="left"/>
            </w:pPr>
            <w:r>
              <w:t xml:space="preserve">39.4 ± 0.6</w:t>
            </w:r>
          </w:p>
        </w:tc>
        <w:tc>
          <w:tcPr/>
          <w:p>
            <w:pPr>
              <w:pStyle w:val="Compact"/>
              <w:jc w:val="left"/>
            </w:pPr>
            <w:r>
              <w:t xml:space="preserve">5.7 ± 0.5</w:t>
            </w:r>
          </w:p>
        </w:tc>
        <w:tc>
          <w:tcPr/>
          <w:p>
            <w:pPr>
              <w:pStyle w:val="Compact"/>
              <w:jc w:val="left"/>
            </w:pPr>
            <w:r>
              <w:t xml:space="preserve">36.3 ± 2.6</w:t>
            </w:r>
          </w:p>
        </w:tc>
        <w:tc>
          <w:tcPr/>
          <w:p>
            <w:pPr>
              <w:pStyle w:val="Compact"/>
              <w:jc w:val="left"/>
            </w:pPr>
            <w:r>
              <w:t xml:space="preserve">16.9 ± 2.1</w:t>
            </w:r>
          </w:p>
        </w:tc>
        <w:tc>
          <w:tcPr/>
          <w:p>
            <w:pPr>
              <w:pStyle w:val="Compact"/>
              <w:jc w:val="left"/>
            </w:pPr>
            <w:r>
              <w:t xml:space="preserve">11.6 ± 2.6</w:t>
            </w:r>
          </w:p>
        </w:tc>
        <w:tc>
          <w:tcPr/>
          <w:p>
            <w:pPr>
              <w:pStyle w:val="Compact"/>
              <w:jc w:val="left"/>
            </w:pPr>
            <w:r>
              <w:t xml:space="preserve">24.9 ± 8.8</w:t>
            </w:r>
          </w:p>
        </w:tc>
      </w:tr>
      <w:tr>
        <w:tc>
          <w:tcPr/>
          <w:p>
            <w:pPr>
              <w:pStyle w:val="Compact"/>
              <w:jc w:val="left"/>
            </w:pPr>
            <w:r>
              <w:t xml:space="preserve">VAE-S</w:t>
            </w:r>
          </w:p>
        </w:tc>
        <w:tc>
          <w:tcPr/>
          <w:p>
            <w:pPr>
              <w:pStyle w:val="Compact"/>
              <w:jc w:val="left"/>
            </w:pPr>
            <w:r>
              <w:t xml:space="preserve">25.3 ± 1.5</w:t>
            </w:r>
          </w:p>
        </w:tc>
        <w:tc>
          <w:tcPr/>
          <w:p>
            <w:pPr>
              <w:pStyle w:val="Compact"/>
              <w:jc w:val="left"/>
            </w:pPr>
            <w:r>
              <w:t xml:space="preserve">23.7 ± 1.9</w:t>
            </w:r>
          </w:p>
        </w:tc>
        <w:tc>
          <w:tcPr/>
          <w:p>
            <w:pPr>
              <w:pStyle w:val="Compact"/>
              <w:jc w:val="left"/>
            </w:pPr>
            <w:r>
              <w:t xml:space="preserve">22.9 ± 2.0</w:t>
            </w:r>
          </w:p>
        </w:tc>
        <w:tc>
          <w:tcPr/>
          <w:p>
            <w:pPr>
              <w:pStyle w:val="Compact"/>
              <w:jc w:val="left"/>
            </w:pPr>
            <w:r>
              <w:t xml:space="preserve">24.4 ± 2.3</w:t>
            </w:r>
          </w:p>
        </w:tc>
        <w:tc>
          <w:tcPr/>
          <w:p>
            <w:pPr>
              <w:pStyle w:val="Compact"/>
              <w:jc w:val="left"/>
            </w:pPr>
            <w:r>
              <w:t xml:space="preserve">22.2 ± 1.7</w:t>
            </w:r>
          </w:p>
        </w:tc>
        <w:tc>
          <w:tcPr/>
          <w:p>
            <w:pPr>
              <w:pStyle w:val="Compact"/>
              <w:jc w:val="left"/>
            </w:pPr>
            <w:r>
              <w:t xml:space="preserve">10.0 ± 3.7</w:t>
            </w:r>
          </w:p>
        </w:tc>
        <w:tc>
          <w:tcPr/>
          <w:p>
            <w:pPr>
              <w:pStyle w:val="Compact"/>
              <w:jc w:val="left"/>
            </w:pPr>
            <w:r>
              <w:t xml:space="preserve">46.0 ± 1.6</w:t>
            </w:r>
          </w:p>
        </w:tc>
        <w:tc>
          <w:tcPr/>
          <w:p>
            <w:pPr>
              <w:pStyle w:val="Compact"/>
              <w:jc w:val="left"/>
            </w:pPr>
            <w:r>
              <w:t xml:space="preserve">27.0 ± 1.5</w:t>
            </w:r>
          </w:p>
        </w:tc>
        <w:tc>
          <w:tcPr/>
          <w:p>
            <w:pPr>
              <w:pStyle w:val="Compact"/>
              <w:jc w:val="left"/>
            </w:pPr>
            <w:r>
              <w:t xml:space="preserve">25.5 ± 0.2</w:t>
            </w:r>
          </w:p>
        </w:tc>
        <w:tc>
          <w:tcPr/>
          <w:p>
            <w:pPr>
              <w:pStyle w:val="Compact"/>
              <w:jc w:val="left"/>
            </w:pPr>
            <w:r>
              <w:t xml:space="preserve">12.1 ± 0.1</w:t>
            </w:r>
          </w:p>
        </w:tc>
        <w:tc>
          <w:tcPr/>
          <w:p>
            <w:pPr>
              <w:pStyle w:val="Compact"/>
              <w:jc w:val="left"/>
            </w:pPr>
            <w:r>
              <w:rPr>
                <w:bCs/>
                <w:b/>
              </w:rPr>
              <w:t xml:space="preserve">17.3 ± 4.0</w:t>
            </w:r>
          </w:p>
        </w:tc>
        <w:tc>
          <w:tcPr/>
          <w:p>
            <w:pPr>
              <w:pStyle w:val="Compact"/>
              <w:jc w:val="left"/>
            </w:pPr>
            <w:r>
              <w:t xml:space="preserve">25.2 ± 8.7</w:t>
            </w:r>
          </w:p>
        </w:tc>
      </w:tr>
      <w:tr>
        <w:tc>
          <w:tcPr/>
          <w:p>
            <w:pPr>
              <w:pStyle w:val="Compact"/>
              <w:jc w:val="left"/>
            </w:pPr>
            <w:r>
              <w:t xml:space="preserve">VAE-FT</w:t>
            </w:r>
          </w:p>
        </w:tc>
        <w:tc>
          <w:tcPr/>
          <w:p>
            <w:pPr>
              <w:pStyle w:val="Compact"/>
              <w:jc w:val="left"/>
            </w:pPr>
            <w:r>
              <w:t xml:space="preserve">24.1 ± 1.3</w:t>
            </w:r>
          </w:p>
        </w:tc>
        <w:tc>
          <w:tcPr/>
          <w:p>
            <w:pPr>
              <w:pStyle w:val="Compact"/>
              <w:jc w:val="left"/>
            </w:pPr>
            <w:r>
              <w:t xml:space="preserve">23.1 ± 2.0</w:t>
            </w:r>
          </w:p>
        </w:tc>
        <w:tc>
          <w:tcPr/>
          <w:p>
            <w:pPr>
              <w:pStyle w:val="Compact"/>
              <w:jc w:val="left"/>
            </w:pPr>
            <w:r>
              <w:t xml:space="preserve">22.7 ± 2.0</w:t>
            </w:r>
          </w:p>
        </w:tc>
        <w:tc>
          <w:tcPr/>
          <w:p>
            <w:pPr>
              <w:pStyle w:val="Compact"/>
              <w:jc w:val="left"/>
            </w:pPr>
            <w:r>
              <w:t xml:space="preserve">24.4 ± 2.4</w:t>
            </w:r>
          </w:p>
        </w:tc>
        <w:tc>
          <w:tcPr/>
          <w:p>
            <w:pPr>
              <w:pStyle w:val="Compact"/>
              <w:jc w:val="left"/>
            </w:pPr>
            <w:r>
              <w:t xml:space="preserve">21.8 ± 1.7</w:t>
            </w:r>
          </w:p>
        </w:tc>
        <w:tc>
          <w:tcPr/>
          <w:p>
            <w:pPr>
              <w:pStyle w:val="Compact"/>
              <w:jc w:val="left"/>
            </w:pPr>
            <w:r>
              <w:t xml:space="preserve">10.6 ± 4.1</w:t>
            </w:r>
          </w:p>
        </w:tc>
        <w:tc>
          <w:tcPr/>
          <w:p>
            <w:pPr>
              <w:pStyle w:val="Compact"/>
              <w:jc w:val="left"/>
            </w:pPr>
            <w:r>
              <w:t xml:space="preserve">45.3 ± 1.3</w:t>
            </w:r>
          </w:p>
        </w:tc>
        <w:tc>
          <w:tcPr/>
          <w:p>
            <w:pPr>
              <w:pStyle w:val="Compact"/>
              <w:jc w:val="left"/>
            </w:pPr>
            <w:r>
              <w:t xml:space="preserve">25.7 ± 1.8</w:t>
            </w:r>
          </w:p>
        </w:tc>
        <w:tc>
          <w:tcPr/>
          <w:p>
            <w:pPr>
              <w:pStyle w:val="Compact"/>
              <w:jc w:val="left"/>
            </w:pPr>
            <w:r>
              <w:t xml:space="preserve">25.5 ± 0.4</w:t>
            </w:r>
          </w:p>
        </w:tc>
        <w:tc>
          <w:tcPr/>
          <w:p>
            <w:pPr>
              <w:pStyle w:val="Compact"/>
              <w:jc w:val="left"/>
            </w:pPr>
            <w:r>
              <w:t xml:space="preserve">12.1 ± 0.1</w:t>
            </w:r>
          </w:p>
        </w:tc>
        <w:tc>
          <w:tcPr/>
          <w:p>
            <w:pPr>
              <w:pStyle w:val="Compact"/>
              <w:jc w:val="left"/>
            </w:pPr>
            <w:r>
              <w:t xml:space="preserve">16.5 ± 3.8</w:t>
            </w:r>
          </w:p>
        </w:tc>
        <w:tc>
          <w:tcPr/>
          <w:p>
            <w:pPr>
              <w:pStyle w:val="Compact"/>
              <w:jc w:val="left"/>
            </w:pPr>
            <w:r>
              <w:t xml:space="preserve">25.3 ± 8.8</w:t>
            </w:r>
          </w:p>
        </w:tc>
      </w:tr>
      <w:tr>
        <w:tc>
          <w:tcPr/>
          <w:p>
            <w:pPr>
              <w:pStyle w:val="Compact"/>
              <w:jc w:val="left"/>
            </w:pPr>
            <w:r>
              <w:t xml:space="preserve">VAE-INC</w:t>
            </w:r>
          </w:p>
        </w:tc>
        <w:tc>
          <w:tcPr/>
          <w:p>
            <w:pPr>
              <w:pStyle w:val="Compact"/>
              <w:jc w:val="left"/>
            </w:pPr>
            <w:r>
              <w:t xml:space="preserve">26.4 ± 0.8</w:t>
            </w:r>
          </w:p>
        </w:tc>
        <w:tc>
          <w:tcPr/>
          <w:p>
            <w:pPr>
              <w:pStyle w:val="Compact"/>
              <w:jc w:val="left"/>
            </w:pPr>
            <w:r>
              <w:t xml:space="preserve">22.2 ± 1.5</w:t>
            </w:r>
          </w:p>
        </w:tc>
        <w:tc>
          <w:tcPr/>
          <w:p>
            <w:pPr>
              <w:pStyle w:val="Compact"/>
              <w:jc w:val="left"/>
            </w:pPr>
            <w:r>
              <w:t xml:space="preserve">23.1 ± 2.2</w:t>
            </w:r>
          </w:p>
        </w:tc>
        <w:tc>
          <w:tcPr/>
          <w:p>
            <w:pPr>
              <w:pStyle w:val="Compact"/>
              <w:jc w:val="left"/>
            </w:pPr>
            <w:r>
              <w:t xml:space="preserve">22.0 ± 1.9</w:t>
            </w:r>
          </w:p>
        </w:tc>
        <w:tc>
          <w:tcPr/>
          <w:p>
            <w:pPr>
              <w:pStyle w:val="Compact"/>
              <w:jc w:val="left"/>
            </w:pPr>
            <w:r>
              <w:t xml:space="preserve">22.1 ± 2.0</w:t>
            </w:r>
          </w:p>
        </w:tc>
        <w:tc>
          <w:tcPr/>
          <w:p>
            <w:pPr>
              <w:pStyle w:val="Compact"/>
              <w:jc w:val="left"/>
            </w:pPr>
            <w:r>
              <w:t xml:space="preserve">16.8 ± 4.2</w:t>
            </w:r>
          </w:p>
        </w:tc>
        <w:tc>
          <w:tcPr/>
          <w:p>
            <w:pPr>
              <w:pStyle w:val="Compact"/>
              <w:jc w:val="left"/>
            </w:pPr>
            <w:r>
              <w:t xml:space="preserve">38.8 ± 2.1</w:t>
            </w:r>
          </w:p>
        </w:tc>
        <w:tc>
          <w:tcPr/>
          <w:p>
            <w:pPr>
              <w:pStyle w:val="Compact"/>
              <w:jc w:val="left"/>
            </w:pPr>
            <w:r>
              <w:t xml:space="preserve">25.8 ± 2.9</w:t>
            </w:r>
          </w:p>
        </w:tc>
        <w:tc>
          <w:tcPr/>
          <w:p>
            <w:pPr>
              <w:pStyle w:val="Compact"/>
              <w:jc w:val="left"/>
            </w:pPr>
            <w:r>
              <w:t xml:space="preserve">29.5 ± 0.1</w:t>
            </w:r>
          </w:p>
        </w:tc>
        <w:tc>
          <w:tcPr/>
          <w:p>
            <w:pPr>
              <w:pStyle w:val="Compact"/>
              <w:jc w:val="left"/>
            </w:pPr>
            <w:r>
              <w:t xml:space="preserve">11.9 ± 0.0</w:t>
            </w:r>
          </w:p>
        </w:tc>
        <w:tc>
          <w:tcPr/>
          <w:p>
            <w:pPr>
              <w:pStyle w:val="Compact"/>
              <w:jc w:val="left"/>
            </w:pPr>
            <w:r>
              <w:t xml:space="preserve">12.4 ± 4.1</w:t>
            </w:r>
          </w:p>
        </w:tc>
        <w:tc>
          <w:tcPr/>
          <w:p>
            <w:pPr>
              <w:pStyle w:val="Compact"/>
              <w:jc w:val="left"/>
            </w:pPr>
            <w:r>
              <w:t xml:space="preserve">21.2 ± 8.5</w:t>
            </w:r>
          </w:p>
        </w:tc>
      </w:tr>
      <w:tr>
        <w:tc>
          <w:tcPr/>
          <w:p>
            <w:pPr>
              <w:pStyle w:val="Compact"/>
              <w:jc w:val="left"/>
            </w:pPr>
            <w:r>
              <w:t xml:space="preserve">VAE-DFT</w:t>
            </w:r>
          </w:p>
        </w:tc>
        <w:tc>
          <w:tcPr/>
          <w:p>
            <w:pPr>
              <w:pStyle w:val="Compact"/>
              <w:jc w:val="left"/>
            </w:pPr>
            <w:r>
              <w:t xml:space="preserve">25.1 ± 2.4</w:t>
            </w:r>
          </w:p>
        </w:tc>
        <w:tc>
          <w:tcPr/>
          <w:p>
            <w:pPr>
              <w:pStyle w:val="Compact"/>
              <w:jc w:val="left"/>
            </w:pPr>
            <w:r>
              <w:t xml:space="preserve">24.3 ± 4.5</w:t>
            </w:r>
          </w:p>
        </w:tc>
        <w:tc>
          <w:tcPr/>
          <w:p>
            <w:pPr>
              <w:pStyle w:val="Compact"/>
              <w:jc w:val="left"/>
            </w:pPr>
            <w:r>
              <w:t xml:space="preserve">23.8 ± 3.1</w:t>
            </w:r>
          </w:p>
        </w:tc>
        <w:tc>
          <w:tcPr/>
          <w:p>
            <w:pPr>
              <w:pStyle w:val="Compact"/>
              <w:jc w:val="left"/>
            </w:pPr>
            <w:r>
              <w:t xml:space="preserve">26.1 ± 1.7</w:t>
            </w:r>
          </w:p>
        </w:tc>
        <w:tc>
          <w:tcPr/>
          <w:p>
            <w:pPr>
              <w:pStyle w:val="Compact"/>
              <w:jc w:val="left"/>
            </w:pPr>
            <w:r>
              <w:t xml:space="preserve">24.1 ± 2.6</w:t>
            </w:r>
          </w:p>
        </w:tc>
        <w:tc>
          <w:tcPr/>
          <w:p>
            <w:pPr>
              <w:pStyle w:val="Compact"/>
              <w:jc w:val="left"/>
            </w:pPr>
            <w:r>
              <w:t xml:space="preserve">20.1 ± 5.0</w:t>
            </w:r>
          </w:p>
        </w:tc>
        <w:tc>
          <w:tcPr/>
          <w:p>
            <w:pPr>
              <w:pStyle w:val="Compact"/>
              <w:jc w:val="left"/>
            </w:pPr>
            <w:r>
              <w:t xml:space="preserve">40.6 ± 6.7</w:t>
            </w:r>
          </w:p>
        </w:tc>
        <w:tc>
          <w:tcPr/>
          <w:p>
            <w:pPr>
              <w:pStyle w:val="Compact"/>
              <w:jc w:val="left"/>
            </w:pPr>
            <w:r>
              <w:t xml:space="preserve">17.7 ± 2.3</w:t>
            </w:r>
          </w:p>
        </w:tc>
        <w:tc>
          <w:tcPr/>
          <w:p>
            <w:pPr>
              <w:pStyle w:val="Compact"/>
              <w:jc w:val="left"/>
            </w:pPr>
            <w:r>
              <w:t xml:space="preserve">39.9 ± 7.7</w:t>
            </w:r>
          </w:p>
        </w:tc>
        <w:tc>
          <w:tcPr/>
          <w:p>
            <w:pPr>
              <w:pStyle w:val="Compact"/>
              <w:jc w:val="left"/>
            </w:pPr>
            <w:r>
              <w:rPr>
                <w:bCs/>
                <w:b/>
              </w:rPr>
              <w:t xml:space="preserve">20.1 ± 1.1</w:t>
            </w:r>
          </w:p>
        </w:tc>
        <w:tc>
          <w:tcPr/>
          <w:p>
            <w:pPr>
              <w:pStyle w:val="Compact"/>
              <w:jc w:val="left"/>
            </w:pPr>
            <w:r>
              <w:t xml:space="preserve">12.4 ± 3.3</w:t>
            </w:r>
          </w:p>
        </w:tc>
        <w:tc>
          <w:tcPr/>
          <w:p>
            <w:pPr>
              <w:pStyle w:val="Compact"/>
              <w:jc w:val="left"/>
            </w:pPr>
            <w:r>
              <w:t xml:space="preserve">21.4 ± 6.0</w:t>
            </w:r>
          </w:p>
        </w:tc>
      </w:tr>
      <w:tr>
        <w:tc>
          <w:tcPr/>
          <w:p>
            <w:pPr>
              <w:pStyle w:val="Compact"/>
              <w:jc w:val="left"/>
            </w:pPr>
            <w:r>
              <w:t xml:space="preserve">MAML-1</w:t>
            </w:r>
          </w:p>
        </w:tc>
        <w:tc>
          <w:tcPr/>
          <w:p>
            <w:pPr>
              <w:pStyle w:val="Compact"/>
              <w:jc w:val="left"/>
            </w:pPr>
            <w:r>
              <w:t xml:space="preserve">22.4 ± 1.6</w:t>
            </w:r>
          </w:p>
        </w:tc>
        <w:tc>
          <w:tcPr/>
          <w:p>
            <w:pPr>
              <w:pStyle w:val="Compact"/>
              <w:jc w:val="left"/>
            </w:pPr>
            <w:r>
              <w:t xml:space="preserve">23.9 ± 2.0</w:t>
            </w:r>
          </w:p>
        </w:tc>
        <w:tc>
          <w:tcPr/>
          <w:p>
            <w:pPr>
              <w:pStyle w:val="Compact"/>
              <w:jc w:val="left"/>
            </w:pPr>
            <w:r>
              <w:t xml:space="preserve">23.8 ± 2.3</w:t>
            </w:r>
          </w:p>
        </w:tc>
        <w:tc>
          <w:tcPr/>
          <w:p>
            <w:pPr>
              <w:pStyle w:val="Compact"/>
              <w:jc w:val="left"/>
            </w:pPr>
            <w:r>
              <w:t xml:space="preserve">23.8 ± 2.2</w:t>
            </w:r>
          </w:p>
        </w:tc>
        <w:tc>
          <w:tcPr/>
          <w:p>
            <w:pPr>
              <w:pStyle w:val="Compact"/>
              <w:jc w:val="left"/>
            </w:pPr>
            <w:r>
              <w:t xml:space="preserve">22.7 ± 1.6</w:t>
            </w:r>
          </w:p>
        </w:tc>
        <w:tc>
          <w:tcPr/>
          <w:p>
            <w:pPr>
              <w:pStyle w:val="Compact"/>
              <w:jc w:val="left"/>
            </w:pPr>
            <w:r>
              <w:t xml:space="preserve">10.7 ± 4.1</w:t>
            </w:r>
          </w:p>
        </w:tc>
        <w:tc>
          <w:tcPr/>
          <w:p>
            <w:pPr>
              <w:pStyle w:val="Compact"/>
              <w:jc w:val="left"/>
            </w:pPr>
            <w:r>
              <w:t xml:space="preserve">47.8 ± 0.4</w:t>
            </w:r>
          </w:p>
        </w:tc>
        <w:tc>
          <w:tcPr/>
          <w:p>
            <w:pPr>
              <w:pStyle w:val="Compact"/>
              <w:jc w:val="left"/>
            </w:pPr>
            <w:r>
              <w:t xml:space="preserve">28.2 ± 3.1</w:t>
            </w:r>
          </w:p>
        </w:tc>
        <w:tc>
          <w:tcPr/>
          <w:p>
            <w:pPr>
              <w:pStyle w:val="Compact"/>
              <w:jc w:val="left"/>
            </w:pPr>
            <w:r>
              <w:t xml:space="preserve">25.5 ± 0.3</w:t>
            </w:r>
          </w:p>
        </w:tc>
        <w:tc>
          <w:tcPr/>
          <w:p>
            <w:pPr>
              <w:pStyle w:val="Compact"/>
              <w:jc w:val="left"/>
            </w:pPr>
            <w:r>
              <w:t xml:space="preserve">12.1 ± 0.1</w:t>
            </w:r>
          </w:p>
        </w:tc>
        <w:tc>
          <w:tcPr/>
          <w:p>
            <w:pPr>
              <w:pStyle w:val="Compact"/>
              <w:jc w:val="left"/>
            </w:pPr>
            <w:r>
              <w:t xml:space="preserve">15.2 ± 4.6</w:t>
            </w:r>
          </w:p>
        </w:tc>
        <w:tc>
          <w:tcPr/>
          <w:p>
            <w:pPr>
              <w:pStyle w:val="Compact"/>
              <w:jc w:val="left"/>
            </w:pPr>
            <w:r>
              <w:t xml:space="preserve">25.3 ± 8.8</w:t>
            </w:r>
          </w:p>
        </w:tc>
      </w:tr>
      <w:tr>
        <w:tc>
          <w:tcPr/>
          <w:p>
            <w:pPr>
              <w:pStyle w:val="Compact"/>
              <w:jc w:val="left"/>
            </w:pPr>
            <w:r>
              <w:t xml:space="preserve">MSGD-1</w:t>
            </w:r>
          </w:p>
        </w:tc>
        <w:tc>
          <w:tcPr/>
          <w:p>
            <w:pPr>
              <w:pStyle w:val="Compact"/>
              <w:jc w:val="left"/>
            </w:pPr>
            <w:r>
              <w:t xml:space="preserve">22.5 ± 1.4</w:t>
            </w:r>
          </w:p>
        </w:tc>
        <w:tc>
          <w:tcPr/>
          <w:p>
            <w:pPr>
              <w:pStyle w:val="Compact"/>
              <w:jc w:val="left"/>
            </w:pPr>
            <w:r>
              <w:t xml:space="preserve">23.3 ± 1.8</w:t>
            </w:r>
          </w:p>
        </w:tc>
        <w:tc>
          <w:tcPr/>
          <w:p>
            <w:pPr>
              <w:pStyle w:val="Compact"/>
              <w:jc w:val="left"/>
            </w:pPr>
            <w:r>
              <w:t xml:space="preserve">23.1 ± 2.7</w:t>
            </w:r>
          </w:p>
        </w:tc>
        <w:tc>
          <w:tcPr/>
          <w:p>
            <w:pPr>
              <w:pStyle w:val="Compact"/>
              <w:jc w:val="left"/>
            </w:pPr>
            <w:r>
              <w:t xml:space="preserve">23.7 ± 2.3</w:t>
            </w:r>
          </w:p>
        </w:tc>
        <w:tc>
          <w:tcPr/>
          <w:p>
            <w:pPr>
              <w:pStyle w:val="Compact"/>
              <w:jc w:val="left"/>
            </w:pPr>
            <w:r>
              <w:t xml:space="preserve">22.4 ± 1.8</w:t>
            </w:r>
          </w:p>
        </w:tc>
        <w:tc>
          <w:tcPr/>
          <w:p>
            <w:pPr>
              <w:pStyle w:val="Compact"/>
              <w:jc w:val="left"/>
            </w:pPr>
            <w:r>
              <w:t xml:space="preserve">11.3 ± 4.8</w:t>
            </w:r>
          </w:p>
        </w:tc>
        <w:tc>
          <w:tcPr/>
          <w:p>
            <w:pPr>
              <w:pStyle w:val="Compact"/>
              <w:jc w:val="left"/>
            </w:pPr>
            <w:r>
              <w:t xml:space="preserve">47.3 ± 0.5</w:t>
            </w:r>
          </w:p>
        </w:tc>
        <w:tc>
          <w:tcPr/>
          <w:p>
            <w:pPr>
              <w:pStyle w:val="Compact"/>
              <w:jc w:val="left"/>
            </w:pPr>
            <w:r>
              <w:t xml:space="preserve">25.1 ± 4.1</w:t>
            </w:r>
          </w:p>
        </w:tc>
        <w:tc>
          <w:tcPr/>
          <w:p>
            <w:pPr>
              <w:pStyle w:val="Compact"/>
              <w:jc w:val="left"/>
            </w:pPr>
            <w:r>
              <w:t xml:space="preserve">25.3 ± 0.1</w:t>
            </w:r>
          </w:p>
        </w:tc>
        <w:tc>
          <w:tcPr/>
          <w:p>
            <w:pPr>
              <w:pStyle w:val="Compact"/>
              <w:jc w:val="left"/>
            </w:pPr>
            <w:r>
              <w:t xml:space="preserve">12.2 ± 0.1</w:t>
            </w:r>
          </w:p>
        </w:tc>
        <w:tc>
          <w:tcPr/>
          <w:p>
            <w:pPr>
              <w:pStyle w:val="Compact"/>
              <w:jc w:val="left"/>
            </w:pPr>
            <w:r>
              <w:t xml:space="preserve">15.2 ± 4.7</w:t>
            </w:r>
          </w:p>
        </w:tc>
        <w:tc>
          <w:tcPr/>
          <w:p>
            <w:pPr>
              <w:pStyle w:val="Compact"/>
              <w:jc w:val="left"/>
            </w:pPr>
            <w:r>
              <w:t xml:space="preserve">25.4 ± 8.8</w:t>
            </w:r>
          </w:p>
        </w:tc>
      </w:tr>
      <w:tr>
        <w:tc>
          <w:tcPr/>
          <w:p>
            <w:pPr>
              <w:pStyle w:val="Compact"/>
              <w:jc w:val="left"/>
            </w:pPr>
            <w:r>
              <w:t xml:space="preserve">OML-A</w:t>
            </w:r>
          </w:p>
        </w:tc>
        <w:tc>
          <w:tcPr/>
          <w:p>
            <w:pPr>
              <w:pStyle w:val="Compact"/>
              <w:jc w:val="left"/>
            </w:pPr>
            <w:r>
              <w:t xml:space="preserve">22.5 ± 1.4</w:t>
            </w:r>
          </w:p>
        </w:tc>
        <w:tc>
          <w:tcPr/>
          <w:p>
            <w:pPr>
              <w:pStyle w:val="Compact"/>
              <w:jc w:val="left"/>
            </w:pPr>
            <w:r>
              <w:t xml:space="preserve">24.1 ± 1.7</w:t>
            </w:r>
          </w:p>
        </w:tc>
        <w:tc>
          <w:tcPr/>
          <w:p>
            <w:pPr>
              <w:pStyle w:val="Compact"/>
              <w:jc w:val="left"/>
            </w:pPr>
            <w:r>
              <w:t xml:space="preserve">23.8 ± 2.4</w:t>
            </w:r>
          </w:p>
        </w:tc>
        <w:tc>
          <w:tcPr/>
          <w:p>
            <w:pPr>
              <w:pStyle w:val="Compact"/>
              <w:jc w:val="left"/>
            </w:pPr>
            <w:r>
              <w:t xml:space="preserve">24.5 ± 2.1</w:t>
            </w:r>
          </w:p>
        </w:tc>
        <w:tc>
          <w:tcPr/>
          <w:p>
            <w:pPr>
              <w:pStyle w:val="Compact"/>
              <w:jc w:val="left"/>
            </w:pPr>
            <w:r>
              <w:t xml:space="preserve">22.7 ± 1.6</w:t>
            </w:r>
          </w:p>
        </w:tc>
        <w:tc>
          <w:tcPr/>
          <w:p>
            <w:pPr>
              <w:pStyle w:val="Compact"/>
              <w:jc w:val="left"/>
            </w:pPr>
            <w:r>
              <w:t xml:space="preserve">11.2 ± 4.4</w:t>
            </w:r>
          </w:p>
        </w:tc>
        <w:tc>
          <w:tcPr/>
          <w:p>
            <w:pPr>
              <w:pStyle w:val="Compact"/>
              <w:jc w:val="left"/>
            </w:pPr>
            <w:r>
              <w:rPr>
                <w:bCs/>
                <w:b/>
              </w:rPr>
              <w:t xml:space="preserve">47.8 ± 0.9</w:t>
            </w:r>
          </w:p>
        </w:tc>
        <w:tc>
          <w:tcPr/>
          <w:p>
            <w:pPr>
              <w:pStyle w:val="Compact"/>
              <w:jc w:val="left"/>
            </w:pPr>
            <w:r>
              <w:rPr>
                <w:bCs/>
                <w:b/>
              </w:rPr>
              <w:t xml:space="preserve">29.6 ± 2.9</w:t>
            </w:r>
          </w:p>
        </w:tc>
        <w:tc>
          <w:tcPr/>
          <w:p>
            <w:pPr>
              <w:pStyle w:val="Compact"/>
              <w:jc w:val="left"/>
            </w:pPr>
            <w:r>
              <w:t xml:space="preserve">25.8 ± 0.5</w:t>
            </w:r>
          </w:p>
        </w:tc>
        <w:tc>
          <w:tcPr/>
          <w:p>
            <w:pPr>
              <w:pStyle w:val="Compact"/>
              <w:jc w:val="left"/>
            </w:pPr>
            <w:r>
              <w:t xml:space="preserve">11.9 ± 0.5</w:t>
            </w:r>
          </w:p>
        </w:tc>
        <w:tc>
          <w:tcPr/>
          <w:p>
            <w:pPr>
              <w:pStyle w:val="Compact"/>
              <w:jc w:val="left"/>
            </w:pPr>
            <w:r>
              <w:t xml:space="preserve">14.8 ± 5.0</w:t>
            </w:r>
          </w:p>
        </w:tc>
        <w:tc>
          <w:tcPr/>
          <w:p>
            <w:pPr>
              <w:pStyle w:val="Compact"/>
              <w:jc w:val="left"/>
            </w:pPr>
            <w:r>
              <w:rPr>
                <w:bCs/>
                <w:b/>
              </w:rPr>
              <w:t xml:space="preserve">25.4 ± 8.8</w:t>
            </w:r>
          </w:p>
        </w:tc>
      </w:tr>
      <w:tr>
        <w:tc>
          <w:tcPr/>
          <w:p>
            <w:pPr>
              <w:pStyle w:val="Compact"/>
              <w:jc w:val="left"/>
            </w:pPr>
            <w:r>
              <w:t xml:space="preserve">DAMAD</w:t>
            </w:r>
          </w:p>
        </w:tc>
        <w:tc>
          <w:tcPr/>
          <w:p>
            <w:pPr>
              <w:pStyle w:val="Compact"/>
              <w:jc w:val="left"/>
            </w:pPr>
            <w:r>
              <w:rPr>
                <w:bCs/>
                <w:b/>
              </w:rPr>
              <w:t xml:space="preserve">27.3 ± 3.3</w:t>
            </w:r>
          </w:p>
        </w:tc>
        <w:tc>
          <w:tcPr/>
          <w:p>
            <w:pPr>
              <w:pStyle w:val="Compact"/>
              <w:jc w:val="left"/>
            </w:pPr>
            <w:r>
              <w:rPr>
                <w:bCs/>
                <w:b/>
              </w:rPr>
              <w:t xml:space="preserve">26.7 ± 4.5</w:t>
            </w:r>
          </w:p>
        </w:tc>
        <w:tc>
          <w:tcPr/>
          <w:p>
            <w:pPr>
              <w:pStyle w:val="Compact"/>
              <w:jc w:val="left"/>
            </w:pPr>
            <w:r>
              <w:rPr>
                <w:bCs/>
                <w:b/>
              </w:rPr>
              <w:t xml:space="preserve">25.5 ± 5.0</w:t>
            </w:r>
          </w:p>
        </w:tc>
        <w:tc>
          <w:tcPr/>
          <w:p>
            <w:pPr>
              <w:pStyle w:val="Compact"/>
              <w:jc w:val="left"/>
            </w:pPr>
            <w:r>
              <w:rPr>
                <w:bCs/>
                <w:b/>
              </w:rPr>
              <w:t xml:space="preserve">26.5 ± 2.9</w:t>
            </w:r>
          </w:p>
        </w:tc>
        <w:tc>
          <w:tcPr/>
          <w:p>
            <w:pPr>
              <w:pStyle w:val="Compact"/>
              <w:jc w:val="left"/>
            </w:pPr>
            <w:r>
              <w:rPr>
                <w:bCs/>
                <w:b/>
              </w:rPr>
              <w:t xml:space="preserve">26.6 ± 3.2</w:t>
            </w:r>
          </w:p>
        </w:tc>
        <w:tc>
          <w:tcPr/>
          <w:p>
            <w:pPr>
              <w:pStyle w:val="Compact"/>
              <w:jc w:val="left"/>
            </w:pPr>
            <w:r>
              <w:rPr>
                <w:bCs/>
                <w:b/>
              </w:rP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rPr>
                <w:bCs/>
                <w:b/>
              </w:rPr>
              <w:t xml:space="preserve">52.4 ± 6.7</w:t>
            </w:r>
          </w:p>
        </w:tc>
        <w:tc>
          <w:tcPr/>
          <w:p>
            <w:pPr>
              <w:pStyle w:val="Compact"/>
              <w:jc w:val="left"/>
            </w:pPr>
            <w:r>
              <w:t xml:space="preserve">18.5 ± 4.2</w:t>
            </w:r>
          </w:p>
        </w:tc>
        <w:tc>
          <w:tcPr/>
          <w:p>
            <w:pPr>
              <w:pStyle w:val="Compact"/>
              <w:jc w:val="left"/>
            </w:pPr>
            <w:r>
              <w:t xml:space="preserve">11.3 ± 3.6</w:t>
            </w:r>
          </w:p>
        </w:tc>
        <w:tc>
          <w:tcPr/>
          <w:p>
            <w:pPr>
              <w:pStyle w:val="Compact"/>
              <w:jc w:val="left"/>
            </w:pPr>
            <w:r>
              <w:t xml:space="preserve">16.3 ± 4.0</w:t>
            </w:r>
          </w:p>
        </w:tc>
      </w:tr>
    </w:tbl>
    <w:p>
      <w:pPr>
        <w:pStyle w:val="BodyText"/>
      </w:pPr>
      <w:r>
        <w:t xml:space="preserve">Table 12. False-alarm rate (%) on normal steps after the first change point, K = 5. Lower is better. Same layout as Table 11.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70.4 ± 3.9</w:t>
            </w:r>
          </w:p>
        </w:tc>
        <w:tc>
          <w:tcPr/>
          <w:p>
            <w:pPr>
              <w:pStyle w:val="Compact"/>
              <w:jc w:val="left"/>
            </w:pPr>
            <w:r>
              <w:t xml:space="preserve">65.9 ± 2.8</w:t>
            </w:r>
          </w:p>
        </w:tc>
        <w:tc>
          <w:tcPr/>
          <w:p>
            <w:pPr>
              <w:pStyle w:val="Compact"/>
              <w:jc w:val="left"/>
            </w:pPr>
            <w:r>
              <w:t xml:space="preserve">70.1 ± 3.3</w:t>
            </w:r>
          </w:p>
        </w:tc>
        <w:tc>
          <w:tcPr/>
          <w:p>
            <w:pPr>
              <w:pStyle w:val="Compact"/>
              <w:jc w:val="left"/>
            </w:pPr>
            <w:r>
              <w:t xml:space="preserve">54.2 ± 2.9</w:t>
            </w:r>
          </w:p>
        </w:tc>
        <w:tc>
          <w:tcPr/>
          <w:p>
            <w:pPr>
              <w:pStyle w:val="Compact"/>
              <w:jc w:val="left"/>
            </w:pPr>
            <w:r>
              <w:t xml:space="preserve">73.0 ± 2.9</w:t>
            </w:r>
          </w:p>
        </w:tc>
        <w:tc>
          <w:tcPr/>
          <w:p>
            <w:pPr>
              <w:pStyle w:val="Compact"/>
              <w:jc w:val="left"/>
            </w:pPr>
            <w:r>
              <w:t xml:space="preserve">88.2 ± 4.9</w:t>
            </w:r>
          </w:p>
        </w:tc>
        <w:tc>
          <w:tcPr/>
          <w:p>
            <w:pPr>
              <w:pStyle w:val="Compact"/>
              <w:jc w:val="left"/>
            </w:pPr>
            <w:r>
              <w:t xml:space="preserve">49.7 ± 9.2</w:t>
            </w:r>
          </w:p>
        </w:tc>
        <w:tc>
          <w:tcPr/>
          <w:p>
            <w:pPr>
              <w:pStyle w:val="Compact"/>
              <w:jc w:val="left"/>
            </w:pPr>
            <w:r>
              <w:t xml:space="preserve">52.4 ± 7.8</w:t>
            </w:r>
          </w:p>
        </w:tc>
        <w:tc>
          <w:tcPr/>
          <w:p>
            <w:pPr>
              <w:pStyle w:val="Compact"/>
              <w:jc w:val="left"/>
            </w:pPr>
            <w:r>
              <w:t xml:space="preserve">58.9 ± 12.2</w:t>
            </w:r>
          </w:p>
        </w:tc>
        <w:tc>
          <w:tcPr/>
          <w:p>
            <w:pPr>
              <w:pStyle w:val="Compact"/>
              <w:jc w:val="left"/>
            </w:pPr>
            <w:r>
              <w:t xml:space="preserve">43.1 ± 20.4</w:t>
            </w:r>
          </w:p>
        </w:tc>
        <w:tc>
          <w:tcPr/>
          <w:p>
            <w:pPr>
              <w:pStyle w:val="Compact"/>
              <w:jc w:val="left"/>
            </w:pPr>
            <w:r>
              <w:t xml:space="preserve">90.6 ± 0.8</w:t>
            </w:r>
          </w:p>
        </w:tc>
      </w:tr>
      <w:tr>
        <w:tc>
          <w:tcPr/>
          <w:p>
            <w:pPr>
              <w:pStyle w:val="Compact"/>
              <w:jc w:val="left"/>
            </w:pPr>
            <w:r>
              <w:t xml:space="preserve">VAE-S</w:t>
            </w:r>
          </w:p>
        </w:tc>
        <w:tc>
          <w:tcPr/>
          <w:p>
            <w:pPr>
              <w:pStyle w:val="Compact"/>
              <w:jc w:val="left"/>
            </w:pPr>
            <w:r>
              <w:t xml:space="preserve">86.8 ± 1.3</w:t>
            </w:r>
          </w:p>
        </w:tc>
        <w:tc>
          <w:tcPr/>
          <w:p>
            <w:pPr>
              <w:pStyle w:val="Compact"/>
              <w:jc w:val="left"/>
            </w:pPr>
            <w:r>
              <w:t xml:space="preserve">84.6 ± 1.3</w:t>
            </w:r>
          </w:p>
        </w:tc>
        <w:tc>
          <w:tcPr/>
          <w:p>
            <w:pPr>
              <w:pStyle w:val="Compact"/>
              <w:jc w:val="left"/>
            </w:pPr>
            <w:r>
              <w:t xml:space="preserve">78.3 ± 1.5</w:t>
            </w:r>
          </w:p>
        </w:tc>
        <w:tc>
          <w:tcPr/>
          <w:p>
            <w:pPr>
              <w:pStyle w:val="Compact"/>
              <w:jc w:val="left"/>
            </w:pPr>
            <w:r>
              <w:t xml:space="preserve">74.6 ± 1.2</w:t>
            </w:r>
          </w:p>
        </w:tc>
        <w:tc>
          <w:tcPr/>
          <w:p>
            <w:pPr>
              <w:pStyle w:val="Compact"/>
              <w:jc w:val="left"/>
            </w:pPr>
            <w:r>
              <w:t xml:space="preserve">85.2 ± 5.0</w:t>
            </w:r>
          </w:p>
        </w:tc>
        <w:tc>
          <w:tcPr/>
          <w:p>
            <w:pPr>
              <w:pStyle w:val="Compact"/>
              <w:jc w:val="left"/>
            </w:pPr>
            <w:r>
              <w:t xml:space="preserve">97.2 ± 0.2</w:t>
            </w:r>
          </w:p>
        </w:tc>
        <w:tc>
          <w:tcPr/>
          <w:p>
            <w:pPr>
              <w:pStyle w:val="Compact"/>
              <w:jc w:val="left"/>
            </w:pPr>
            <w:r>
              <w:t xml:space="preserve">32.1 ± 3.6</w:t>
            </w:r>
          </w:p>
        </w:tc>
        <w:tc>
          <w:tcPr/>
          <w:p>
            <w:pPr>
              <w:pStyle w:val="Compact"/>
              <w:jc w:val="left"/>
            </w:pPr>
            <w:r>
              <w:t xml:space="preserve">100.0 ± 0.0</w:t>
            </w:r>
          </w:p>
        </w:tc>
        <w:tc>
          <w:tcPr/>
          <w:p>
            <w:pPr>
              <w:pStyle w:val="Compact"/>
              <w:jc w:val="left"/>
            </w:pPr>
            <w:r>
              <w:t xml:space="preserve">96.8 ± 0.1</w:t>
            </w:r>
          </w:p>
        </w:tc>
        <w:tc>
          <w:tcPr/>
          <w:p>
            <w:pPr>
              <w:pStyle w:val="Compact"/>
              <w:jc w:val="left"/>
            </w:pPr>
            <w:r>
              <w:t xml:space="preserve">68.9 ± 3.7</w:t>
            </w:r>
          </w:p>
        </w:tc>
        <w:tc>
          <w:tcPr/>
          <w:p>
            <w:pPr>
              <w:pStyle w:val="Compact"/>
              <w:jc w:val="left"/>
            </w:pPr>
            <w:r>
              <w:t xml:space="preserve">87.2 ± 0.4</w:t>
            </w:r>
          </w:p>
        </w:tc>
      </w:tr>
      <w:tr>
        <w:tc>
          <w:tcPr/>
          <w:p>
            <w:pPr>
              <w:pStyle w:val="Compact"/>
              <w:jc w:val="left"/>
            </w:pPr>
            <w:r>
              <w:t xml:space="preserve">VAE-FT</w:t>
            </w:r>
          </w:p>
        </w:tc>
        <w:tc>
          <w:tcPr/>
          <w:p>
            <w:pPr>
              <w:pStyle w:val="Compact"/>
              <w:jc w:val="left"/>
            </w:pPr>
            <w:r>
              <w:t xml:space="preserve">86.8 ± 1.2</w:t>
            </w:r>
          </w:p>
        </w:tc>
        <w:tc>
          <w:tcPr/>
          <w:p>
            <w:pPr>
              <w:pStyle w:val="Compact"/>
              <w:jc w:val="left"/>
            </w:pPr>
            <w:r>
              <w:t xml:space="preserve">84.0 ± 1.5</w:t>
            </w:r>
          </w:p>
        </w:tc>
        <w:tc>
          <w:tcPr/>
          <w:p>
            <w:pPr>
              <w:pStyle w:val="Compact"/>
              <w:jc w:val="left"/>
            </w:pPr>
            <w:r>
              <w:t xml:space="preserve">77.4 ± 1.6</w:t>
            </w:r>
          </w:p>
        </w:tc>
        <w:tc>
          <w:tcPr/>
          <w:p>
            <w:pPr>
              <w:pStyle w:val="Compact"/>
              <w:jc w:val="left"/>
            </w:pPr>
            <w:r>
              <w:t xml:space="preserve">75.1 ± 1.1</w:t>
            </w:r>
          </w:p>
        </w:tc>
        <w:tc>
          <w:tcPr/>
          <w:p>
            <w:pPr>
              <w:pStyle w:val="Compact"/>
              <w:jc w:val="left"/>
            </w:pPr>
            <w:r>
              <w:t xml:space="preserve">85.8 ± 5.4</w:t>
            </w:r>
          </w:p>
        </w:tc>
        <w:tc>
          <w:tcPr/>
          <w:p>
            <w:pPr>
              <w:pStyle w:val="Compact"/>
              <w:jc w:val="left"/>
            </w:pPr>
            <w:r>
              <w:t xml:space="preserve">98.0 ± 0.7</w:t>
            </w:r>
          </w:p>
        </w:tc>
        <w:tc>
          <w:tcPr/>
          <w:p>
            <w:pPr>
              <w:pStyle w:val="Compact"/>
              <w:jc w:val="left"/>
            </w:pPr>
            <w:r>
              <w:t xml:space="preserve">32.9 ± 3.1</w:t>
            </w:r>
          </w:p>
        </w:tc>
        <w:tc>
          <w:tcPr/>
          <w:p>
            <w:pPr>
              <w:pStyle w:val="Compact"/>
              <w:jc w:val="left"/>
            </w:pPr>
            <w:r>
              <w:t xml:space="preserve">99.9 ± 0.1</w:t>
            </w:r>
          </w:p>
        </w:tc>
        <w:tc>
          <w:tcPr/>
          <w:p>
            <w:pPr>
              <w:pStyle w:val="Compact"/>
              <w:jc w:val="left"/>
            </w:pPr>
            <w:r>
              <w:t xml:space="preserve">96.9 ± 0.1</w:t>
            </w:r>
          </w:p>
        </w:tc>
        <w:tc>
          <w:tcPr/>
          <w:p>
            <w:pPr>
              <w:pStyle w:val="Compact"/>
              <w:jc w:val="left"/>
            </w:pPr>
            <w:r>
              <w:t xml:space="preserve">65.7 ± 3.8</w:t>
            </w:r>
          </w:p>
        </w:tc>
        <w:tc>
          <w:tcPr/>
          <w:p>
            <w:pPr>
              <w:pStyle w:val="Compact"/>
              <w:jc w:val="left"/>
            </w:pPr>
            <w:r>
              <w:t xml:space="preserve">86.5 ± 0.4</w:t>
            </w:r>
          </w:p>
        </w:tc>
      </w:tr>
      <w:tr>
        <w:tc>
          <w:tcPr/>
          <w:p>
            <w:pPr>
              <w:pStyle w:val="Compact"/>
              <w:jc w:val="left"/>
            </w:pPr>
            <w:r>
              <w:t xml:space="preserve">VAE-INC</w:t>
            </w:r>
          </w:p>
        </w:tc>
        <w:tc>
          <w:tcPr/>
          <w:p>
            <w:pPr>
              <w:pStyle w:val="Compact"/>
              <w:jc w:val="left"/>
            </w:pPr>
            <w:r>
              <w:t xml:space="preserve">82.4 ± 2.3</w:t>
            </w:r>
          </w:p>
        </w:tc>
        <w:tc>
          <w:tcPr/>
          <w:p>
            <w:pPr>
              <w:pStyle w:val="Compact"/>
              <w:jc w:val="left"/>
            </w:pPr>
            <w:r>
              <w:t xml:space="preserve">69.0 ± 4.0</w:t>
            </w:r>
          </w:p>
        </w:tc>
        <w:tc>
          <w:tcPr/>
          <w:p>
            <w:pPr>
              <w:pStyle w:val="Compact"/>
              <w:jc w:val="left"/>
            </w:pPr>
            <w:r>
              <w:t xml:space="preserve">43.9 ± 1.3</w:t>
            </w:r>
          </w:p>
        </w:tc>
        <w:tc>
          <w:tcPr/>
          <w:p>
            <w:pPr>
              <w:pStyle w:val="Compact"/>
              <w:jc w:val="left"/>
            </w:pPr>
            <w:r>
              <w:t xml:space="preserve">66.7 ± 2.2</w:t>
            </w:r>
          </w:p>
        </w:tc>
        <w:tc>
          <w:tcPr/>
          <w:p>
            <w:pPr>
              <w:pStyle w:val="Compact"/>
              <w:jc w:val="left"/>
            </w:pPr>
            <w:r>
              <w:t xml:space="preserve">50.2 ± 9.4</w:t>
            </w:r>
          </w:p>
        </w:tc>
        <w:tc>
          <w:tcPr/>
          <w:p>
            <w:pPr>
              <w:pStyle w:val="Compact"/>
              <w:jc w:val="left"/>
            </w:pPr>
            <w:r>
              <w:t xml:space="preserve">98.1 ± 0.0</w:t>
            </w:r>
          </w:p>
        </w:tc>
        <w:tc>
          <w:tcPr/>
          <w:p>
            <w:pPr>
              <w:pStyle w:val="Compact"/>
              <w:jc w:val="left"/>
            </w:pPr>
            <w:r>
              <w:rPr>
                <w:bCs/>
                <w:b/>
              </w:rPr>
              <w:t xml:space="preserve">18.3 ± 1.6</w:t>
            </w:r>
          </w:p>
        </w:tc>
        <w:tc>
          <w:tcPr/>
          <w:p>
            <w:pPr>
              <w:pStyle w:val="Compact"/>
              <w:jc w:val="left"/>
            </w:pPr>
            <w:r>
              <w:t xml:space="preserve">86.9 ± 0.2</w:t>
            </w:r>
          </w:p>
        </w:tc>
        <w:tc>
          <w:tcPr/>
          <w:p>
            <w:pPr>
              <w:pStyle w:val="Compact"/>
              <w:jc w:val="left"/>
            </w:pPr>
            <w:r>
              <w:t xml:space="preserve">95.1 ± 1.5</w:t>
            </w:r>
          </w:p>
        </w:tc>
        <w:tc>
          <w:tcPr/>
          <w:p>
            <w:pPr>
              <w:pStyle w:val="Compact"/>
              <w:jc w:val="left"/>
            </w:pPr>
            <w:r>
              <w:t xml:space="preserve">43.1 ± 3.0</w:t>
            </w:r>
          </w:p>
        </w:tc>
        <w:tc>
          <w:tcPr/>
          <w:p>
            <w:pPr>
              <w:pStyle w:val="Compact"/>
              <w:jc w:val="left"/>
            </w:pPr>
            <w:r>
              <w:t xml:space="preserve">66.7 ± 4.0</w:t>
            </w:r>
          </w:p>
        </w:tc>
      </w:tr>
      <w:tr>
        <w:tc>
          <w:tcPr/>
          <w:p>
            <w:pPr>
              <w:pStyle w:val="Compact"/>
              <w:jc w:val="left"/>
            </w:pPr>
            <w:r>
              <w:t xml:space="preserve">VAE-DFT</w:t>
            </w:r>
          </w:p>
        </w:tc>
        <w:tc>
          <w:tcPr/>
          <w:p>
            <w:pPr>
              <w:pStyle w:val="Compact"/>
              <w:jc w:val="left"/>
            </w:pPr>
            <w:r>
              <w:t xml:space="preserve">32.8 ± 7.9</w:t>
            </w:r>
          </w:p>
        </w:tc>
        <w:tc>
          <w:tcPr/>
          <w:p>
            <w:pPr>
              <w:pStyle w:val="Compact"/>
              <w:jc w:val="left"/>
            </w:pPr>
            <w:r>
              <w:t xml:space="preserve">28.0 ± 6.1</w:t>
            </w:r>
          </w:p>
        </w:tc>
        <w:tc>
          <w:tcPr/>
          <w:p>
            <w:pPr>
              <w:pStyle w:val="Compact"/>
              <w:jc w:val="left"/>
            </w:pPr>
            <w:r>
              <w:rPr>
                <w:bCs/>
                <w:b/>
              </w:rPr>
              <w:t xml:space="preserve">28.8 ± 8.0</w:t>
            </w:r>
          </w:p>
        </w:tc>
        <w:tc>
          <w:tcPr/>
          <w:p>
            <w:pPr>
              <w:pStyle w:val="Compact"/>
              <w:jc w:val="left"/>
            </w:pPr>
            <w:r>
              <w:t xml:space="preserve">20.8 ± 6.5</w:t>
            </w:r>
          </w:p>
        </w:tc>
        <w:tc>
          <w:tcPr/>
          <w:p>
            <w:pPr>
              <w:pStyle w:val="Compact"/>
              <w:jc w:val="left"/>
            </w:pPr>
            <w:r>
              <w:t xml:space="preserve">26.9 ± 8.2</w:t>
            </w:r>
          </w:p>
        </w:tc>
        <w:tc>
          <w:tcPr/>
          <w:p>
            <w:pPr>
              <w:pStyle w:val="Compact"/>
              <w:jc w:val="left"/>
            </w:pPr>
            <w:r>
              <w:t xml:space="preserve">48.1 ± 11.7</w:t>
            </w:r>
          </w:p>
        </w:tc>
        <w:tc>
          <w:tcPr/>
          <w:p>
            <w:pPr>
              <w:pStyle w:val="Compact"/>
              <w:jc w:val="left"/>
            </w:pPr>
            <w:r>
              <w:t xml:space="preserve">24.0 ± 2.5</w:t>
            </w:r>
          </w:p>
        </w:tc>
        <w:tc>
          <w:tcPr/>
          <w:p>
            <w:pPr>
              <w:pStyle w:val="Compact"/>
              <w:jc w:val="left"/>
            </w:pPr>
            <w:r>
              <w:t xml:space="preserve">14.6 ± 10.5</w:t>
            </w:r>
          </w:p>
        </w:tc>
        <w:tc>
          <w:tcPr/>
          <w:p>
            <w:pPr>
              <w:pStyle w:val="Compact"/>
              <w:jc w:val="left"/>
            </w:pPr>
            <w:r>
              <w:t xml:space="preserve">28.3 ± 16.5</w:t>
            </w:r>
          </w:p>
        </w:tc>
        <w:tc>
          <w:tcPr/>
          <w:p>
            <w:pPr>
              <w:pStyle w:val="Compact"/>
              <w:jc w:val="left"/>
            </w:pPr>
            <w:r>
              <w:rPr>
                <w:bCs/>
                <w:b/>
              </w:rPr>
              <w:t xml:space="preserve">18.1 ± 2.5</w:t>
            </w:r>
          </w:p>
        </w:tc>
        <w:tc>
          <w:tcPr/>
          <w:p>
            <w:pPr>
              <w:pStyle w:val="Compact"/>
              <w:jc w:val="left"/>
            </w:pPr>
            <w:r>
              <w:rPr>
                <w:bCs/>
                <w:b/>
              </w:rPr>
              <w:t xml:space="preserve">33.4 ± 7.7</w:t>
            </w:r>
          </w:p>
        </w:tc>
      </w:tr>
      <w:tr>
        <w:tc>
          <w:tcPr/>
          <w:p>
            <w:pPr>
              <w:pStyle w:val="Compact"/>
              <w:jc w:val="left"/>
            </w:pPr>
            <w:r>
              <w:t xml:space="preserve">MAML-1</w:t>
            </w:r>
          </w:p>
        </w:tc>
        <w:tc>
          <w:tcPr/>
          <w:p>
            <w:pPr>
              <w:pStyle w:val="Compact"/>
              <w:jc w:val="left"/>
            </w:pPr>
            <w:r>
              <w:t xml:space="preserve">82.7 ± 1.2</w:t>
            </w:r>
          </w:p>
        </w:tc>
        <w:tc>
          <w:tcPr/>
          <w:p>
            <w:pPr>
              <w:pStyle w:val="Compact"/>
              <w:jc w:val="left"/>
            </w:pPr>
            <w:r>
              <w:t xml:space="preserve">80.3 ± 1.9</w:t>
            </w:r>
          </w:p>
        </w:tc>
        <w:tc>
          <w:tcPr/>
          <w:p>
            <w:pPr>
              <w:pStyle w:val="Compact"/>
              <w:jc w:val="left"/>
            </w:pPr>
            <w:r>
              <w:t xml:space="preserve">75.7 ± 1.0</w:t>
            </w:r>
          </w:p>
        </w:tc>
        <w:tc>
          <w:tcPr/>
          <w:p>
            <w:pPr>
              <w:pStyle w:val="Compact"/>
              <w:jc w:val="left"/>
            </w:pPr>
            <w:r>
              <w:t xml:space="preserve">73.4 ± 1.8</w:t>
            </w:r>
          </w:p>
        </w:tc>
        <w:tc>
          <w:tcPr/>
          <w:p>
            <w:pPr>
              <w:pStyle w:val="Compact"/>
              <w:jc w:val="left"/>
            </w:pPr>
            <w:r>
              <w:t xml:space="preserve">85.3 ± 5.4</w:t>
            </w:r>
          </w:p>
        </w:tc>
        <w:tc>
          <w:tcPr/>
          <w:p>
            <w:pPr>
              <w:pStyle w:val="Compact"/>
              <w:jc w:val="left"/>
            </w:pPr>
            <w:r>
              <w:t xml:space="preserve">99.4 ± 0.4</w:t>
            </w:r>
          </w:p>
        </w:tc>
        <w:tc>
          <w:tcPr/>
          <w:p>
            <w:pPr>
              <w:pStyle w:val="Compact"/>
              <w:jc w:val="left"/>
            </w:pPr>
            <w:r>
              <w:t xml:space="preserve">23.4 ± 1.2</w:t>
            </w:r>
          </w:p>
        </w:tc>
        <w:tc>
          <w:tcPr/>
          <w:p>
            <w:pPr>
              <w:pStyle w:val="Compact"/>
              <w:jc w:val="left"/>
            </w:pPr>
            <w:r>
              <w:t xml:space="preserve">99.8 ± 0.1</w:t>
            </w:r>
          </w:p>
        </w:tc>
        <w:tc>
          <w:tcPr/>
          <w:p>
            <w:pPr>
              <w:pStyle w:val="Compact"/>
              <w:jc w:val="left"/>
            </w:pPr>
            <w:r>
              <w:t xml:space="preserve">95.4 ± 1.5</w:t>
            </w:r>
          </w:p>
        </w:tc>
        <w:tc>
          <w:tcPr/>
          <w:p>
            <w:pPr>
              <w:pStyle w:val="Compact"/>
              <w:jc w:val="left"/>
            </w:pPr>
            <w:r>
              <w:t xml:space="preserve">56.6 ± 4.7</w:t>
            </w:r>
          </w:p>
        </w:tc>
        <w:tc>
          <w:tcPr/>
          <w:p>
            <w:pPr>
              <w:pStyle w:val="Compact"/>
              <w:jc w:val="left"/>
            </w:pPr>
            <w:r>
              <w:t xml:space="preserve">86.4 ± 0.3</w:t>
            </w:r>
          </w:p>
        </w:tc>
      </w:tr>
      <w:tr>
        <w:tc>
          <w:tcPr/>
          <w:p>
            <w:pPr>
              <w:pStyle w:val="Compact"/>
              <w:jc w:val="left"/>
            </w:pPr>
            <w:r>
              <w:t xml:space="preserve">MSGD-1</w:t>
            </w:r>
          </w:p>
        </w:tc>
        <w:tc>
          <w:tcPr/>
          <w:p>
            <w:pPr>
              <w:pStyle w:val="Compact"/>
              <w:jc w:val="left"/>
            </w:pPr>
            <w:r>
              <w:t xml:space="preserve">82.3 ± 1.8</w:t>
            </w:r>
          </w:p>
        </w:tc>
        <w:tc>
          <w:tcPr/>
          <w:p>
            <w:pPr>
              <w:pStyle w:val="Compact"/>
              <w:jc w:val="left"/>
            </w:pPr>
            <w:r>
              <w:t xml:space="preserve">80.2 ± 2.7</w:t>
            </w:r>
          </w:p>
        </w:tc>
        <w:tc>
          <w:tcPr/>
          <w:p>
            <w:pPr>
              <w:pStyle w:val="Compact"/>
              <w:jc w:val="left"/>
            </w:pPr>
            <w:r>
              <w:t xml:space="preserve">75.6 ± 1.5</w:t>
            </w:r>
          </w:p>
        </w:tc>
        <w:tc>
          <w:tcPr/>
          <w:p>
            <w:pPr>
              <w:pStyle w:val="Compact"/>
              <w:jc w:val="left"/>
            </w:pPr>
            <w:r>
              <w:t xml:space="preserve">73.2 ± 2.7</w:t>
            </w:r>
          </w:p>
        </w:tc>
        <w:tc>
          <w:tcPr/>
          <w:p>
            <w:pPr>
              <w:pStyle w:val="Compact"/>
              <w:jc w:val="left"/>
            </w:pPr>
            <w:r>
              <w:t xml:space="preserve">83.1 ± 8.8</w:t>
            </w:r>
          </w:p>
        </w:tc>
        <w:tc>
          <w:tcPr/>
          <w:p>
            <w:pPr>
              <w:pStyle w:val="Compact"/>
              <w:jc w:val="left"/>
            </w:pPr>
            <w:r>
              <w:t xml:space="preserve">99.0 ± 1.4</w:t>
            </w:r>
          </w:p>
        </w:tc>
        <w:tc>
          <w:tcPr/>
          <w:p>
            <w:pPr>
              <w:pStyle w:val="Compact"/>
              <w:jc w:val="left"/>
            </w:pPr>
            <w:r>
              <w:t xml:space="preserve">25.0 ± 2.8</w:t>
            </w:r>
          </w:p>
        </w:tc>
        <w:tc>
          <w:tcPr/>
          <w:p>
            <w:pPr>
              <w:pStyle w:val="Compact"/>
              <w:jc w:val="left"/>
            </w:pPr>
            <w:r>
              <w:t xml:space="preserve">99.9 ± 0.1</w:t>
            </w:r>
          </w:p>
        </w:tc>
        <w:tc>
          <w:tcPr/>
          <w:p>
            <w:pPr>
              <w:pStyle w:val="Compact"/>
              <w:jc w:val="left"/>
            </w:pPr>
            <w:r>
              <w:t xml:space="preserve">94.8 ± 2.1</w:t>
            </w:r>
          </w:p>
        </w:tc>
        <w:tc>
          <w:tcPr/>
          <w:p>
            <w:pPr>
              <w:pStyle w:val="Compact"/>
              <w:jc w:val="left"/>
            </w:pPr>
            <w:r>
              <w:t xml:space="preserve">56.6 ± 4.1</w:t>
            </w:r>
          </w:p>
        </w:tc>
        <w:tc>
          <w:tcPr/>
          <w:p>
            <w:pPr>
              <w:pStyle w:val="Compact"/>
              <w:jc w:val="left"/>
            </w:pPr>
            <w:r>
              <w:t xml:space="preserve">86.3 ± 0.4</w:t>
            </w:r>
          </w:p>
        </w:tc>
      </w:tr>
      <w:tr>
        <w:tc>
          <w:tcPr/>
          <w:p>
            <w:pPr>
              <w:pStyle w:val="Compact"/>
              <w:jc w:val="left"/>
            </w:pPr>
            <w:r>
              <w:t xml:space="preserve">OML-A</w:t>
            </w:r>
          </w:p>
        </w:tc>
        <w:tc>
          <w:tcPr/>
          <w:p>
            <w:pPr>
              <w:pStyle w:val="Compact"/>
              <w:jc w:val="left"/>
            </w:pPr>
            <w:r>
              <w:t xml:space="preserve">81.0 ± 1.9</w:t>
            </w:r>
          </w:p>
        </w:tc>
        <w:tc>
          <w:tcPr/>
          <w:p>
            <w:pPr>
              <w:pStyle w:val="Compact"/>
              <w:jc w:val="left"/>
            </w:pPr>
            <w:r>
              <w:t xml:space="preserve">78.9 ± 2.1</w:t>
            </w:r>
          </w:p>
        </w:tc>
        <w:tc>
          <w:tcPr/>
          <w:p>
            <w:pPr>
              <w:pStyle w:val="Compact"/>
              <w:jc w:val="left"/>
            </w:pPr>
            <w:r>
              <w:t xml:space="preserve">73.0 ± 1.0</w:t>
            </w:r>
          </w:p>
        </w:tc>
        <w:tc>
          <w:tcPr/>
          <w:p>
            <w:pPr>
              <w:pStyle w:val="Compact"/>
              <w:jc w:val="left"/>
            </w:pPr>
            <w:r>
              <w:t xml:space="preserve">71.9 ± 2.0</w:t>
            </w:r>
          </w:p>
        </w:tc>
        <w:tc>
          <w:tcPr/>
          <w:p>
            <w:pPr>
              <w:pStyle w:val="Compact"/>
              <w:jc w:val="left"/>
            </w:pPr>
            <w:r>
              <w:t xml:space="preserve">79.9 ± 6.5</w:t>
            </w:r>
          </w:p>
        </w:tc>
        <w:tc>
          <w:tcPr/>
          <w:p>
            <w:pPr>
              <w:pStyle w:val="Compact"/>
              <w:jc w:val="left"/>
            </w:pPr>
            <w:r>
              <w:t xml:space="preserve">99.0 ± 0.9</w:t>
            </w:r>
          </w:p>
        </w:tc>
        <w:tc>
          <w:tcPr/>
          <w:p>
            <w:pPr>
              <w:pStyle w:val="Compact"/>
              <w:jc w:val="left"/>
            </w:pPr>
            <w:r>
              <w:t xml:space="preserve">19.3 ± 0.5</w:t>
            </w:r>
          </w:p>
        </w:tc>
        <w:tc>
          <w:tcPr/>
          <w:p>
            <w:pPr>
              <w:pStyle w:val="Compact"/>
              <w:jc w:val="left"/>
            </w:pPr>
            <w:r>
              <w:t xml:space="preserve">99.6 ± 0.3</w:t>
            </w:r>
          </w:p>
        </w:tc>
        <w:tc>
          <w:tcPr/>
          <w:p>
            <w:pPr>
              <w:pStyle w:val="Compact"/>
              <w:jc w:val="left"/>
            </w:pPr>
            <w:r>
              <w:t xml:space="preserve">94.3 ± 3.4</w:t>
            </w:r>
          </w:p>
        </w:tc>
        <w:tc>
          <w:tcPr/>
          <w:p>
            <w:pPr>
              <w:pStyle w:val="Compact"/>
              <w:jc w:val="left"/>
            </w:pPr>
            <w:r>
              <w:t xml:space="preserve">55.1 ± 4.6</w:t>
            </w:r>
          </w:p>
        </w:tc>
        <w:tc>
          <w:tcPr/>
          <w:p>
            <w:pPr>
              <w:pStyle w:val="Compact"/>
              <w:jc w:val="left"/>
            </w:pPr>
            <w:r>
              <w:t xml:space="preserve">86.2 ± 0.3</w:t>
            </w:r>
          </w:p>
        </w:tc>
      </w:tr>
      <w:tr>
        <w:tc>
          <w:tcPr/>
          <w:p>
            <w:pPr>
              <w:pStyle w:val="Compact"/>
              <w:jc w:val="left"/>
            </w:pPr>
            <w:r>
              <w:t xml:space="preserve">DAMAD</w:t>
            </w:r>
          </w:p>
        </w:tc>
        <w:tc>
          <w:tcPr/>
          <w:p>
            <w:pPr>
              <w:pStyle w:val="Compact"/>
              <w:jc w:val="left"/>
            </w:pPr>
            <w:r>
              <w:rPr>
                <w:bCs/>
                <w:b/>
              </w:rPr>
              <w:t xml:space="preserve">22.5 ± 5.6</w:t>
            </w:r>
          </w:p>
        </w:tc>
        <w:tc>
          <w:tcPr/>
          <w:p>
            <w:pPr>
              <w:pStyle w:val="Compact"/>
              <w:jc w:val="left"/>
            </w:pPr>
            <w:r>
              <w:rPr>
                <w:bCs/>
                <w:b/>
              </w:rPr>
              <w:t xml:space="preserve">22.8 ± 2.6</w:t>
            </w:r>
          </w:p>
        </w:tc>
        <w:tc>
          <w:tcPr/>
          <w:p>
            <w:pPr>
              <w:pStyle w:val="Compact"/>
              <w:jc w:val="left"/>
            </w:pPr>
            <w:r>
              <w:t xml:space="preserve">29.5 ± 5.7</w:t>
            </w:r>
          </w:p>
        </w:tc>
        <w:tc>
          <w:tcPr/>
          <w:p>
            <w:pPr>
              <w:pStyle w:val="Compact"/>
              <w:jc w:val="left"/>
            </w:pPr>
            <w:r>
              <w:rPr>
                <w:bCs/>
                <w:b/>
              </w:rPr>
              <w:t xml:space="preserve">16.7 ± 3.6</w:t>
            </w:r>
          </w:p>
        </w:tc>
        <w:tc>
          <w:tcPr/>
          <w:p>
            <w:pPr>
              <w:pStyle w:val="Compact"/>
              <w:jc w:val="left"/>
            </w:pPr>
            <w:r>
              <w:rPr>
                <w:bCs/>
                <w:b/>
              </w:rPr>
              <w:t xml:space="preserve">18.0 ± 3.0</w:t>
            </w:r>
          </w:p>
        </w:tc>
        <w:tc>
          <w:tcPr/>
          <w:p>
            <w:pPr>
              <w:pStyle w:val="Compact"/>
              <w:jc w:val="left"/>
            </w:pPr>
            <w:r>
              <w:rPr>
                <w:bCs/>
                <w:b/>
              </w:rPr>
              <w:t xml:space="preserve">26.7 ± 2.7</w:t>
            </w:r>
          </w:p>
        </w:tc>
        <w:tc>
          <w:tcPr/>
          <w:p>
            <w:pPr>
              <w:pStyle w:val="Compact"/>
              <w:jc w:val="left"/>
            </w:pPr>
            <w:r>
              <w:t xml:space="preserve">27.0 ± 6.5</w:t>
            </w:r>
          </w:p>
        </w:tc>
        <w:tc>
          <w:tcPr/>
          <w:p>
            <w:pPr>
              <w:pStyle w:val="Compact"/>
              <w:jc w:val="left"/>
            </w:pPr>
            <w:r>
              <w:rPr>
                <w:bCs/>
                <w:b/>
              </w:rPr>
              <w:t xml:space="preserve">11.4 ± 11.3</w:t>
            </w:r>
          </w:p>
        </w:tc>
        <w:tc>
          <w:tcPr/>
          <w:p>
            <w:pPr>
              <w:pStyle w:val="Compact"/>
              <w:jc w:val="left"/>
            </w:pPr>
            <w:r>
              <w:rPr>
                <w:bCs/>
                <w:b/>
              </w:rPr>
              <w:t xml:space="preserve">17.2 ± 10.4</w:t>
            </w:r>
          </w:p>
        </w:tc>
        <w:tc>
          <w:tcPr/>
          <w:p>
            <w:pPr>
              <w:pStyle w:val="Compact"/>
              <w:jc w:val="left"/>
            </w:pPr>
            <w:r>
              <w:t xml:space="preserve">19.1 ± 4.9</w:t>
            </w:r>
          </w:p>
        </w:tc>
        <w:tc>
          <w:tcPr/>
          <w:p>
            <w:pPr>
              <w:pStyle w:val="Compact"/>
              <w:jc w:val="left"/>
            </w:pPr>
            <w:r>
              <w:t xml:space="preserve">40.8 ± 4.6</w:t>
            </w:r>
          </w:p>
        </w:tc>
      </w:tr>
    </w:tbl>
    <w:p>
      <w:pPr>
        <w:pStyle w:val="BodyText"/>
      </w:pPr>
      <w:r>
        <w:t xml:space="preserve">Table 13. Adaptation steps (windows after a change point until the rolling false-alarm rate is back at the pre-drift level plus five points; capped at the segment length), pooled by condition and per dataset, and the share of change points recovered from at all (last column, pooled).</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1931 ± 296</w:t>
            </w:r>
          </w:p>
        </w:tc>
        <w:tc>
          <w:tcPr/>
          <w:p>
            <w:pPr>
              <w:pStyle w:val="Compact"/>
              <w:jc w:val="left"/>
            </w:pPr>
            <w:r>
              <w:t xml:space="preserve">403 ± 80</w:t>
            </w:r>
          </w:p>
        </w:tc>
        <w:tc>
          <w:tcPr/>
          <w:p>
            <w:pPr>
              <w:pStyle w:val="Compact"/>
              <w:jc w:val="left"/>
            </w:pPr>
            <w:r>
              <w:t xml:space="preserve">534 ± 152</w:t>
            </w:r>
          </w:p>
        </w:tc>
        <w:tc>
          <w:tcPr/>
          <w:p>
            <w:pPr>
              <w:pStyle w:val="Compact"/>
              <w:jc w:val="left"/>
            </w:pPr>
            <w:r>
              <w:t xml:space="preserve">1353 ± 313</w:t>
            </w:r>
          </w:p>
        </w:tc>
        <w:tc>
          <w:tcPr/>
          <w:p>
            <w:pPr>
              <w:pStyle w:val="Compact"/>
              <w:jc w:val="left"/>
            </w:pPr>
            <w:r>
              <w:t xml:space="preserve">2024 ± 107</w:t>
            </w:r>
          </w:p>
        </w:tc>
        <w:tc>
          <w:tcPr/>
          <w:p>
            <w:pPr>
              <w:pStyle w:val="Compact"/>
              <w:jc w:val="left"/>
            </w:pPr>
            <w:r>
              <w:t xml:space="preserve">2793 ± 1059</w:t>
            </w:r>
          </w:p>
        </w:tc>
        <w:tc>
          <w:tcPr/>
          <w:p>
            <w:pPr>
              <w:pStyle w:val="Compact"/>
              <w:jc w:val="left"/>
            </w:pPr>
            <w:r>
              <w:t xml:space="preserve">687 ± 152</w:t>
            </w:r>
          </w:p>
        </w:tc>
        <w:tc>
          <w:tcPr/>
          <w:p>
            <w:pPr>
              <w:pStyle w:val="Compact"/>
              <w:jc w:val="left"/>
            </w:pPr>
            <w:r>
              <w:rPr>
                <w:bCs/>
                <w:b/>
              </w:rPr>
              <w:t xml:space="preserve">163 ± 69</w:t>
            </w:r>
          </w:p>
        </w:tc>
        <w:tc>
          <w:tcPr/>
          <w:p>
            <w:pPr>
              <w:pStyle w:val="Compact"/>
              <w:jc w:val="left"/>
            </w:pPr>
            <w:r>
              <w:rPr>
                <w:bCs/>
                <w:b/>
              </w:rPr>
              <w:t xml:space="preserve">184 ± 75</w:t>
            </w:r>
          </w:p>
        </w:tc>
        <w:tc>
          <w:tcPr/>
          <w:p>
            <w:pPr>
              <w:pStyle w:val="Compact"/>
              <w:jc w:val="left"/>
            </w:pPr>
            <w:r>
              <w:t xml:space="preserve">832 ± 249</w:t>
            </w:r>
          </w:p>
        </w:tc>
        <w:tc>
          <w:tcPr/>
          <w:p>
            <w:pPr>
              <w:pStyle w:val="Compact"/>
              <w:jc w:val="left"/>
            </w:pPr>
            <w:r>
              <w:t xml:space="preserve">703 ± 132</w:t>
            </w:r>
          </w:p>
        </w:tc>
        <w:tc>
          <w:tcPr/>
          <w:p>
            <w:pPr>
              <w:pStyle w:val="Compact"/>
              <w:jc w:val="left"/>
            </w:pPr>
            <w:r>
              <w:t xml:space="preserve">85</w:t>
            </w:r>
          </w:p>
        </w:tc>
      </w:tr>
      <w:tr>
        <w:tc>
          <w:tcPr/>
          <w:p>
            <w:pPr>
              <w:pStyle w:val="Compact"/>
              <w:jc w:val="left"/>
            </w:pPr>
            <w:r>
              <w:t xml:space="preserve">VAE-S</w:t>
            </w:r>
          </w:p>
        </w:tc>
        <w:tc>
          <w:tcPr/>
          <w:p>
            <w:pPr>
              <w:pStyle w:val="Compact"/>
              <w:jc w:val="left"/>
            </w:pPr>
            <w:r>
              <w:t xml:space="preserve">2251 ± 145</w:t>
            </w:r>
          </w:p>
        </w:tc>
        <w:tc>
          <w:tcPr/>
          <w:p>
            <w:pPr>
              <w:pStyle w:val="Compact"/>
              <w:jc w:val="left"/>
            </w:pPr>
            <w:r>
              <w:t xml:space="preserve">1719 ± 154</w:t>
            </w:r>
          </w:p>
        </w:tc>
        <w:tc>
          <w:tcPr/>
          <w:p>
            <w:pPr>
              <w:pStyle w:val="Compact"/>
              <w:jc w:val="left"/>
            </w:pPr>
            <w:r>
              <w:t xml:space="preserve">929 ± 214</w:t>
            </w:r>
          </w:p>
        </w:tc>
        <w:tc>
          <w:tcPr/>
          <w:p>
            <w:pPr>
              <w:pStyle w:val="Compact"/>
              <w:jc w:val="left"/>
            </w:pPr>
            <w:r>
              <w:t xml:space="preserve">1918 ± 71</w:t>
            </w:r>
          </w:p>
        </w:tc>
        <w:tc>
          <w:tcPr/>
          <w:p>
            <w:pPr>
              <w:pStyle w:val="Compact"/>
              <w:jc w:val="left"/>
            </w:pPr>
            <w:r>
              <w:t xml:space="preserve">2552 ± 442</w:t>
            </w:r>
          </w:p>
        </w:tc>
        <w:tc>
          <w:tcPr/>
          <w:p>
            <w:pPr>
              <w:pStyle w:val="Compact"/>
              <w:jc w:val="left"/>
            </w:pPr>
            <w:r>
              <w:t xml:space="preserve">2904 ± 10</w:t>
            </w:r>
          </w:p>
        </w:tc>
        <w:tc>
          <w:tcPr/>
          <w:p>
            <w:pPr>
              <w:pStyle w:val="Compact"/>
              <w:jc w:val="left"/>
            </w:pPr>
            <w:r>
              <w:t xml:space="preserve">607 ± 24</w:t>
            </w:r>
          </w:p>
        </w:tc>
        <w:tc>
          <w:tcPr/>
          <w:p>
            <w:pPr>
              <w:pStyle w:val="Compact"/>
              <w:jc w:val="left"/>
            </w:pPr>
            <w:r>
              <w:t xml:space="preserve">2238 ± 673</w:t>
            </w:r>
          </w:p>
        </w:tc>
        <w:tc>
          <w:tcPr/>
          <w:p>
            <w:pPr>
              <w:pStyle w:val="Compact"/>
              <w:jc w:val="left"/>
            </w:pPr>
            <w:r>
              <w:t xml:space="preserve">2370 ± 1</w:t>
            </w:r>
          </w:p>
        </w:tc>
        <w:tc>
          <w:tcPr/>
          <w:p>
            <w:pPr>
              <w:pStyle w:val="Compact"/>
              <w:jc w:val="left"/>
            </w:pPr>
            <w:r>
              <w:t xml:space="preserve">796 ± 71</w:t>
            </w:r>
          </w:p>
        </w:tc>
        <w:tc>
          <w:tcPr/>
          <w:p>
            <w:pPr>
              <w:pStyle w:val="Compact"/>
              <w:jc w:val="left"/>
            </w:pPr>
            <w:r>
              <w:t xml:space="preserve">462 ± 55</w:t>
            </w:r>
          </w:p>
        </w:tc>
        <w:tc>
          <w:tcPr/>
          <w:p>
            <w:pPr>
              <w:pStyle w:val="Compact"/>
              <w:jc w:val="left"/>
            </w:pPr>
            <w:r>
              <w:t xml:space="preserve">78</w:t>
            </w:r>
          </w:p>
        </w:tc>
      </w:tr>
      <w:tr>
        <w:tc>
          <w:tcPr/>
          <w:p>
            <w:pPr>
              <w:pStyle w:val="Compact"/>
              <w:jc w:val="left"/>
            </w:pPr>
            <w:r>
              <w:t xml:space="preserve">VAE-FT</w:t>
            </w:r>
          </w:p>
        </w:tc>
        <w:tc>
          <w:tcPr/>
          <w:p>
            <w:pPr>
              <w:pStyle w:val="Compact"/>
              <w:jc w:val="left"/>
            </w:pPr>
            <w:r>
              <w:t xml:space="preserve">2249 ± 147</w:t>
            </w:r>
          </w:p>
        </w:tc>
        <w:tc>
          <w:tcPr/>
          <w:p>
            <w:pPr>
              <w:pStyle w:val="Compact"/>
              <w:jc w:val="left"/>
            </w:pPr>
            <w:r>
              <w:t xml:space="preserve">1753 ± 206</w:t>
            </w:r>
          </w:p>
        </w:tc>
        <w:tc>
          <w:tcPr/>
          <w:p>
            <w:pPr>
              <w:pStyle w:val="Compact"/>
              <w:jc w:val="left"/>
            </w:pPr>
            <w:r>
              <w:t xml:space="preserve">954 ± 210</w:t>
            </w:r>
          </w:p>
        </w:tc>
        <w:tc>
          <w:tcPr/>
          <w:p>
            <w:pPr>
              <w:pStyle w:val="Compact"/>
              <w:jc w:val="left"/>
            </w:pPr>
            <w:r>
              <w:t xml:space="preserve">1889 ± 43</w:t>
            </w:r>
          </w:p>
        </w:tc>
        <w:tc>
          <w:tcPr/>
          <w:p>
            <w:pPr>
              <w:pStyle w:val="Compact"/>
              <w:jc w:val="left"/>
            </w:pPr>
            <w:r>
              <w:t xml:space="preserve">2610 ± 292</w:t>
            </w:r>
          </w:p>
        </w:tc>
        <w:tc>
          <w:tcPr/>
          <w:p>
            <w:pPr>
              <w:pStyle w:val="Compact"/>
              <w:jc w:val="left"/>
            </w:pPr>
            <w:r>
              <w:t xml:space="preserve">2900 ± 26</w:t>
            </w:r>
          </w:p>
        </w:tc>
        <w:tc>
          <w:tcPr/>
          <w:p>
            <w:pPr>
              <w:pStyle w:val="Compact"/>
              <w:jc w:val="left"/>
            </w:pPr>
            <w:r>
              <w:t xml:space="preserve">632 ± 26</w:t>
            </w:r>
          </w:p>
        </w:tc>
        <w:tc>
          <w:tcPr/>
          <w:p>
            <w:pPr>
              <w:pStyle w:val="Compact"/>
              <w:jc w:val="left"/>
            </w:pPr>
            <w:r>
              <w:t xml:space="preserve">2260 ± 561</w:t>
            </w:r>
          </w:p>
        </w:tc>
        <w:tc>
          <w:tcPr/>
          <w:p>
            <w:pPr>
              <w:pStyle w:val="Compact"/>
              <w:jc w:val="left"/>
            </w:pPr>
            <w:r>
              <w:t xml:space="preserve">2371 ± 1</w:t>
            </w:r>
          </w:p>
        </w:tc>
        <w:tc>
          <w:tcPr/>
          <w:p>
            <w:pPr>
              <w:pStyle w:val="Compact"/>
              <w:jc w:val="left"/>
            </w:pPr>
            <w:r>
              <w:t xml:space="preserve">745 ± 84</w:t>
            </w:r>
          </w:p>
        </w:tc>
        <w:tc>
          <w:tcPr/>
          <w:p>
            <w:pPr>
              <w:pStyle w:val="Compact"/>
              <w:jc w:val="left"/>
            </w:pPr>
            <w:r>
              <w:t xml:space="preserve">462 ± 53</w:t>
            </w:r>
          </w:p>
        </w:tc>
        <w:tc>
          <w:tcPr/>
          <w:p>
            <w:pPr>
              <w:pStyle w:val="Compact"/>
              <w:jc w:val="left"/>
            </w:pPr>
            <w:r>
              <w:t xml:space="preserve">78</w:t>
            </w:r>
          </w:p>
        </w:tc>
      </w:tr>
      <w:tr>
        <w:tc>
          <w:tcPr/>
          <w:p>
            <w:pPr>
              <w:pStyle w:val="Compact"/>
              <w:jc w:val="left"/>
            </w:pPr>
            <w:r>
              <w:t xml:space="preserve">VAE-INC</w:t>
            </w:r>
          </w:p>
        </w:tc>
        <w:tc>
          <w:tcPr/>
          <w:p>
            <w:pPr>
              <w:pStyle w:val="Compact"/>
              <w:jc w:val="left"/>
            </w:pPr>
            <w:r>
              <w:t xml:space="preserve">2923 ± 140</w:t>
            </w:r>
          </w:p>
        </w:tc>
        <w:tc>
          <w:tcPr/>
          <w:p>
            <w:pPr>
              <w:pStyle w:val="Compact"/>
              <w:jc w:val="left"/>
            </w:pPr>
            <w:r>
              <w:t xml:space="preserve">1535 ± 518</w:t>
            </w:r>
          </w:p>
        </w:tc>
        <w:tc>
          <w:tcPr/>
          <w:p>
            <w:pPr>
              <w:pStyle w:val="Compact"/>
              <w:jc w:val="left"/>
            </w:pPr>
            <w:r>
              <w:rPr>
                <w:bCs/>
                <w:b/>
              </w:rPr>
              <w:t xml:space="preserve">111 ± 6</w:t>
            </w:r>
          </w:p>
        </w:tc>
        <w:tc>
          <w:tcPr/>
          <w:p>
            <w:pPr>
              <w:pStyle w:val="Compact"/>
              <w:jc w:val="left"/>
            </w:pPr>
            <w:r>
              <w:t xml:space="preserve">2357 ± 56</w:t>
            </w:r>
          </w:p>
        </w:tc>
        <w:tc>
          <w:tcPr/>
          <w:p>
            <w:pPr>
              <w:pStyle w:val="Compact"/>
              <w:jc w:val="left"/>
            </w:pPr>
            <w:r>
              <w:t xml:space="preserve">1913 ± 481</w:t>
            </w:r>
          </w:p>
        </w:tc>
        <w:tc>
          <w:tcPr/>
          <w:p>
            <w:pPr>
              <w:pStyle w:val="Compact"/>
              <w:jc w:val="left"/>
            </w:pPr>
            <w:r>
              <w:t xml:space="preserve">3742 ± 783</w:t>
            </w:r>
          </w:p>
        </w:tc>
        <w:tc>
          <w:tcPr/>
          <w:p>
            <w:pPr>
              <w:pStyle w:val="Compact"/>
              <w:jc w:val="left"/>
            </w:pPr>
            <w:r>
              <w:t xml:space="preserve">544 ± 20</w:t>
            </w:r>
          </w:p>
        </w:tc>
        <w:tc>
          <w:tcPr/>
          <w:p>
            <w:pPr>
              <w:pStyle w:val="Compact"/>
              <w:jc w:val="left"/>
            </w:pPr>
            <w:r>
              <w:t xml:space="preserve">2382 ± 219</w:t>
            </w:r>
          </w:p>
        </w:tc>
        <w:tc>
          <w:tcPr/>
          <w:p>
            <w:pPr>
              <w:pStyle w:val="Compact"/>
              <w:jc w:val="left"/>
            </w:pPr>
            <w:r>
              <w:t xml:space="preserve">2373 ± 0</w:t>
            </w:r>
          </w:p>
        </w:tc>
        <w:tc>
          <w:tcPr/>
          <w:p>
            <w:pPr>
              <w:pStyle w:val="Compact"/>
              <w:jc w:val="left"/>
            </w:pPr>
            <w:r>
              <w:t xml:space="preserve">726 ± 78</w:t>
            </w:r>
          </w:p>
        </w:tc>
        <w:tc>
          <w:tcPr/>
          <w:p>
            <w:pPr>
              <w:pStyle w:val="Compact"/>
              <w:jc w:val="left"/>
            </w:pPr>
            <w:r>
              <w:t xml:space="preserve">441 ± 45</w:t>
            </w:r>
          </w:p>
        </w:tc>
        <w:tc>
          <w:tcPr/>
          <w:p>
            <w:pPr>
              <w:pStyle w:val="Compact"/>
              <w:jc w:val="left"/>
            </w:pPr>
            <w:r>
              <w:t xml:space="preserve">81</w:t>
            </w:r>
          </w:p>
        </w:tc>
      </w:tr>
      <w:tr>
        <w:tc>
          <w:tcPr/>
          <w:p>
            <w:pPr>
              <w:pStyle w:val="Compact"/>
              <w:jc w:val="left"/>
            </w:pPr>
            <w:r>
              <w:t xml:space="preserve">VAE-DFT</w:t>
            </w:r>
          </w:p>
        </w:tc>
        <w:tc>
          <w:tcPr/>
          <w:p>
            <w:pPr>
              <w:pStyle w:val="Compact"/>
              <w:jc w:val="left"/>
            </w:pPr>
            <w:r>
              <w:t xml:space="preserve">512 ± 268</w:t>
            </w:r>
          </w:p>
        </w:tc>
        <w:tc>
          <w:tcPr/>
          <w:p>
            <w:pPr>
              <w:pStyle w:val="Compact"/>
              <w:jc w:val="left"/>
            </w:pPr>
            <w:r>
              <w:t xml:space="preserve">347 ± 119</w:t>
            </w:r>
          </w:p>
        </w:tc>
        <w:tc>
          <w:tcPr/>
          <w:p>
            <w:pPr>
              <w:pStyle w:val="Compact"/>
              <w:jc w:val="left"/>
            </w:pPr>
            <w:r>
              <w:t xml:space="preserve">422 ± 305</w:t>
            </w:r>
          </w:p>
        </w:tc>
        <w:tc>
          <w:tcPr/>
          <w:p>
            <w:pPr>
              <w:pStyle w:val="Compact"/>
              <w:jc w:val="left"/>
            </w:pPr>
            <w:r>
              <w:t xml:space="preserve">342 ± 127</w:t>
            </w:r>
          </w:p>
        </w:tc>
        <w:tc>
          <w:tcPr/>
          <w:p>
            <w:pPr>
              <w:pStyle w:val="Compact"/>
              <w:jc w:val="left"/>
            </w:pPr>
            <w:r>
              <w:t xml:space="preserve">393 ± 118</w:t>
            </w:r>
          </w:p>
        </w:tc>
        <w:tc>
          <w:tcPr/>
          <w:p>
            <w:pPr>
              <w:pStyle w:val="Compact"/>
              <w:jc w:val="left"/>
            </w:pPr>
            <w:r>
              <w:t xml:space="preserve">755 ± 517</w:t>
            </w:r>
          </w:p>
        </w:tc>
        <w:tc>
          <w:tcPr/>
          <w:p>
            <w:pPr>
              <w:pStyle w:val="Compact"/>
              <w:jc w:val="left"/>
            </w:pPr>
            <w:r>
              <w:rPr>
                <w:bCs/>
                <w:b/>
              </w:rPr>
              <w:t xml:space="preserve">285 ± 40</w:t>
            </w:r>
          </w:p>
        </w:tc>
        <w:tc>
          <w:tcPr/>
          <w:p>
            <w:pPr>
              <w:pStyle w:val="Compact"/>
              <w:jc w:val="left"/>
            </w:pPr>
            <w:r>
              <w:t xml:space="preserve">506 ± 389</w:t>
            </w:r>
          </w:p>
        </w:tc>
        <w:tc>
          <w:tcPr/>
          <w:p>
            <w:pPr>
              <w:pStyle w:val="Compact"/>
              <w:jc w:val="left"/>
            </w:pPr>
            <w:r>
              <w:t xml:space="preserve">417 ± 331</w:t>
            </w:r>
          </w:p>
        </w:tc>
        <w:tc>
          <w:tcPr/>
          <w:p>
            <w:pPr>
              <w:pStyle w:val="Compact"/>
              <w:jc w:val="left"/>
            </w:pPr>
            <w:r>
              <w:t xml:space="preserve">230 ± 29</w:t>
            </w:r>
          </w:p>
        </w:tc>
        <w:tc>
          <w:tcPr/>
          <w:p>
            <w:pPr>
              <w:pStyle w:val="Compact"/>
              <w:jc w:val="left"/>
            </w:pPr>
            <w:r>
              <w:t xml:space="preserve">253 ± 17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2264 ± 193</w:t>
            </w:r>
          </w:p>
        </w:tc>
        <w:tc>
          <w:tcPr/>
          <w:p>
            <w:pPr>
              <w:pStyle w:val="Compact"/>
              <w:jc w:val="left"/>
            </w:pPr>
            <w:r>
              <w:t xml:space="preserve">1800 ± 145</w:t>
            </w:r>
          </w:p>
        </w:tc>
        <w:tc>
          <w:tcPr/>
          <w:p>
            <w:pPr>
              <w:pStyle w:val="Compact"/>
              <w:jc w:val="left"/>
            </w:pPr>
            <w:r>
              <w:t xml:space="preserve">1167 ± 211</w:t>
            </w:r>
          </w:p>
        </w:tc>
        <w:tc>
          <w:tcPr/>
          <w:p>
            <w:pPr>
              <w:pStyle w:val="Compact"/>
              <w:jc w:val="left"/>
            </w:pPr>
            <w:r>
              <w:t xml:space="preserve">1927 ± 101</w:t>
            </w:r>
          </w:p>
        </w:tc>
        <w:tc>
          <w:tcPr/>
          <w:p>
            <w:pPr>
              <w:pStyle w:val="Compact"/>
              <w:jc w:val="left"/>
            </w:pPr>
            <w:r>
              <w:t xml:space="preserve">2819 ± 399</w:t>
            </w:r>
          </w:p>
        </w:tc>
        <w:tc>
          <w:tcPr/>
          <w:p>
            <w:pPr>
              <w:pStyle w:val="Compact"/>
              <w:jc w:val="left"/>
            </w:pPr>
            <w:r>
              <w:t xml:space="preserve">3079 ± 136</w:t>
            </w:r>
          </w:p>
        </w:tc>
        <w:tc>
          <w:tcPr/>
          <w:p>
            <w:pPr>
              <w:pStyle w:val="Compact"/>
              <w:jc w:val="left"/>
            </w:pPr>
            <w:r>
              <w:t xml:space="preserve">620 ± 158</w:t>
            </w:r>
          </w:p>
        </w:tc>
        <w:tc>
          <w:tcPr/>
          <w:p>
            <w:pPr>
              <w:pStyle w:val="Compact"/>
              <w:jc w:val="left"/>
            </w:pPr>
            <w:r>
              <w:t xml:space="preserve">2677 ± 533</w:t>
            </w:r>
          </w:p>
        </w:tc>
        <w:tc>
          <w:tcPr/>
          <w:p>
            <w:pPr>
              <w:pStyle w:val="Compact"/>
              <w:jc w:val="left"/>
            </w:pPr>
            <w:r>
              <w:t xml:space="preserve">2272 ± 137</w:t>
            </w:r>
          </w:p>
        </w:tc>
        <w:tc>
          <w:tcPr/>
          <w:p>
            <w:pPr>
              <w:pStyle w:val="Compact"/>
              <w:jc w:val="left"/>
            </w:pPr>
            <w:r>
              <w:t xml:space="preserve">600 ± 45</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MSGD-1</w:t>
            </w:r>
          </w:p>
        </w:tc>
        <w:tc>
          <w:tcPr/>
          <w:p>
            <w:pPr>
              <w:pStyle w:val="Compact"/>
              <w:jc w:val="left"/>
            </w:pPr>
            <w:r>
              <w:t xml:space="preserve">2168 ± 203</w:t>
            </w:r>
          </w:p>
        </w:tc>
        <w:tc>
          <w:tcPr/>
          <w:p>
            <w:pPr>
              <w:pStyle w:val="Compact"/>
              <w:jc w:val="left"/>
            </w:pPr>
            <w:r>
              <w:t xml:space="preserve">1688 ± 107</w:t>
            </w:r>
          </w:p>
        </w:tc>
        <w:tc>
          <w:tcPr/>
          <w:p>
            <w:pPr>
              <w:pStyle w:val="Compact"/>
              <w:jc w:val="left"/>
            </w:pPr>
            <w:r>
              <w:t xml:space="preserve">1115 ± 136</w:t>
            </w:r>
          </w:p>
        </w:tc>
        <w:tc>
          <w:tcPr/>
          <w:p>
            <w:pPr>
              <w:pStyle w:val="Compact"/>
              <w:jc w:val="left"/>
            </w:pPr>
            <w:r>
              <w:t xml:space="preserve">1813 ± 130</w:t>
            </w:r>
          </w:p>
        </w:tc>
        <w:tc>
          <w:tcPr/>
          <w:p>
            <w:pPr>
              <w:pStyle w:val="Compact"/>
              <w:jc w:val="left"/>
            </w:pPr>
            <w:r>
              <w:t xml:space="preserve">2696 ± 493</w:t>
            </w:r>
          </w:p>
        </w:tc>
        <w:tc>
          <w:tcPr/>
          <w:p>
            <w:pPr>
              <w:pStyle w:val="Compact"/>
              <w:jc w:val="left"/>
            </w:pPr>
            <w:r>
              <w:t xml:space="preserve">3037 ± 156</w:t>
            </w:r>
          </w:p>
        </w:tc>
        <w:tc>
          <w:tcPr/>
          <w:p>
            <w:pPr>
              <w:pStyle w:val="Compact"/>
              <w:jc w:val="left"/>
            </w:pPr>
            <w:r>
              <w:t xml:space="preserve">756 ± 195</w:t>
            </w:r>
          </w:p>
        </w:tc>
        <w:tc>
          <w:tcPr/>
          <w:p>
            <w:pPr>
              <w:pStyle w:val="Compact"/>
              <w:jc w:val="left"/>
            </w:pPr>
            <w:r>
              <w:t xml:space="preserve">2102 ± 339</w:t>
            </w:r>
          </w:p>
        </w:tc>
        <w:tc>
          <w:tcPr/>
          <w:p>
            <w:pPr>
              <w:pStyle w:val="Compact"/>
              <w:jc w:val="left"/>
            </w:pPr>
            <w:r>
              <w:t xml:space="preserve">2226 ± 134</w:t>
            </w:r>
          </w:p>
        </w:tc>
        <w:tc>
          <w:tcPr/>
          <w:p>
            <w:pPr>
              <w:pStyle w:val="Compact"/>
              <w:jc w:val="left"/>
            </w:pPr>
            <w:r>
              <w:t xml:space="preserve">596 ± 44</w:t>
            </w:r>
          </w:p>
        </w:tc>
        <w:tc>
          <w:tcPr/>
          <w:p>
            <w:pPr>
              <w:pStyle w:val="Compact"/>
              <w:jc w:val="left"/>
            </w:pPr>
            <w:r>
              <w:t xml:space="preserve">459 ± 55</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2223 ± 221</w:t>
            </w:r>
          </w:p>
        </w:tc>
        <w:tc>
          <w:tcPr/>
          <w:p>
            <w:pPr>
              <w:pStyle w:val="Compact"/>
              <w:jc w:val="left"/>
            </w:pPr>
            <w:r>
              <w:t xml:space="preserve">1792 ± 132</w:t>
            </w:r>
          </w:p>
        </w:tc>
        <w:tc>
          <w:tcPr/>
          <w:p>
            <w:pPr>
              <w:pStyle w:val="Compact"/>
              <w:jc w:val="left"/>
            </w:pPr>
            <w:r>
              <w:t xml:space="preserve">804 ± 298</w:t>
            </w:r>
          </w:p>
        </w:tc>
        <w:tc>
          <w:tcPr/>
          <w:p>
            <w:pPr>
              <w:pStyle w:val="Compact"/>
              <w:jc w:val="left"/>
            </w:pPr>
            <w:r>
              <w:t xml:space="preserve">1865 ± 137</w:t>
            </w:r>
          </w:p>
        </w:tc>
        <w:tc>
          <w:tcPr/>
          <w:p>
            <w:pPr>
              <w:pStyle w:val="Compact"/>
              <w:jc w:val="left"/>
            </w:pPr>
            <w:r>
              <w:t xml:space="preserve">2513 ± 562</w:t>
            </w:r>
          </w:p>
        </w:tc>
        <w:tc>
          <w:tcPr/>
          <w:p>
            <w:pPr>
              <w:pStyle w:val="Compact"/>
              <w:jc w:val="left"/>
            </w:pPr>
            <w:r>
              <w:t xml:space="preserve">2913 ± 496</w:t>
            </w:r>
          </w:p>
        </w:tc>
        <w:tc>
          <w:tcPr/>
          <w:p>
            <w:pPr>
              <w:pStyle w:val="Compact"/>
              <w:jc w:val="left"/>
            </w:pPr>
            <w:r>
              <w:t xml:space="preserve">528 ± 6</w:t>
            </w:r>
          </w:p>
        </w:tc>
        <w:tc>
          <w:tcPr/>
          <w:p>
            <w:pPr>
              <w:pStyle w:val="Compact"/>
              <w:jc w:val="left"/>
            </w:pPr>
            <w:r>
              <w:t xml:space="preserve">2459 ± 297</w:t>
            </w:r>
          </w:p>
        </w:tc>
        <w:tc>
          <w:tcPr/>
          <w:p>
            <w:pPr>
              <w:pStyle w:val="Compact"/>
              <w:jc w:val="left"/>
            </w:pPr>
            <w:r>
              <w:t xml:space="preserve">2239 ± 127</w:t>
            </w:r>
          </w:p>
        </w:tc>
        <w:tc>
          <w:tcPr/>
          <w:p>
            <w:pPr>
              <w:pStyle w:val="Compact"/>
              <w:jc w:val="left"/>
            </w:pPr>
            <w:r>
              <w:t xml:space="preserve">586 ± 47</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DAMAD</w:t>
            </w:r>
          </w:p>
        </w:tc>
        <w:tc>
          <w:tcPr/>
          <w:p>
            <w:pPr>
              <w:pStyle w:val="Compact"/>
              <w:jc w:val="left"/>
            </w:pPr>
            <w:r>
              <w:rPr>
                <w:bCs/>
                <w:b/>
              </w:rPr>
              <w:t xml:space="preserve">437 ± 96</w:t>
            </w:r>
          </w:p>
        </w:tc>
        <w:tc>
          <w:tcPr/>
          <w:p>
            <w:pPr>
              <w:pStyle w:val="Compact"/>
              <w:jc w:val="left"/>
            </w:pPr>
            <w:r>
              <w:rPr>
                <w:bCs/>
                <w:b/>
              </w:rPr>
              <w:t xml:space="preserve">264 ± 98</w:t>
            </w:r>
          </w:p>
        </w:tc>
        <w:tc>
          <w:tcPr/>
          <w:p>
            <w:pPr>
              <w:pStyle w:val="Compact"/>
              <w:jc w:val="left"/>
            </w:pPr>
            <w:r>
              <w:t xml:space="preserve">229 ± 253</w:t>
            </w:r>
          </w:p>
        </w:tc>
        <w:tc>
          <w:tcPr/>
          <w:p>
            <w:pPr>
              <w:pStyle w:val="Compact"/>
              <w:jc w:val="left"/>
            </w:pPr>
            <w:r>
              <w:rPr>
                <w:bCs/>
                <w:b/>
              </w:rPr>
              <w:t xml:space="preserve">279 ± 72</w:t>
            </w:r>
          </w:p>
        </w:tc>
        <w:tc>
          <w:tcPr/>
          <w:p>
            <w:pPr>
              <w:pStyle w:val="Compact"/>
              <w:jc w:val="left"/>
            </w:pPr>
            <w:r>
              <w:rPr>
                <w:bCs/>
                <w:b/>
              </w:rPr>
              <w:t xml:space="preserve">362 ± 145</w:t>
            </w:r>
          </w:p>
        </w:tc>
        <w:tc>
          <w:tcPr/>
          <w:p>
            <w:pPr>
              <w:pStyle w:val="Compact"/>
              <w:jc w:val="left"/>
            </w:pPr>
            <w:r>
              <w:rPr>
                <w:bCs/>
                <w:b/>
              </w:rPr>
              <w:t xml:space="preserve">618 ± 476</w:t>
            </w:r>
          </w:p>
        </w:tc>
        <w:tc>
          <w:tcPr/>
          <w:p>
            <w:pPr>
              <w:pStyle w:val="Compact"/>
              <w:jc w:val="left"/>
            </w:pPr>
            <w:r>
              <w:t xml:space="preserve">300 ± 57</w:t>
            </w:r>
          </w:p>
        </w:tc>
        <w:tc>
          <w:tcPr/>
          <w:p>
            <w:pPr>
              <w:pStyle w:val="Compact"/>
              <w:jc w:val="left"/>
            </w:pPr>
            <w:r>
              <w:t xml:space="preserve">208 ± 37</w:t>
            </w:r>
          </w:p>
        </w:tc>
        <w:tc>
          <w:tcPr/>
          <w:p>
            <w:pPr>
              <w:pStyle w:val="Compact"/>
              <w:jc w:val="left"/>
            </w:pPr>
            <w:r>
              <w:t xml:space="preserve">203 ± 128</w:t>
            </w:r>
          </w:p>
        </w:tc>
        <w:tc>
          <w:tcPr/>
          <w:p>
            <w:pPr>
              <w:pStyle w:val="Compact"/>
              <w:jc w:val="left"/>
            </w:pPr>
            <w:r>
              <w:rPr>
                <w:bCs/>
                <w:b/>
              </w:rPr>
              <w:t xml:space="preserve">206 ± 39</w:t>
            </w:r>
          </w:p>
        </w:tc>
        <w:tc>
          <w:tcPr/>
          <w:p>
            <w:pPr>
              <w:pStyle w:val="Compact"/>
              <w:jc w:val="left"/>
            </w:pPr>
            <w:r>
              <w:rPr>
                <w:bCs/>
                <w:b/>
              </w:rPr>
              <w:t xml:space="preserve">218 ± 18</w:t>
            </w:r>
          </w:p>
        </w:tc>
        <w:tc>
          <w:tcPr/>
          <w:p>
            <w:pPr>
              <w:pStyle w:val="Compact"/>
              <w:jc w:val="left"/>
            </w:pPr>
            <w:r>
              <w:t xml:space="preserve">98</w:t>
            </w:r>
          </w:p>
        </w:tc>
      </w:tr>
    </w:tbl>
    <w:p>
      <w:pPr>
        <w:pStyle w:val="BodyText"/>
      </w:pPr>
      <w:r>
        <w:t xml:space="preserve">Recovery time (Table 13) shows the same thing from the other side. After a sudden change the static group needs 2,200–2,300 windows pooled, and on SMD, PSM, SWaT and WADI 2,200–3,100, which is to say it never recovers within the segment; the value is the cap. DAMAD recovers in 230–440 windows depending on the pattern, VAE-DFT in 340–510, and both recover from 97–98 % of change points against 78–85 % for the rest. The adaptation itself takes eleven milliseconds; the time is spent waiting for five support windows and a calibration window, which is the price of setting a threshold without labels.</w:t>
      </w:r>
    </w:p>
    <w:p>
      <w:pPr>
        <w:pStyle w:val="BodyText"/>
      </w:pPr>
      <w:r>
        <w:t xml:space="preserve">F1 under drift (Table 11) follows from the false-alarm rate but less cleanly, because F1 also rewards recall and the static detectors have plenty of it: pooled under drift, the static VAE has recall 0.76 against DAMAD’s 0.43, bought with an 81 % false-alarm rate against 23 %. Pooled with equal weight per dataset DAMAD has the best F1 in every condition, 25.5–26.7 against 22.2–24.4 for the static VAE and 23.8–26.1 for VAE-DFT, but the per-dataset columns show where that comes from and where it does not. On SWaT DAMAD is first under every pattern (52.4 averaged, against 25.5 for the static group and 39.9 for VAE-DFT); on SMD first under three of four patterns and more than double the static VAE (22.5 versus 10.0); on WADI second to VAE-DFT (18.5 versus 20.1, both far above the 12 of the static group). On PSM, SMAP and MSL the static group has the higher F1, and in all three cases that F1 is the one alarming on most of the stream earns: 44 % on PSM, 20 % on SMAP, 25 % on MSL (Section 8.3), reached with false-alarm rates of 87–99 %. On HAI the injected shift raises the static VAE’s false-alarm rate only to 32 %, because the threshold set on the first regime of an HAI campaign is already high relative to the shifted residual, and DAMAD’s rate (27 %) is not much better while its recalibrated thresholds cost it recall (F1 21.2 against 27.0). HAI is the one industrial dataset on which the method brings no gain.</w:t>
      </w:r>
    </w:p>
    <w:p>
      <w:pPr>
        <w:pStyle w:val="CaptionedFigure"/>
      </w:pPr>
      <w:r>
        <w:drawing>
          <wp:inline>
            <wp:extent cx="5334000" cy="2413947"/>
            <wp:effectExtent b="0" l="0" r="0" t="0"/>
            <wp:docPr descr="Figure 4. Pooled point-wise F1 (left) and false-alarm rate after drift (right) by drift condition, K = 5, each dataset weighted equally.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each dataset weighted equally. Error bars are standard deviations over seeds.</w:t>
      </w:r>
    </w:p>
    <w:p>
      <w:pPr>
        <w:pStyle w:val="BodyText"/>
      </w:pPr>
      <w:r>
        <w:t xml:space="preserve">Detection latency is the streaming metric on which DAMAD is worst, and the eight-dataset view makes that plainer than the four-dataset one did. Averaged over drift patterns the static and adapt-once detectors raise their first alarm 2–6 windows into an anomaly segment on SMD, PSM, HAI, SWaT and WADI; DAMAD needs 9–31 windows there and 51–144 on the NASA channels, and it detects fewer segments (51–84 % against 80–97 % for the static group on the same datasets). Both follow from the recalibrated threshold being higher than a threshold set once on a quiet first regime; on SWaT and WADI, where DAMAD’s threshold is recalibrated after every one of several confirmed changes, the segment detection rate is only 48–51 %. An operator who wants the earliest possible alarm and can live with alarms on most normal steps after a change should use the static detector; one who needs the alarm stream to stay meaningful after a change cannot. The trade is explicit.</w:t>
      </w:r>
    </w:p>
    <w:p>
      <w:pPr>
        <w:pStyle w:val="BodyText"/>
      </w:pPr>
      <w:r>
        <w:t xml:space="preserve">Figure 5 shows one SMD stream under sudden drift and Figure 6 the SWaT stream.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On SWaT the long attack between windows 23,000 and 27,000 triggers an adaptation in both drift-aware methods, which then set the threshold at the attack level; the acceptance test does not undo it because by the time the shadow period ends the stream has moved on to a third level. This is the mechanism behind DAMAD’s low segment detection rate on SWaT, and it is visible in the trace.</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 title="" id="64" name="Picture"/>
            <a:graphic>
              <a:graphicData uri="http://schemas.openxmlformats.org/drawingml/2006/picture">
                <pic:pic>
                  <pic:nvPicPr>
                    <pic:cNvPr descr="../figures/fig_trace_swat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w:t>
      </w:r>
    </w:p>
    <w:bookmarkEnd w:id="66"/>
    <w:bookmarkStart w:id="70" w:name="ablations"/>
    <w:p>
      <w:pPr>
        <w:pStyle w:val="Heading2"/>
      </w:pPr>
      <w:r>
        <w:t xml:space="preserve">7.3 Ablations</w:t>
      </w:r>
    </w:p>
    <w:p>
      <w:pPr>
        <w:pStyle w:val="FirstParagraph"/>
      </w:pPr>
      <w:r>
        <w:t xml:space="preserve">Table 14 removes or replaces one element of DAMAD at a time under the four drift conditions, per dataset, and Figure 7 shows the pooled picture. Two components carry the result. Without threshold recalibration (noM4) the false-alarm rate goes to 67 % on SMD, 98 % on PSM, 96 % on SWaT, 80 % on WADI and 83 % on MSL, and recovery takes 1,700–3,000 windows on the industrial datasets, which is the static detector’s behaviour with extra steps; the adaptation of the model alone does not help if the threshold stays where it was. With MMD as the only gate (−mmd) the numbers are nearly as bad on SMD, PSM and WADI (66 %, 88 %, 96 %), because the embedding statistic does not fire on the injected changes reliably and the detector then behaves as if it had no gate. Adding MMD to the residual gate (+mmd) is worse than the residual gate alone on five of the seven datasets in F1 and better on SWaT only, which is what motivated dropping it from the method.</w:t>
      </w:r>
    </w:p>
    <w:p>
      <w:pPr>
        <w:pStyle w:val="BodyText"/>
      </w:pPr>
      <w:r>
        <w:t xml:space="preserve">Table 14. Ablations under the four drift patterns, K = 5, per dataset: F1 (%) and false-alarm rate after drift (%). Adaptation steps are in the repository tables.</w:t>
      </w:r>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F1 SWaT</w:t>
            </w:r>
          </w:p>
        </w:tc>
        <w:tc>
          <w:tcPr/>
          <w:p>
            <w:pPr>
              <w:pStyle w:val="Compact"/>
              <w:jc w:val="left"/>
            </w:pPr>
            <w:r>
              <w:t xml:space="preserve">F1 WADI</w:t>
            </w:r>
          </w:p>
        </w:tc>
        <w:tc>
          <w:tcPr/>
          <w:p>
            <w:pPr>
              <w:pStyle w:val="Compact"/>
              <w:jc w:val="left"/>
            </w:pPr>
            <w:r>
              <w:t xml:space="preserve">F1 SMAP</w:t>
            </w:r>
          </w:p>
        </w:tc>
        <w:tc>
          <w:tcPr/>
          <w:p>
            <w:pPr>
              <w:pStyle w:val="Compact"/>
              <w:jc w:val="left"/>
            </w:pPr>
            <w:r>
              <w:t xml:space="preserve">F1 MSL</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FPR SWaT</w:t>
            </w:r>
          </w:p>
        </w:tc>
        <w:tc>
          <w:tcPr/>
          <w:p>
            <w:pPr>
              <w:pStyle w:val="Compact"/>
              <w:jc w:val="left"/>
            </w:pPr>
            <w:r>
              <w:t xml:space="preserve">FPR WADI</w:t>
            </w:r>
          </w:p>
        </w:tc>
        <w:tc>
          <w:tcPr/>
          <w:p>
            <w:pPr>
              <w:pStyle w:val="Compact"/>
              <w:jc w:val="left"/>
            </w:pPr>
            <w:r>
              <w:t xml:space="preserve">FPR SMAP</w:t>
            </w:r>
          </w:p>
        </w:tc>
        <w:tc>
          <w:tcPr/>
          <w:p>
            <w:pPr>
              <w:pStyle w:val="Compact"/>
              <w:jc w:val="left"/>
            </w:pPr>
            <w:r>
              <w:t xml:space="preserve">FPR MSL</w:t>
            </w:r>
          </w:p>
        </w:tc>
      </w:tr>
      <w:tr>
        <w:tc>
          <w:tcPr/>
          <w:p>
            <w:pPr>
              <w:pStyle w:val="Compact"/>
              <w:jc w:val="left"/>
            </w:pPr>
            <w:r>
              <w:t xml:space="preserve">DAMAD</w:t>
            </w:r>
          </w:p>
        </w:tc>
        <w:tc>
          <w:tcPr/>
          <w:p>
            <w:pPr>
              <w:pStyle w:val="Compact"/>
              <w:jc w:val="left"/>
            </w:pPr>
            <w:r>
              <w:t xml:space="preserve">22.5</w:t>
            </w:r>
          </w:p>
        </w:tc>
        <w:tc>
          <w:tcPr/>
          <w:p>
            <w:pPr>
              <w:pStyle w:val="Compact"/>
              <w:jc w:val="left"/>
            </w:pPr>
            <w:r>
              <w:t xml:space="preserve">42.1</w:t>
            </w:r>
          </w:p>
        </w:tc>
        <w:tc>
          <w:tcPr/>
          <w:p>
            <w:pPr>
              <w:pStyle w:val="Compact"/>
              <w:jc w:val="left"/>
            </w:pPr>
            <w:r>
              <w:t xml:space="preserve">21.2</w:t>
            </w:r>
          </w:p>
        </w:tc>
        <w:tc>
          <w:tcPr/>
          <w:p>
            <w:pPr>
              <w:pStyle w:val="Compact"/>
              <w:jc w:val="left"/>
            </w:pPr>
            <w:r>
              <w:t xml:space="preserve">52.4</w:t>
            </w:r>
          </w:p>
        </w:tc>
        <w:tc>
          <w:tcPr/>
          <w:p>
            <w:pPr>
              <w:pStyle w:val="Compact"/>
              <w:jc w:val="left"/>
            </w:pPr>
            <w:r>
              <w:t xml:space="preserve">18.5</w:t>
            </w:r>
          </w:p>
        </w:tc>
        <w:tc>
          <w:tcPr/>
          <w:p>
            <w:pPr>
              <w:pStyle w:val="Compact"/>
              <w:jc w:val="left"/>
            </w:pPr>
            <w:r>
              <w:t xml:space="preserve">11.3</w:t>
            </w:r>
          </w:p>
        </w:tc>
        <w:tc>
          <w:tcPr/>
          <w:p>
            <w:pPr>
              <w:pStyle w:val="Compact"/>
              <w:jc w:val="left"/>
            </w:pPr>
            <w:r>
              <w:t xml:space="preserve">16.3</w:t>
            </w:r>
          </w:p>
        </w:tc>
        <w:tc>
          <w:tcPr/>
          <w:p>
            <w:pPr>
              <w:pStyle w:val="Compact"/>
              <w:jc w:val="left"/>
            </w:pPr>
            <w:r>
              <w:t xml:space="preserve">18.0</w:t>
            </w:r>
          </w:p>
        </w:tc>
        <w:tc>
          <w:tcPr/>
          <w:p>
            <w:pPr>
              <w:pStyle w:val="Compact"/>
              <w:jc w:val="left"/>
            </w:pPr>
            <w:r>
              <w:t xml:space="preserve">26.7</w:t>
            </w:r>
          </w:p>
        </w:tc>
        <w:tc>
          <w:tcPr/>
          <w:p>
            <w:pPr>
              <w:pStyle w:val="Compact"/>
              <w:jc w:val="left"/>
            </w:pPr>
            <w:r>
              <w:t xml:space="preserve">27.0</w:t>
            </w:r>
          </w:p>
        </w:tc>
        <w:tc>
          <w:tcPr/>
          <w:p>
            <w:pPr>
              <w:pStyle w:val="Compact"/>
              <w:jc w:val="left"/>
            </w:pPr>
            <w:r>
              <w:t xml:space="preserve">11.4</w:t>
            </w:r>
          </w:p>
        </w:tc>
        <w:tc>
          <w:tcPr/>
          <w:p>
            <w:pPr>
              <w:pStyle w:val="Compact"/>
              <w:jc w:val="left"/>
            </w:pPr>
            <w:r>
              <w:t xml:space="preserve">17.2</w:t>
            </w:r>
          </w:p>
        </w:tc>
        <w:tc>
          <w:tcPr/>
          <w:p>
            <w:pPr>
              <w:pStyle w:val="Compact"/>
              <w:jc w:val="left"/>
            </w:pPr>
            <w:r>
              <w:t xml:space="preserve">19.1</w:t>
            </w:r>
          </w:p>
        </w:tc>
        <w:tc>
          <w:tcPr/>
          <w:p>
            <w:pPr>
              <w:pStyle w:val="Compact"/>
              <w:jc w:val="left"/>
            </w:pPr>
            <w:r>
              <w:t xml:space="preserve">40.8</w:t>
            </w:r>
          </w:p>
        </w:tc>
      </w:tr>
      <w:tr>
        <w:tc>
          <w:tcPr/>
          <w:p>
            <w:pPr>
              <w:pStyle w:val="Compact"/>
              <w:jc w:val="left"/>
            </w:pPr>
            <w:r>
              <w:t xml:space="preserve">random episodes (rndM1)</w:t>
            </w:r>
          </w:p>
        </w:tc>
        <w:tc>
          <w:tcPr/>
          <w:p>
            <w:pPr>
              <w:pStyle w:val="Compact"/>
              <w:jc w:val="left"/>
            </w:pPr>
            <w:r>
              <w:t xml:space="preserve">22.8</w:t>
            </w:r>
          </w:p>
        </w:tc>
        <w:tc>
          <w:tcPr/>
          <w:p>
            <w:pPr>
              <w:pStyle w:val="Compact"/>
              <w:jc w:val="left"/>
            </w:pPr>
            <w:r>
              <w:t xml:space="preserve">41.9</w:t>
            </w:r>
          </w:p>
        </w:tc>
        <w:tc>
          <w:tcPr/>
          <w:p>
            <w:pPr>
              <w:pStyle w:val="Compact"/>
              <w:jc w:val="left"/>
            </w:pPr>
            <w:r>
              <w:rPr>
                <w:bCs/>
                <w:b/>
              </w:rPr>
              <w:t xml:space="preserve">29.5</w:t>
            </w:r>
          </w:p>
        </w:tc>
        <w:tc>
          <w:tcPr/>
          <w:p>
            <w:pPr>
              <w:pStyle w:val="Compact"/>
              <w:jc w:val="left"/>
            </w:pPr>
            <w:r>
              <w:t xml:space="preserve">48.4</w:t>
            </w:r>
          </w:p>
        </w:tc>
        <w:tc>
          <w:tcPr/>
          <w:p>
            <w:pPr>
              <w:pStyle w:val="Compact"/>
              <w:jc w:val="left"/>
            </w:pPr>
            <w:r>
              <w:t xml:space="preserve">22.9</w:t>
            </w:r>
          </w:p>
        </w:tc>
        <w:tc>
          <w:tcPr/>
          <w:p>
            <w:pPr>
              <w:pStyle w:val="Compact"/>
              <w:jc w:val="left"/>
            </w:pPr>
            <w:r>
              <w:t xml:space="preserve">11.9</w:t>
            </w:r>
          </w:p>
        </w:tc>
        <w:tc>
          <w:tcPr/>
          <w:p>
            <w:pPr>
              <w:pStyle w:val="Compact"/>
              <w:jc w:val="left"/>
            </w:pPr>
            <w:r>
              <w:t xml:space="preserve">16.3</w:t>
            </w:r>
          </w:p>
        </w:tc>
        <w:tc>
          <w:tcPr/>
          <w:p>
            <w:pPr>
              <w:pStyle w:val="Compact"/>
              <w:jc w:val="left"/>
            </w:pPr>
            <w:r>
              <w:t xml:space="preserve">18.4</w:t>
            </w:r>
          </w:p>
        </w:tc>
        <w:tc>
          <w:tcPr/>
          <w:p>
            <w:pPr>
              <w:pStyle w:val="Compact"/>
              <w:jc w:val="left"/>
            </w:pPr>
            <w:r>
              <w:t xml:space="preserve">30.3</w:t>
            </w:r>
          </w:p>
        </w:tc>
        <w:tc>
          <w:tcPr/>
          <w:p>
            <w:pPr>
              <w:pStyle w:val="Compact"/>
              <w:jc w:val="left"/>
            </w:pPr>
            <w:r>
              <w:rPr>
                <w:bCs/>
                <w:b/>
              </w:rPr>
              <w:t xml:space="preserve">16.4</w:t>
            </w:r>
          </w:p>
        </w:tc>
        <w:tc>
          <w:tcPr/>
          <w:p>
            <w:pPr>
              <w:pStyle w:val="Compact"/>
              <w:jc w:val="left"/>
            </w:pPr>
            <w:r>
              <w:t xml:space="preserve">17.2</w:t>
            </w:r>
          </w:p>
        </w:tc>
        <w:tc>
          <w:tcPr/>
          <w:p>
            <w:pPr>
              <w:pStyle w:val="Compact"/>
              <w:jc w:val="left"/>
            </w:pPr>
            <w:r>
              <w:t xml:space="preserve">23.4</w:t>
            </w:r>
          </w:p>
        </w:tc>
        <w:tc>
          <w:tcPr/>
          <w:p>
            <w:pPr>
              <w:pStyle w:val="Compact"/>
              <w:jc w:val="left"/>
            </w:pPr>
            <w:r>
              <w:t xml:space="preserve">18.7</w:t>
            </w:r>
          </w:p>
        </w:tc>
        <w:tc>
          <w:tcPr/>
          <w:p>
            <w:pPr>
              <w:pStyle w:val="Compact"/>
              <w:jc w:val="left"/>
            </w:pPr>
            <w:r>
              <w:t xml:space="preserve">40.8</w:t>
            </w:r>
          </w:p>
        </w:tc>
      </w:tr>
      <w:tr>
        <w:tc>
          <w:tcPr/>
          <w:p>
            <w:pPr>
              <w:pStyle w:val="Compact"/>
              <w:jc w:val="left"/>
            </w:pPr>
            <w:r>
              <w:t xml:space="preserve">chunk episodes (noM1)</w:t>
            </w:r>
          </w:p>
        </w:tc>
        <w:tc>
          <w:tcPr/>
          <w:p>
            <w:pPr>
              <w:pStyle w:val="Compact"/>
              <w:jc w:val="left"/>
            </w:pPr>
            <w:r>
              <w:t xml:space="preserve">20.9</w:t>
            </w:r>
          </w:p>
        </w:tc>
        <w:tc>
          <w:tcPr/>
          <w:p>
            <w:pPr>
              <w:pStyle w:val="Compact"/>
              <w:jc w:val="left"/>
            </w:pPr>
            <w:r>
              <w:t xml:space="preserve">36.2</w:t>
            </w:r>
          </w:p>
        </w:tc>
        <w:tc>
          <w:tcPr/>
          <w:p>
            <w:pPr>
              <w:pStyle w:val="Compact"/>
              <w:jc w:val="left"/>
            </w:pPr>
            <w:r>
              <w:t xml:space="preserve">20.0</w:t>
            </w:r>
          </w:p>
        </w:tc>
        <w:tc>
          <w:tcPr/>
          <w:p>
            <w:pPr>
              <w:pStyle w:val="Compact"/>
              <w:jc w:val="left"/>
            </w:pPr>
            <w:r>
              <w:t xml:space="preserve">48.4</w:t>
            </w:r>
          </w:p>
        </w:tc>
        <w:tc>
          <w:tcPr/>
          <w:p>
            <w:pPr>
              <w:pStyle w:val="Compact"/>
              <w:jc w:val="left"/>
            </w:pPr>
            <w:r>
              <w:t xml:space="preserve">19.6</w:t>
            </w:r>
          </w:p>
        </w:tc>
        <w:tc>
          <w:tcPr/>
          <w:p>
            <w:pPr>
              <w:pStyle w:val="Compact"/>
              <w:jc w:val="left"/>
            </w:pPr>
            <w:r>
              <w:t xml:space="preserve">11.4</w:t>
            </w:r>
          </w:p>
        </w:tc>
        <w:tc>
          <w:tcPr/>
          <w:p>
            <w:pPr>
              <w:pStyle w:val="Compact"/>
              <w:jc w:val="left"/>
            </w:pPr>
            <w:r>
              <w:t xml:space="preserve">16.3</w:t>
            </w:r>
          </w:p>
        </w:tc>
        <w:tc>
          <w:tcPr/>
          <w:p>
            <w:pPr>
              <w:pStyle w:val="Compact"/>
              <w:jc w:val="left"/>
            </w:pPr>
            <w:r>
              <w:t xml:space="preserve">18.8</w:t>
            </w:r>
          </w:p>
        </w:tc>
        <w:tc>
          <w:tcPr/>
          <w:p>
            <w:pPr>
              <w:pStyle w:val="Compact"/>
              <w:jc w:val="left"/>
            </w:pPr>
            <w:r>
              <w:t xml:space="preserve">26.4</w:t>
            </w:r>
          </w:p>
        </w:tc>
        <w:tc>
          <w:tcPr/>
          <w:p>
            <w:pPr>
              <w:pStyle w:val="Compact"/>
              <w:jc w:val="left"/>
            </w:pPr>
            <w:r>
              <w:t xml:space="preserve">26.8</w:t>
            </w:r>
          </w:p>
        </w:tc>
        <w:tc>
          <w:tcPr/>
          <w:p>
            <w:pPr>
              <w:pStyle w:val="Compact"/>
              <w:jc w:val="left"/>
            </w:pPr>
            <w:r>
              <w:t xml:space="preserve">10.1</w:t>
            </w:r>
          </w:p>
        </w:tc>
        <w:tc>
          <w:tcPr/>
          <w:p>
            <w:pPr>
              <w:pStyle w:val="Compact"/>
              <w:jc w:val="left"/>
            </w:pPr>
            <w:r>
              <w:t xml:space="preserve">18.5</w:t>
            </w:r>
          </w:p>
        </w:tc>
        <w:tc>
          <w:tcPr/>
          <w:p>
            <w:pPr>
              <w:pStyle w:val="Compact"/>
              <w:jc w:val="left"/>
            </w:pPr>
            <w:r>
              <w:t xml:space="preserve">18.2</w:t>
            </w:r>
          </w:p>
        </w:tc>
        <w:tc>
          <w:tcPr/>
          <w:p>
            <w:pPr>
              <w:pStyle w:val="Compact"/>
              <w:jc w:val="left"/>
            </w:pPr>
            <w:r>
              <w:t xml:space="preserve">41.5</w:t>
            </w:r>
          </w:p>
        </w:tc>
      </w:tr>
      <w:tr>
        <w:tc>
          <w:tcPr/>
          <w:p>
            <w:pPr>
              <w:pStyle w:val="Compact"/>
              <w:jc w:val="left"/>
            </w:pPr>
            <w:r>
              <w:t xml:space="preserve">ADWIN + MMD gate (+mmd)</w:t>
            </w:r>
          </w:p>
        </w:tc>
        <w:tc>
          <w:tcPr/>
          <w:p>
            <w:pPr>
              <w:pStyle w:val="Compact"/>
              <w:jc w:val="left"/>
            </w:pPr>
            <w:r>
              <w:t xml:space="preserve">20.0</w:t>
            </w:r>
          </w:p>
        </w:tc>
        <w:tc>
          <w:tcPr/>
          <w:p>
            <w:pPr>
              <w:pStyle w:val="Compact"/>
              <w:jc w:val="left"/>
            </w:pPr>
            <w:r>
              <w:t xml:space="preserve">39.3</w:t>
            </w:r>
          </w:p>
        </w:tc>
        <w:tc>
          <w:tcPr/>
          <w:p>
            <w:pPr>
              <w:pStyle w:val="Compact"/>
              <w:jc w:val="left"/>
            </w:pPr>
            <w:r>
              <w:t xml:space="preserve">13.9</w:t>
            </w:r>
          </w:p>
        </w:tc>
        <w:tc>
          <w:tcPr/>
          <w:p>
            <w:pPr>
              <w:pStyle w:val="Compact"/>
              <w:jc w:val="left"/>
            </w:pPr>
            <w:r>
              <w:t xml:space="preserve">55.1</w:t>
            </w:r>
          </w:p>
        </w:tc>
        <w:tc>
          <w:tcPr/>
          <w:p>
            <w:pPr>
              <w:pStyle w:val="Compact"/>
              <w:jc w:val="left"/>
            </w:pPr>
            <w:r>
              <w:t xml:space="preserve">17.0</w:t>
            </w:r>
          </w:p>
        </w:tc>
        <w:tc>
          <w:tcPr/>
          <w:p>
            <w:pPr>
              <w:pStyle w:val="Compact"/>
              <w:jc w:val="left"/>
            </w:pPr>
            <w:r>
              <w:t xml:space="preserve">7.8</w:t>
            </w:r>
          </w:p>
        </w:tc>
        <w:tc>
          <w:tcPr/>
          <w:p>
            <w:pPr>
              <w:pStyle w:val="Compact"/>
              <w:jc w:val="left"/>
            </w:pPr>
            <w:r>
              <w:t xml:space="preserve">13.7</w:t>
            </w:r>
          </w:p>
        </w:tc>
        <w:tc>
          <w:tcPr/>
          <w:p>
            <w:pPr>
              <w:pStyle w:val="Compact"/>
              <w:jc w:val="left"/>
            </w:pPr>
            <w:r>
              <w:t xml:space="preserve">21.5</w:t>
            </w:r>
          </w:p>
        </w:tc>
        <w:tc>
          <w:tcPr/>
          <w:p>
            <w:pPr>
              <w:pStyle w:val="Compact"/>
              <w:jc w:val="left"/>
            </w:pPr>
            <w:r>
              <w:t xml:space="preserve">32.5</w:t>
            </w:r>
          </w:p>
        </w:tc>
        <w:tc>
          <w:tcPr/>
          <w:p>
            <w:pPr>
              <w:pStyle w:val="Compact"/>
              <w:jc w:val="left"/>
            </w:pPr>
            <w:r>
              <w:t xml:space="preserve">29.1</w:t>
            </w:r>
          </w:p>
        </w:tc>
        <w:tc>
          <w:tcPr/>
          <w:p>
            <w:pPr>
              <w:pStyle w:val="Compact"/>
              <w:jc w:val="left"/>
            </w:pPr>
            <w:r>
              <w:t xml:space="preserve">5.8</w:t>
            </w:r>
          </w:p>
        </w:tc>
        <w:tc>
          <w:tcPr/>
          <w:p>
            <w:pPr>
              <w:pStyle w:val="Compact"/>
              <w:jc w:val="left"/>
            </w:pPr>
            <w:r>
              <w:t xml:space="preserve">20.4</w:t>
            </w:r>
          </w:p>
        </w:tc>
        <w:tc>
          <w:tcPr/>
          <w:p>
            <w:pPr>
              <w:pStyle w:val="Compact"/>
              <w:jc w:val="left"/>
            </w:pPr>
            <w:r>
              <w:rPr>
                <w:bCs/>
                <w:b/>
              </w:rPr>
              <w:t xml:space="preserve">16.1</w:t>
            </w:r>
          </w:p>
        </w:tc>
        <w:tc>
          <w:tcPr/>
          <w:p>
            <w:pPr>
              <w:pStyle w:val="Compact"/>
              <w:jc w:val="left"/>
            </w:pPr>
            <w:r>
              <w:rPr>
                <w:bCs/>
                <w:b/>
              </w:rPr>
              <w:t xml:space="preserve">35.2</w:t>
            </w:r>
          </w:p>
        </w:tc>
      </w:tr>
      <w:tr>
        <w:tc>
          <w:tcPr/>
          <w:p>
            <w:pPr>
              <w:pStyle w:val="Compact"/>
              <w:jc w:val="left"/>
            </w:pPr>
            <w:r>
              <w:t xml:space="preserve">MMD-only gate (−mmd)</w:t>
            </w:r>
          </w:p>
        </w:tc>
        <w:tc>
          <w:tcPr/>
          <w:p>
            <w:pPr>
              <w:pStyle w:val="Compact"/>
              <w:jc w:val="left"/>
            </w:pPr>
            <w:r>
              <w:t xml:space="preserve">12.6</w:t>
            </w:r>
          </w:p>
        </w:tc>
        <w:tc>
          <w:tcPr/>
          <w:p>
            <w:pPr>
              <w:pStyle w:val="Compact"/>
              <w:jc w:val="left"/>
            </w:pPr>
            <w:r>
              <w:t xml:space="preserve">42.7</w:t>
            </w:r>
          </w:p>
        </w:tc>
        <w:tc>
          <w:tcPr/>
          <w:p>
            <w:pPr>
              <w:pStyle w:val="Compact"/>
              <w:jc w:val="left"/>
            </w:pPr>
            <w:r>
              <w:t xml:space="preserve">14.7</w:t>
            </w:r>
          </w:p>
        </w:tc>
        <w:tc>
          <w:tcPr/>
          <w:p>
            <w:pPr>
              <w:pStyle w:val="Compact"/>
              <w:jc w:val="left"/>
            </w:pPr>
            <w:r>
              <w:t xml:space="preserve">48.0</w:t>
            </w:r>
          </w:p>
        </w:tc>
        <w:tc>
          <w:tcPr/>
          <w:p>
            <w:pPr>
              <w:pStyle w:val="Compact"/>
              <w:jc w:val="left"/>
            </w:pPr>
            <w:r>
              <w:t xml:space="preserve">12.2</w:t>
            </w:r>
          </w:p>
        </w:tc>
        <w:tc>
          <w:tcPr/>
          <w:p>
            <w:pPr>
              <w:pStyle w:val="Compact"/>
              <w:jc w:val="left"/>
            </w:pPr>
            <w:r>
              <w:t xml:space="preserve">10.6</w:t>
            </w:r>
          </w:p>
        </w:tc>
        <w:tc>
          <w:tcPr/>
          <w:p>
            <w:pPr>
              <w:pStyle w:val="Compact"/>
              <w:jc w:val="left"/>
            </w:pPr>
            <w:r>
              <w:t xml:space="preserve">13.4</w:t>
            </w:r>
          </w:p>
        </w:tc>
        <w:tc>
          <w:tcPr/>
          <w:p>
            <w:pPr>
              <w:pStyle w:val="Compact"/>
              <w:jc w:val="left"/>
            </w:pPr>
            <w:r>
              <w:t xml:space="preserve">66.0</w:t>
            </w:r>
          </w:p>
        </w:tc>
        <w:tc>
          <w:tcPr/>
          <w:p>
            <w:pPr>
              <w:pStyle w:val="Compact"/>
              <w:jc w:val="left"/>
            </w:pPr>
            <w:r>
              <w:t xml:space="preserve">88.0</w:t>
            </w:r>
          </w:p>
        </w:tc>
        <w:tc>
          <w:tcPr/>
          <w:p>
            <w:pPr>
              <w:pStyle w:val="Compact"/>
              <w:jc w:val="left"/>
            </w:pPr>
            <w:r>
              <w:t xml:space="preserve">30.8</w:t>
            </w:r>
          </w:p>
        </w:tc>
        <w:tc>
          <w:tcPr/>
          <w:p>
            <w:pPr>
              <w:pStyle w:val="Compact"/>
              <w:jc w:val="left"/>
            </w:pPr>
            <w:r>
              <w:t xml:space="preserve">13.7</w:t>
            </w:r>
          </w:p>
        </w:tc>
        <w:tc>
          <w:tcPr/>
          <w:p>
            <w:pPr>
              <w:pStyle w:val="Compact"/>
              <w:jc w:val="left"/>
            </w:pPr>
            <w:r>
              <w:t xml:space="preserve">95.8</w:t>
            </w:r>
          </w:p>
        </w:tc>
        <w:tc>
          <w:tcPr/>
          <w:p>
            <w:pPr>
              <w:pStyle w:val="Compact"/>
              <w:jc w:val="left"/>
            </w:pPr>
            <w:r>
              <w:t xml:space="preserve">20.2</w:t>
            </w:r>
          </w:p>
        </w:tc>
        <w:tc>
          <w:tcPr/>
          <w:p>
            <w:pPr>
              <w:pStyle w:val="Compact"/>
              <w:jc w:val="left"/>
            </w:pPr>
            <w:r>
              <w:t xml:space="preserve">36.9</w:t>
            </w:r>
          </w:p>
        </w:tc>
      </w:tr>
      <w:tr>
        <w:tc>
          <w:tcPr/>
          <w:p>
            <w:pPr>
              <w:pStyle w:val="Compact"/>
              <w:jc w:val="left"/>
            </w:pPr>
            <w:r>
              <w:t xml:space="preserve">no replay (noM3)</w:t>
            </w:r>
          </w:p>
        </w:tc>
        <w:tc>
          <w:tcPr/>
          <w:p>
            <w:pPr>
              <w:pStyle w:val="Compact"/>
              <w:jc w:val="left"/>
            </w:pPr>
            <w:r>
              <w:t xml:space="preserve">22.0</w:t>
            </w:r>
          </w:p>
        </w:tc>
        <w:tc>
          <w:tcPr/>
          <w:p>
            <w:pPr>
              <w:pStyle w:val="Compact"/>
              <w:jc w:val="left"/>
            </w:pPr>
            <w:r>
              <w:t xml:space="preserve">38.7</w:t>
            </w:r>
          </w:p>
        </w:tc>
        <w:tc>
          <w:tcPr/>
          <w:p>
            <w:pPr>
              <w:pStyle w:val="Compact"/>
              <w:jc w:val="left"/>
            </w:pPr>
            <w:r>
              <w:t xml:space="preserve">21.0</w:t>
            </w:r>
          </w:p>
        </w:tc>
        <w:tc>
          <w:tcPr/>
          <w:p>
            <w:pPr>
              <w:pStyle w:val="Compact"/>
              <w:jc w:val="left"/>
            </w:pPr>
            <w:r>
              <w:rPr>
                <w:bCs/>
                <w:b/>
              </w:rPr>
              <w:t xml:space="preserve">61.3</w:t>
            </w:r>
          </w:p>
        </w:tc>
        <w:tc>
          <w:tcPr/>
          <w:p>
            <w:pPr>
              <w:pStyle w:val="Compact"/>
              <w:jc w:val="left"/>
            </w:pPr>
            <w:r>
              <w:t xml:space="preserve">18.2</w:t>
            </w:r>
          </w:p>
        </w:tc>
        <w:tc>
          <w:tcPr/>
          <w:p>
            <w:pPr>
              <w:pStyle w:val="Compact"/>
              <w:jc w:val="left"/>
            </w:pPr>
            <w:r>
              <w:rPr>
                <w:bCs/>
                <w:b/>
              </w:rPr>
              <w:t xml:space="preserve">12.8</w:t>
            </w:r>
          </w:p>
        </w:tc>
        <w:tc>
          <w:tcPr/>
          <w:p>
            <w:pPr>
              <w:pStyle w:val="Compact"/>
              <w:jc w:val="left"/>
            </w:pPr>
            <w:r>
              <w:t xml:space="preserve">16.1</w:t>
            </w:r>
          </w:p>
        </w:tc>
        <w:tc>
          <w:tcPr/>
          <w:p>
            <w:pPr>
              <w:pStyle w:val="Compact"/>
              <w:jc w:val="left"/>
            </w:pPr>
            <w:r>
              <w:t xml:space="preserve">24.0</w:t>
            </w:r>
          </w:p>
        </w:tc>
        <w:tc>
          <w:tcPr/>
          <w:p>
            <w:pPr>
              <w:pStyle w:val="Compact"/>
              <w:jc w:val="left"/>
            </w:pPr>
            <w:r>
              <w:t xml:space="preserve">27.4</w:t>
            </w:r>
          </w:p>
        </w:tc>
        <w:tc>
          <w:tcPr/>
          <w:p>
            <w:pPr>
              <w:pStyle w:val="Compact"/>
              <w:jc w:val="left"/>
            </w:pPr>
            <w:r>
              <w:t xml:space="preserve">27.6</w:t>
            </w:r>
          </w:p>
        </w:tc>
        <w:tc>
          <w:tcPr/>
          <w:p>
            <w:pPr>
              <w:pStyle w:val="Compact"/>
              <w:jc w:val="left"/>
            </w:pPr>
            <w:r>
              <w:t xml:space="preserve">4.9</w:t>
            </w:r>
          </w:p>
        </w:tc>
        <w:tc>
          <w:tcPr/>
          <w:p>
            <w:pPr>
              <w:pStyle w:val="Compact"/>
              <w:jc w:val="left"/>
            </w:pPr>
            <w:r>
              <w:t xml:space="preserve">28.5</w:t>
            </w:r>
          </w:p>
        </w:tc>
        <w:tc>
          <w:tcPr/>
          <w:p>
            <w:pPr>
              <w:pStyle w:val="Compact"/>
              <w:jc w:val="left"/>
            </w:pPr>
            <w:r>
              <w:t xml:space="preserve">23.2</w:t>
            </w:r>
          </w:p>
        </w:tc>
        <w:tc>
          <w:tcPr/>
          <w:p>
            <w:pPr>
              <w:pStyle w:val="Compact"/>
              <w:jc w:val="left"/>
            </w:pPr>
            <w:r>
              <w:t xml:space="preserve">41.9</w:t>
            </w:r>
          </w:p>
        </w:tc>
      </w:tr>
      <w:tr>
        <w:tc>
          <w:tcPr/>
          <w:p>
            <w:pPr>
              <w:pStyle w:val="Compact"/>
              <w:jc w:val="left"/>
            </w:pPr>
            <w:r>
              <w:t xml:space="preserve">no τ recalibration (noM4)</w:t>
            </w:r>
          </w:p>
        </w:tc>
        <w:tc>
          <w:tcPr/>
          <w:p>
            <w:pPr>
              <w:pStyle w:val="Compact"/>
              <w:jc w:val="left"/>
            </w:pPr>
            <w:r>
              <w:t xml:space="preserve">13.6</w:t>
            </w:r>
          </w:p>
        </w:tc>
        <w:tc>
          <w:tcPr/>
          <w:p>
            <w:pPr>
              <w:pStyle w:val="Compact"/>
              <w:jc w:val="left"/>
            </w:pPr>
            <w:r>
              <w:rPr>
                <w:bCs/>
                <w:b/>
              </w:rPr>
              <w:t xml:space="preserve">46.5</w:t>
            </w:r>
          </w:p>
        </w:tc>
        <w:tc>
          <w:tcPr/>
          <w:p>
            <w:pPr>
              <w:pStyle w:val="Compact"/>
              <w:jc w:val="left"/>
            </w:pPr>
            <w:r>
              <w:t xml:space="preserve">28.3</w:t>
            </w:r>
          </w:p>
        </w:tc>
        <w:tc>
          <w:tcPr/>
          <w:p>
            <w:pPr>
              <w:pStyle w:val="Compact"/>
              <w:jc w:val="left"/>
            </w:pPr>
            <w:r>
              <w:t xml:space="preserve">26.7</w:t>
            </w:r>
          </w:p>
        </w:tc>
        <w:tc>
          <w:tcPr/>
          <w:p>
            <w:pPr>
              <w:pStyle w:val="Compact"/>
              <w:jc w:val="left"/>
            </w:pPr>
            <w:r>
              <w:t xml:space="preserve">12.6</w:t>
            </w:r>
          </w:p>
        </w:tc>
        <w:tc>
          <w:tcPr/>
          <w:p>
            <w:pPr>
              <w:pStyle w:val="Compact"/>
              <w:jc w:val="left"/>
            </w:pPr>
            <w:r>
              <w:t xml:space="preserve">11.2</w:t>
            </w:r>
          </w:p>
        </w:tc>
        <w:tc>
          <w:tcPr/>
          <w:p>
            <w:pPr>
              <w:pStyle w:val="Compact"/>
              <w:jc w:val="left"/>
            </w:pPr>
            <w:r>
              <w:rPr>
                <w:bCs/>
                <w:b/>
              </w:rPr>
              <w:t xml:space="preserve">25.4</w:t>
            </w:r>
          </w:p>
        </w:tc>
        <w:tc>
          <w:tcPr/>
          <w:p>
            <w:pPr>
              <w:pStyle w:val="Compact"/>
              <w:jc w:val="left"/>
            </w:pPr>
            <w:r>
              <w:t xml:space="preserve">67.3</w:t>
            </w:r>
          </w:p>
        </w:tc>
        <w:tc>
          <w:tcPr/>
          <w:p>
            <w:pPr>
              <w:pStyle w:val="Compact"/>
              <w:jc w:val="left"/>
            </w:pPr>
            <w:r>
              <w:t xml:space="preserve">98.2</w:t>
            </w:r>
          </w:p>
        </w:tc>
        <w:tc>
          <w:tcPr/>
          <w:p>
            <w:pPr>
              <w:pStyle w:val="Compact"/>
              <w:jc w:val="left"/>
            </w:pPr>
            <w:r>
              <w:t xml:space="preserve">19.5</w:t>
            </w:r>
          </w:p>
        </w:tc>
        <w:tc>
          <w:tcPr/>
          <w:p>
            <w:pPr>
              <w:pStyle w:val="Compact"/>
              <w:jc w:val="left"/>
            </w:pPr>
            <w:r>
              <w:t xml:space="preserve">96.2</w:t>
            </w:r>
          </w:p>
        </w:tc>
        <w:tc>
          <w:tcPr/>
          <w:p>
            <w:pPr>
              <w:pStyle w:val="Compact"/>
              <w:jc w:val="left"/>
            </w:pPr>
            <w:r>
              <w:t xml:space="preserve">80.1</w:t>
            </w:r>
          </w:p>
        </w:tc>
        <w:tc>
          <w:tcPr/>
          <w:p>
            <w:pPr>
              <w:pStyle w:val="Compact"/>
              <w:jc w:val="left"/>
            </w:pPr>
            <w:r>
              <w:t xml:space="preserve">45.2</w:t>
            </w:r>
          </w:p>
        </w:tc>
        <w:tc>
          <w:tcPr/>
          <w:p>
            <w:pPr>
              <w:pStyle w:val="Compact"/>
              <w:jc w:val="left"/>
            </w:pPr>
            <w:r>
              <w:t xml:space="preserve">83.0</w:t>
            </w:r>
          </w:p>
        </w:tc>
      </w:tr>
      <w:tr>
        <w:tc>
          <w:tcPr/>
          <w:p>
            <w:pPr>
              <w:pStyle w:val="Compact"/>
              <w:jc w:val="left"/>
            </w:pPr>
            <w:r>
              <w:t xml:space="preserve">no acceptance test (noAcc)</w:t>
            </w:r>
          </w:p>
        </w:tc>
        <w:tc>
          <w:tcPr/>
          <w:p>
            <w:pPr>
              <w:pStyle w:val="Compact"/>
              <w:jc w:val="left"/>
            </w:pPr>
            <w:r>
              <w:t xml:space="preserve">23.0</w:t>
            </w:r>
          </w:p>
        </w:tc>
        <w:tc>
          <w:tcPr/>
          <w:p>
            <w:pPr>
              <w:pStyle w:val="Compact"/>
              <w:jc w:val="left"/>
            </w:pPr>
            <w:r>
              <w:t xml:space="preserve">28.7</w:t>
            </w:r>
          </w:p>
        </w:tc>
        <w:tc>
          <w:tcPr/>
          <w:p>
            <w:pPr>
              <w:pStyle w:val="Compact"/>
              <w:jc w:val="left"/>
            </w:pPr>
            <w:r>
              <w:t xml:space="preserve">20.0</w:t>
            </w:r>
          </w:p>
        </w:tc>
        <w:tc>
          <w:tcPr/>
          <w:p>
            <w:pPr>
              <w:pStyle w:val="Compact"/>
              <w:jc w:val="left"/>
            </w:pPr>
            <w:r>
              <w:t xml:space="preserve">58.8</w:t>
            </w:r>
          </w:p>
        </w:tc>
        <w:tc>
          <w:tcPr/>
          <w:p>
            <w:pPr>
              <w:pStyle w:val="Compact"/>
              <w:jc w:val="left"/>
            </w:pPr>
            <w:r>
              <w:t xml:space="preserve">16.4</w:t>
            </w:r>
          </w:p>
        </w:tc>
        <w:tc>
          <w:tcPr/>
          <w:p>
            <w:pPr>
              <w:pStyle w:val="Compact"/>
              <w:jc w:val="left"/>
            </w:pPr>
            <w:r>
              <w:t xml:space="preserve">11.7</w:t>
            </w:r>
          </w:p>
        </w:tc>
        <w:tc>
          <w:tcPr/>
          <w:p>
            <w:pPr>
              <w:pStyle w:val="Compact"/>
              <w:jc w:val="left"/>
            </w:pPr>
            <w:r>
              <w:t xml:space="preserve">16.0</w:t>
            </w:r>
          </w:p>
        </w:tc>
        <w:tc>
          <w:tcPr/>
          <w:p>
            <w:pPr>
              <w:pStyle w:val="Compact"/>
              <w:jc w:val="left"/>
            </w:pPr>
            <w:r>
              <w:rPr>
                <w:bCs/>
                <w:b/>
              </w:rPr>
              <w:t xml:space="preserve">15.3</w:t>
            </w:r>
          </w:p>
        </w:tc>
        <w:tc>
          <w:tcPr/>
          <w:p>
            <w:pPr>
              <w:pStyle w:val="Compact"/>
              <w:jc w:val="left"/>
            </w:pPr>
            <w:r>
              <w:t xml:space="preserve">22.3</w:t>
            </w:r>
          </w:p>
        </w:tc>
        <w:tc>
          <w:tcPr/>
          <w:p>
            <w:pPr>
              <w:pStyle w:val="Compact"/>
              <w:jc w:val="left"/>
            </w:pPr>
            <w:r>
              <w:t xml:space="preserve">27.6</w:t>
            </w:r>
          </w:p>
        </w:tc>
        <w:tc>
          <w:tcPr/>
          <w:p>
            <w:pPr>
              <w:pStyle w:val="Compact"/>
              <w:jc w:val="left"/>
            </w:pPr>
            <w:r>
              <w:t xml:space="preserve">9.3</w:t>
            </w:r>
          </w:p>
        </w:tc>
        <w:tc>
          <w:tcPr/>
          <w:p>
            <w:pPr>
              <w:pStyle w:val="Compact"/>
              <w:jc w:val="left"/>
            </w:pPr>
            <w:r>
              <w:t xml:space="preserve">17.3</w:t>
            </w:r>
          </w:p>
        </w:tc>
        <w:tc>
          <w:tcPr/>
          <w:p>
            <w:pPr>
              <w:pStyle w:val="Compact"/>
              <w:jc w:val="left"/>
            </w:pPr>
            <w:r>
              <w:t xml:space="preserve">19.0</w:t>
            </w:r>
          </w:p>
        </w:tc>
        <w:tc>
          <w:tcPr/>
          <w:p>
            <w:pPr>
              <w:pStyle w:val="Compact"/>
              <w:jc w:val="left"/>
            </w:pPr>
            <w:r>
              <w:t xml:space="preserve">40.8</w:t>
            </w:r>
          </w:p>
        </w:tc>
      </w:tr>
      <w:tr>
        <w:tc>
          <w:tcPr/>
          <w:p>
            <w:pPr>
              <w:pStyle w:val="Compact"/>
              <w:jc w:val="left"/>
            </w:pPr>
            <w:r>
              <w:t xml:space="preserve">FOMAML init (fo)</w:t>
            </w:r>
          </w:p>
        </w:tc>
        <w:tc>
          <w:tcPr/>
          <w:p>
            <w:pPr>
              <w:pStyle w:val="Compact"/>
              <w:jc w:val="left"/>
            </w:pPr>
            <w:r>
              <w:rPr>
                <w:bCs/>
                <w:b/>
              </w:rPr>
              <w:t xml:space="preserve">24.3</w:t>
            </w:r>
          </w:p>
        </w:tc>
        <w:tc>
          <w:tcPr/>
          <w:p>
            <w:pPr>
              <w:pStyle w:val="Compact"/>
              <w:jc w:val="left"/>
            </w:pPr>
            <w:r>
              <w:t xml:space="preserve">26.6</w:t>
            </w:r>
          </w:p>
        </w:tc>
        <w:tc>
          <w:tcPr/>
          <w:p>
            <w:pPr>
              <w:pStyle w:val="Compact"/>
              <w:jc w:val="left"/>
            </w:pPr>
            <w:r>
              <w:t xml:space="preserve">27.5</w:t>
            </w:r>
          </w:p>
        </w:tc>
        <w:tc>
          <w:tcPr/>
          <w:p>
            <w:pPr>
              <w:pStyle w:val="Compact"/>
              <w:jc w:val="left"/>
            </w:pPr>
            <w:r>
              <w:t xml:space="preserve">60.8</w:t>
            </w:r>
          </w:p>
        </w:tc>
        <w:tc>
          <w:tcPr/>
          <w:p>
            <w:pPr>
              <w:pStyle w:val="Compact"/>
              <w:jc w:val="left"/>
            </w:pPr>
            <w:r>
              <w:rPr>
                <w:bCs/>
                <w:b/>
              </w:rPr>
              <w:t xml:space="preserve">23.8</w:t>
            </w:r>
          </w:p>
        </w:tc>
        <w:tc>
          <w:tcPr/>
          <w:p>
            <w:pPr>
              <w:pStyle w:val="Compact"/>
              <w:jc w:val="left"/>
            </w:pPr>
            <w:r>
              <w:t xml:space="preserve">11.0</w:t>
            </w:r>
          </w:p>
        </w:tc>
        <w:tc>
          <w:tcPr/>
          <w:p>
            <w:pPr>
              <w:pStyle w:val="Compact"/>
              <w:jc w:val="left"/>
            </w:pPr>
            <w:r>
              <w:t xml:space="preserve">15.7</w:t>
            </w:r>
          </w:p>
        </w:tc>
        <w:tc>
          <w:tcPr/>
          <w:p>
            <w:pPr>
              <w:pStyle w:val="Compact"/>
              <w:jc w:val="left"/>
            </w:pPr>
            <w:r>
              <w:t xml:space="preserve">16.2</w:t>
            </w:r>
          </w:p>
        </w:tc>
        <w:tc>
          <w:tcPr/>
          <w:p>
            <w:pPr>
              <w:pStyle w:val="Compact"/>
              <w:jc w:val="left"/>
            </w:pPr>
            <w:r>
              <w:rPr>
                <w:bCs/>
                <w:b/>
              </w:rPr>
              <w:t xml:space="preserve">18.2</w:t>
            </w:r>
          </w:p>
        </w:tc>
        <w:tc>
          <w:tcPr/>
          <w:p>
            <w:pPr>
              <w:pStyle w:val="Compact"/>
              <w:jc w:val="left"/>
            </w:pPr>
            <w:r>
              <w:t xml:space="preserve">18.0</w:t>
            </w:r>
          </w:p>
        </w:tc>
        <w:tc>
          <w:tcPr/>
          <w:p>
            <w:pPr>
              <w:pStyle w:val="Compact"/>
              <w:jc w:val="left"/>
            </w:pPr>
            <w:r>
              <w:rPr>
                <w:bCs/>
                <w:b/>
              </w:rPr>
              <w:t xml:space="preserve">3.3</w:t>
            </w:r>
          </w:p>
        </w:tc>
        <w:tc>
          <w:tcPr/>
          <w:p>
            <w:pPr>
              <w:pStyle w:val="Compact"/>
              <w:jc w:val="left"/>
            </w:pPr>
            <w:r>
              <w:rPr>
                <w:bCs/>
                <w:b/>
              </w:rPr>
              <w:t xml:space="preserve">12.6</w:t>
            </w:r>
          </w:p>
        </w:tc>
        <w:tc>
          <w:tcPr/>
          <w:p>
            <w:pPr>
              <w:pStyle w:val="Compact"/>
              <w:jc w:val="left"/>
            </w:pPr>
            <w:r>
              <w:t xml:space="preserve">18.1</w:t>
            </w:r>
          </w:p>
        </w:tc>
        <w:tc>
          <w:tcPr/>
          <w:p>
            <w:pPr>
              <w:pStyle w:val="Compact"/>
              <w:jc w:val="left"/>
            </w:pPr>
            <w:r>
              <w:t xml:space="preserve">40.1</w:t>
            </w:r>
          </w:p>
        </w:tc>
      </w:tr>
      <w:tr>
        <w:tc>
          <w:tcPr/>
          <w:p>
            <w:pPr>
              <w:pStyle w:val="Compact"/>
              <w:jc w:val="left"/>
            </w:pPr>
            <w:r>
              <w:t xml:space="preserve">Meta-SGD init (msgd)</w:t>
            </w:r>
          </w:p>
        </w:tc>
        <w:tc>
          <w:tcPr/>
          <w:p>
            <w:pPr>
              <w:pStyle w:val="Compact"/>
              <w:jc w:val="left"/>
            </w:pPr>
            <w:r>
              <w:t xml:space="preserve">22.6</w:t>
            </w:r>
          </w:p>
        </w:tc>
        <w:tc>
          <w:tcPr/>
          <w:p>
            <w:pPr>
              <w:pStyle w:val="Compact"/>
              <w:jc w:val="left"/>
            </w:pPr>
            <w:r>
              <w:t xml:space="preserve">33.8</w:t>
            </w:r>
          </w:p>
        </w:tc>
        <w:tc>
          <w:tcPr/>
          <w:p>
            <w:pPr>
              <w:pStyle w:val="Compact"/>
              <w:jc w:val="left"/>
            </w:pPr>
            <w:r>
              <w:t xml:space="preserve">20.3</w:t>
            </w:r>
          </w:p>
        </w:tc>
        <w:tc>
          <w:tcPr/>
          <w:p>
            <w:pPr>
              <w:pStyle w:val="Compact"/>
              <w:jc w:val="left"/>
            </w:pPr>
            <w:r>
              <w:t xml:space="preserve">56.5</w:t>
            </w:r>
          </w:p>
        </w:tc>
        <w:tc>
          <w:tcPr/>
          <w:p>
            <w:pPr>
              <w:pStyle w:val="Compact"/>
              <w:jc w:val="left"/>
            </w:pPr>
            <w:r>
              <w:t xml:space="preserve">19.5</w:t>
            </w:r>
          </w:p>
        </w:tc>
        <w:tc>
          <w:tcPr/>
          <w:p>
            <w:pPr>
              <w:pStyle w:val="Compact"/>
              <w:jc w:val="left"/>
            </w:pPr>
            <w:r>
              <w:t xml:space="preserve">12.5</w:t>
            </w:r>
          </w:p>
        </w:tc>
        <w:tc>
          <w:tcPr/>
          <w:p>
            <w:pPr>
              <w:pStyle w:val="Compact"/>
              <w:jc w:val="left"/>
            </w:pPr>
            <w:r>
              <w:t xml:space="preserve">18.8</w:t>
            </w:r>
          </w:p>
        </w:tc>
        <w:tc>
          <w:tcPr/>
          <w:p>
            <w:pPr>
              <w:pStyle w:val="Compact"/>
              <w:jc w:val="left"/>
            </w:pPr>
            <w:r>
              <w:t xml:space="preserve">21.7</w:t>
            </w:r>
          </w:p>
        </w:tc>
        <w:tc>
          <w:tcPr/>
          <w:p>
            <w:pPr>
              <w:pStyle w:val="Compact"/>
              <w:jc w:val="left"/>
            </w:pPr>
            <w:r>
              <w:t xml:space="preserve">35.3</w:t>
            </w:r>
          </w:p>
        </w:tc>
        <w:tc>
          <w:tcPr/>
          <w:p>
            <w:pPr>
              <w:pStyle w:val="Compact"/>
              <w:jc w:val="left"/>
            </w:pPr>
            <w:r>
              <w:t xml:space="preserve">26.2</w:t>
            </w:r>
          </w:p>
        </w:tc>
        <w:tc>
          <w:tcPr/>
          <w:p>
            <w:pPr>
              <w:pStyle w:val="Compact"/>
              <w:jc w:val="left"/>
            </w:pPr>
            <w:r>
              <w:t xml:space="preserve">11.8</w:t>
            </w:r>
          </w:p>
        </w:tc>
        <w:tc>
          <w:tcPr/>
          <w:p>
            <w:pPr>
              <w:pStyle w:val="Compact"/>
              <w:jc w:val="left"/>
            </w:pPr>
            <w:r>
              <w:t xml:space="preserve">19.0</w:t>
            </w:r>
          </w:p>
        </w:tc>
        <w:tc>
          <w:tcPr/>
          <w:p>
            <w:pPr>
              <w:pStyle w:val="Compact"/>
              <w:jc w:val="left"/>
            </w:pPr>
            <w:r>
              <w:t xml:space="preserve">18.7</w:t>
            </w:r>
          </w:p>
        </w:tc>
        <w:tc>
          <w:tcPr/>
          <w:p>
            <w:pPr>
              <w:pStyle w:val="Compact"/>
              <w:jc w:val="left"/>
            </w:pPr>
            <w:r>
              <w:t xml:space="preserve">43.9</w:t>
            </w:r>
          </w:p>
        </w:tc>
      </w:tr>
    </w:tbl>
    <w:p>
      <w:pPr>
        <w:pStyle w:val="BodyText"/>
      </w:pPr>
      <w:r>
        <w:t xml:space="preserve">The rest of the ablations are within seed noise or go opposite ways on different datasets, and we report them as such. Replay (noM3) changes F1 by less than a point on five datasets, lowers the false-alarm rate on SMD (18 % with replay, 24 % without) and WADI (17 % versus 29 %), and on SWaT removing it is clearly better (F1 61.3 versus 52.4, false-alarm rate 4.9 % versus 11.4 %): on a stream with several confirmed changes in a row, refreshing</w:t>
      </w:r>
      <w:r>
        <w:t xml:space="preserve"> </w:t>
      </w:r>
      <m:oMath>
        <m:sSup>
          <m:e>
            <m:r>
              <m:t>θ</m:t>
            </m:r>
          </m:e>
          <m:sup>
            <m:r>
              <m:rPr>
                <m:sty m:val="p"/>
              </m:rPr>
              <m:t>*</m:t>
            </m:r>
          </m:sup>
        </m:sSup>
      </m:oMath>
      <w:r>
        <w:t xml:space="preserve"> </w:t>
      </w:r>
      <w:r>
        <w:t xml:space="preserve">from remembered regimes makes the next adaptation land somewhere between the old and the new regime, and on SWaT that is the wrong place. The episode sampler makes no difference on SMD, PSM, SWaT, SMAP or MSL, and on HAI and WADI the regime-free random sampler is better; the ADWIN-bounded sampler is not harmful, but we cannot claim that it helps. The acceptance test is the component whose value depends on the dataset: on SMD, SWaT and WADI removing it costs nothing or helps a little, on PSM, where 28 % of steps are anomalous and the gate fires twelve times per run, removing it drops F1 from 42.1 to 28.7 because adaptations on anomalous windows are kept. The initialisation variants are not a wash on the eight-dataset view: FOMAML beats MAML++ on SMD, HAI, SWaT and WADI in both F1 and false-alarm rate and loses badly on PSM (26.6 versus 42.1). We kept MAML++ as the reference because it is the more stable of the two during meta-training, but a reader who wants the smallest false-alarm rate on a water-treatment stream should take the FOMAML numbers.</w:t>
      </w:r>
    </w:p>
    <w:p>
      <w:pPr>
        <w:pStyle w:val="CaptionedFigure"/>
      </w:pPr>
      <w:r>
        <w:drawing>
          <wp:inline>
            <wp:extent cx="5334000" cy="2643665"/>
            <wp:effectExtent b="0" l="0" r="0" t="0"/>
            <wp:docPr descr="Figure 7. Ablations under drift, pooled over the seven datasets with equal weight. The full method is in red." title="" id="68" name="Picture"/>
            <a:graphic>
              <a:graphicData uri="http://schemas.openxmlformats.org/drawingml/2006/picture">
                <pic:pic>
                  <pic:nvPicPr>
                    <pic:cNvPr descr="../figures/fig_ablation.png" id="69" name="Picture"/>
                    <pic:cNvPicPr>
                      <a:picLocks noChangeArrowheads="1" noChangeAspect="1"/>
                    </pic:cNvPicPr>
                  </pic:nvPicPr>
                  <pic:blipFill>
                    <a:blip r:embed="rId67"/>
                    <a:stretch>
                      <a:fillRect/>
                    </a:stretch>
                  </pic:blipFill>
                  <pic:spPr bwMode="auto">
                    <a:xfrm>
                      <a:off x="0" y="0"/>
                      <a:ext cx="5334000" cy="2643665"/>
                    </a:xfrm>
                    <a:prstGeom prst="rect">
                      <a:avLst/>
                    </a:prstGeom>
                    <a:noFill/>
                    <a:ln w="9525">
                      <a:noFill/>
                      <a:headEnd/>
                      <a:tailEnd/>
                    </a:ln>
                  </pic:spPr>
                </pic:pic>
              </a:graphicData>
            </a:graphic>
          </wp:inline>
        </w:drawing>
      </w:r>
    </w:p>
    <w:p>
      <w:pPr>
        <w:pStyle w:val="ImageCaption"/>
      </w:pPr>
      <w:r>
        <w:t xml:space="preserve">Figure 7. Ablations under drift, pooled over the seven datasets with equal weight. The full method is in red.</w:t>
      </w:r>
    </w:p>
    <w:bookmarkEnd w:id="70"/>
    <w:bookmarkStart w:id="71" w:name="gate-behaviour"/>
    <w:p>
      <w:pPr>
        <w:pStyle w:val="Heading2"/>
      </w:pPr>
      <w:r>
        <w:t xml:space="preserve">7.4 Gate behaviour</w:t>
      </w:r>
    </w:p>
    <w:p>
      <w:pPr>
        <w:pStyle w:val="FirstParagraph"/>
      </w:pPr>
      <w:r>
        <w:t xml:space="preserve">Under drift DAMAD confirms between 1.1 (MSL) and 12.2 (PSM) changes per run and rejects 1 % of them on the NASA channels, 29 % on SMD, 35 % on SWaT and 40 % on PSM in the shadow period. On the original streams the rate is 0.2 confirmations per run on SMAP and MSL, 0.5 on HAI, 0.7 on SKAB, 2.2 on WADI, 3.0 on SMD, 5.4 on SWaT and 8.4 on PSM. The SWaT, WADI, SMD and PSM figures are not false positives in any useful sense: those streams carry their own regime changes (Figure 6 shows SWaT’s; Figure 5 shows two in the first 8,000 windows of an SMD machine before any injection), and the static detector’s 73 %, 57 %, 18 % and 38 % false-alarm rates on the same streams say that adapting to them was the right call. Each confirmed change costs about 0.7 s of meta-update time on one CPU core; the adaptation itself costs 11 ms.</w:t>
      </w:r>
    </w:p>
    <w:bookmarkEnd w:id="71"/>
    <w:bookmarkStart w:id="72" w:name="cost-1"/>
    <w:p>
      <w:pPr>
        <w:pStyle w:val="Heading2"/>
      </w:pPr>
      <w:r>
        <w:t xml:space="preserve">7.5 Cost</w:t>
      </w:r>
    </w:p>
    <w:p>
      <w:pPr>
        <w:pStyle w:val="FirstParagraph"/>
      </w:pPr>
      <w:r>
        <w:t xml:space="preserve">Every VAE-based method scores a window in 0.22–0.26 ms on one CPU core (Table 15), Isolation Forest in 0.01 ms. DAMAD’s steady-state cost is the same as the static VAE’s; the shadow period adds a second forward pass for a few hundred windows after each adaptation. The regime memory holds 71 kB on average. The incrementally updated VAE is the expensive one at 11 s of optimiser time per run, because it takes a gradient step every five windows for the whole stream. The model has 36 k parameters on SKAB and 273 k on WADI, set by the input width.</w:t>
      </w:r>
    </w:p>
    <w:p>
      <w:pPr>
        <w:pStyle w:val="BodyText"/>
      </w:pPr>
      <w:r>
        <w:t xml:space="preserve">Table 15.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0.013</w:t>
            </w:r>
          </w:p>
        </w:tc>
        <w:tc>
          <w:tcPr/>
          <w:p>
            <w:pPr>
              <w:pStyle w:val="Compact"/>
              <w:jc w:val="left"/>
            </w:pPr>
            <w:r>
              <w:t xml:space="preserve">0.23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0.220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0.222</w:t>
            </w:r>
          </w:p>
        </w:tc>
        <w:tc>
          <w:tcPr/>
          <w:p>
            <w:pPr>
              <w:pStyle w:val="Compact"/>
              <w:jc w:val="left"/>
            </w:pPr>
            <w:r>
              <w:t xml:space="preserve">0.11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0.255</w:t>
            </w:r>
          </w:p>
        </w:tc>
        <w:tc>
          <w:tcPr/>
          <w:p>
            <w:pPr>
              <w:pStyle w:val="Compact"/>
              <w:jc w:val="left"/>
            </w:pPr>
            <w:r>
              <w:t xml:space="preserve">11.2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0.229</w:t>
            </w:r>
          </w:p>
        </w:tc>
        <w:tc>
          <w:tcPr/>
          <w:p>
            <w:pPr>
              <w:pStyle w:val="Compact"/>
              <w:jc w:val="left"/>
            </w:pPr>
            <w:r>
              <w:t xml:space="preserve">0.40</w:t>
            </w:r>
          </w:p>
        </w:tc>
        <w:tc>
          <w:tcPr/>
          <w:p>
            <w:pPr>
              <w:pStyle w:val="Compact"/>
              <w:jc w:val="left"/>
            </w:pPr>
            <w:r>
              <w:t xml:space="preserve">0</w:t>
            </w:r>
          </w:p>
        </w:tc>
        <w:tc>
          <w:tcPr/>
          <w:p>
            <w:pPr>
              <w:pStyle w:val="Compact"/>
              <w:jc w:val="left"/>
            </w:pPr>
            <w:r>
              <w:t xml:space="preserve">3.5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0.219</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0.220</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0.231</w:t>
            </w:r>
          </w:p>
        </w:tc>
        <w:tc>
          <w:tcPr/>
          <w:p>
            <w:pPr>
              <w:pStyle w:val="Compact"/>
              <w:jc w:val="left"/>
            </w:pPr>
            <w:r>
              <w:t xml:space="preserve">0.04</w:t>
            </w:r>
          </w:p>
        </w:tc>
        <w:tc>
          <w:tcPr/>
          <w:p>
            <w:pPr>
              <w:pStyle w:val="Compact"/>
              <w:jc w:val="left"/>
            </w:pPr>
            <w:r>
              <w:t xml:space="preserve">0</w:t>
            </w:r>
          </w:p>
        </w:tc>
        <w:tc>
          <w:tcPr/>
          <w:p>
            <w:pPr>
              <w:pStyle w:val="Compact"/>
              <w:jc w:val="left"/>
            </w:pPr>
            <w:r>
              <w:t xml:space="preserve">4.0</w:t>
            </w:r>
          </w:p>
        </w:tc>
        <w:tc>
          <w:tcPr/>
          <w:p>
            <w:pPr>
              <w:pStyle w:val="Compact"/>
              <w:jc w:val="left"/>
            </w:pPr>
            <w:r>
              <w:t xml:space="preserve">100</w:t>
            </w:r>
          </w:p>
        </w:tc>
      </w:tr>
      <w:tr>
        <w:tc>
          <w:tcPr/>
          <w:p>
            <w:pPr>
              <w:pStyle w:val="Compact"/>
              <w:jc w:val="left"/>
            </w:pPr>
            <w:r>
              <w:t xml:space="preserve">DAMAD</w:t>
            </w:r>
          </w:p>
        </w:tc>
        <w:tc>
          <w:tcPr/>
          <w:p>
            <w:pPr>
              <w:pStyle w:val="Compact"/>
              <w:jc w:val="left"/>
            </w:pPr>
            <w:r>
              <w:t xml:space="preserve">0.228</w:t>
            </w:r>
          </w:p>
        </w:tc>
        <w:tc>
          <w:tcPr/>
          <w:p>
            <w:pPr>
              <w:pStyle w:val="Compact"/>
              <w:jc w:val="left"/>
            </w:pPr>
            <w:r>
              <w:t xml:space="preserve">0.03</w:t>
            </w:r>
          </w:p>
        </w:tc>
        <w:tc>
          <w:tcPr/>
          <w:p>
            <w:pPr>
              <w:pStyle w:val="Compact"/>
              <w:jc w:val="left"/>
            </w:pPr>
            <w:r>
              <w:t xml:space="preserve">1.32</w:t>
            </w:r>
          </w:p>
        </w:tc>
        <w:tc>
          <w:tcPr/>
          <w:p>
            <w:pPr>
              <w:pStyle w:val="Compact"/>
              <w:jc w:val="left"/>
            </w:pPr>
            <w:r>
              <w:t xml:space="preserve">3.0</w:t>
            </w:r>
          </w:p>
        </w:tc>
        <w:tc>
          <w:tcPr/>
          <w:p>
            <w:pPr>
              <w:pStyle w:val="Compact"/>
              <w:jc w:val="left"/>
            </w:pPr>
            <w:r>
              <w:t xml:space="preserve">71</w:t>
            </w:r>
          </w:p>
        </w:tc>
      </w:tr>
    </w:tbl>
    <w:bookmarkEnd w:id="72"/>
    <w:bookmarkEnd w:id="73"/>
    <w:bookmarkStart w:id="78" w:name="discussion"/>
    <w:p>
      <w:pPr>
        <w:pStyle w:val="Heading1"/>
      </w:pPr>
      <w:r>
        <w:t xml:space="preserve">8 Discussion</w:t>
      </w:r>
    </w:p>
    <w:bookmarkStart w:id="74"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SWaT and WADI after a sudden change, and the meta-learned model adapted once (MAML-1) does the same, because a good initialisation does not help a model that is never asked to adapt again. SWaT and WADI show that the problem is not an artefact of injection: on their original attack recordings the same detectors alarm on 73 % and 57 % of normal steps, because the plant was running at a different operating point when the attack data were collected. Finding 2 was that nobody updates the meta-level online. We did, and the plain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The study closes it for the method at hand: SWaT, WADI, HAI, SMAP and MSL are all reported, and the two water testbeds are where the method helps most. HAI is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Section 7.1 makes it clearly enough to state on its own. For a small reconstruction model, the meta-learned initialisation is not what limits few-shot anomaly detection on these streams. One support window gives the same F1 as ten on every dataset, and a static VAE trained on pooled normal data is as good a starting point as MAML++ or Meta-SGD. The one thing that does move F1 on a cold start is adapting</w:t>
      </w:r>
      <w:r>
        <w:t xml:space="preserve"> </w:t>
      </w:r>
      <w:r>
        <w:rPr>
          <w:iCs/>
          <w:i/>
        </w:rPr>
        <w:t xml:space="preserve">again</w:t>
      </w:r>
      <w:r>
        <w:t xml:space="preserve"> </w:t>
      </w:r>
      <w:r>
        <w:t xml:space="preserve">when the stream leaves the regime the support set came from, which is what separates DAMAD from the adapt-once detectors on SWaT and WADI. The few-shot literature we reviewed measures the quality of the initialisation; the deployment problem is dominated by what happens in the hours after it.</w:t>
      </w:r>
    </w:p>
    <w:bookmarkEnd w:id="74"/>
    <w:bookmarkStart w:id="75"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as the long SWaT attack in Figure 6 does, but it is checkable, which a one-shot decision rule is not.</w:t>
      </w:r>
    </w:p>
    <w:p>
      <w:pPr>
        <w:pStyle w:val="BodyText"/>
      </w:pPr>
      <w:r>
        <w:t xml:space="preserve">Replay turned out to be the least reliable module. It lowers the false-alarm rate on SMD and WADI and raises it on SWaT, where a run holds five or six confirmed changes and a</w:t>
      </w:r>
      <w:r>
        <w:t xml:space="preserve"> </w:t>
      </w:r>
      <m:oMath>
        <m:sSup>
          <m:e>
            <m:r>
              <m:t>θ</m:t>
            </m:r>
          </m:e>
          <m:sup>
            <m:r>
              <m:rPr>
                <m:sty m:val="p"/>
              </m:rPr>
              <m:t>*</m:t>
            </m:r>
          </m:sup>
        </m:sSup>
      </m:oMath>
      <w:r>
        <w:t xml:space="preserve"> </w:t>
      </w:r>
      <w:r>
        <w:t xml:space="preserve">refreshed from remembered regimes starts the next adaptation from the wrong place. A production system should treat it as a switch, not a default.</w:t>
      </w:r>
    </w:p>
    <w:bookmarkEnd w:id="75"/>
    <w:bookmarkStart w:id="76"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0.25 on MSL, 0.22 on SWaT, 0.20 on SMAP and about 0.5 on SKAB. Under drift on PSM, SWaT, SMAP and MSL the static group sits within a few points of those values with false-alarm rates of 69–100 %, which is that strategy by another name, and on three of those four it</w:t>
      </w:r>
      <w:r>
        <w:t xml:space="preserve"> </w:t>
      </w:r>
      <w:r>
        <w:t xml:space="preserve">“</w:t>
      </w:r>
      <w:r>
        <w:t xml:space="preserve">wins</w:t>
      </w:r>
      <w:r>
        <w:t xml:space="preserve">”</w:t>
      </w:r>
      <w:r>
        <w:t xml:space="preserve"> </w:t>
      </w:r>
      <w:r>
        <w:t xml:space="preserve">on F1.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 and missed segments.</w:t>
      </w:r>
      <w:r>
        <w:t xml:space="preserve"> </w:t>
      </w:r>
      <w:r>
        <w:t xml:space="preserve">Recalibrated thresholds are higher than a threshold set once on a quiet first regime. The first alarm in an anomaly segment comes 7–25 windows later on the industrial datasets and far later on the NASA channels, and on SWaT and WADI only about half of the anomaly segments produce any alarm at all, against 80–90 % for the static group. The trade is explicit in Section 7.2 and it is the first thing to improve.</w:t>
      </w:r>
    </w:p>
    <w:p>
      <w:pPr>
        <w:pStyle w:val="BodyText"/>
      </w:pPr>
      <w:r>
        <w:rPr>
          <w:iCs/>
          <w:i/>
        </w:rPr>
        <w:t xml:space="preserve">SMAP and MSL.</w:t>
      </w:r>
      <w:r>
        <w:t xml:space="preserve"> </w:t>
      </w:r>
      <w:r>
        <w:t xml:space="preserve">The base learner is a poor match for telemetry channels that consist of one physical value and dozens of binary command flags; every method scores AUROC around 0.6 there. The drift comparison on those datasets is still valid because all methods share the base learner, but a sequence model would be needed before any absolute number on SMAP or MSL meant anything.</w:t>
      </w:r>
    </w:p>
    <w:p>
      <w:pPr>
        <w:pStyle w:val="BodyText"/>
      </w:pPr>
      <w:r>
        <w:rPr>
          <w:iCs/>
          <w:i/>
        </w:rPr>
        <w:t xml:space="preserve">Licensed benchmarks.</w:t>
      </w:r>
      <w:r>
        <w:t xml:space="preserve"> </w:t>
      </w:r>
      <w:r>
        <w:t xml:space="preserve">SWaT and WADI are used under the iTrust data-use agreement and cannot be redistributed with the code; the loader reads the iTrust release and the preprocessing (stride-10 downsampling, MinMax scaling on the normal trace, start-up trimming) is specified so that the arrays can be rebuilt bit-exactly from the original files.</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6"/>
    <w:bookmarkStart w:id="77"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77"/>
    <w:bookmarkEnd w:id="78"/>
    <w:bookmarkStart w:id="79"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66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On eight benchmarks, including the two water testbeds the field treats as its reference, that is enough to keep the alarm stream meaningful after a change where every static or adapt-once detector stops being useful; it is not enough to match their detection latency, and on telemetry channels the base learner, not the adaptation policy, is the limit. The remaining distance to a production system is in robust threshold calibration under contamination and in the latency cost of recalibration, and the released code is arranged so that either can be worked on by changing one configuration.</w:t>
      </w:r>
    </w:p>
    <w:bookmarkEnd w:id="79"/>
    <w:bookmarkStart w:id="80"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PSM, SMAP and MSL are public and the loaders fetch or read them; SWaT and WADI must be requested from iTrust. The full corpus of the review, with a code on each taxonomy axis for every paper, is given as Table S1 in the supplementary file.</w:t>
      </w:r>
    </w:p>
    <w:bookmarkEnd w:id="80"/>
    <w:bookmarkStart w:id="164" w:name="declaration"/>
    <w:p>
      <w:pPr>
        <w:pStyle w:val="Heading1"/>
      </w:pPr>
      <w:r>
        <w:t xml:space="preserve">Declaration</w:t>
      </w:r>
    </w:p>
    <w:p>
      <w:pPr>
        <w:pStyle w:val="FirstParagraph"/>
      </w:pPr>
      <w:r>
        <w:t xml:space="preserve">The authors have no competing interests to declare, and the work was done without dedicated funding. The SWaT and WADI recordings were supplied by iTrust at the Singapore University of Technology and Design, whose data-use terms we follow.</w:t>
      </w:r>
    </w:p>
    <w:bookmarkStart w:id="163" w:name="refs"/>
    <w:bookmarkStart w:id="82"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1">
        <w:r>
          <w:rPr>
            <w:rStyle w:val="Hyperlink"/>
          </w:rPr>
          <w:t xml:space="preserve">10.1145/1541880.1541882</w:t>
        </w:r>
      </w:hyperlink>
      <w:r>
        <w:t xml:space="preserve">.</w:t>
      </w:r>
    </w:p>
    <w:bookmarkEnd w:id="82"/>
    <w:bookmarkStart w:id="84"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3">
        <w:r>
          <w:rPr>
            <w:rStyle w:val="Hyperlink"/>
          </w:rPr>
          <w:t xml:space="preserve">10.1145/3439950</w:t>
        </w:r>
      </w:hyperlink>
      <w:r>
        <w:t xml:space="preserve">.</w:t>
      </w:r>
    </w:p>
    <w:bookmarkEnd w:id="84"/>
    <w:bookmarkStart w:id="85"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5"/>
    <w:bookmarkStart w:id="87"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8"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88"/>
    <w:bookmarkStart w:id="90"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89">
        <w:r>
          <w:rPr>
            <w:rStyle w:val="Hyperlink"/>
          </w:rPr>
          <w:t xml:space="preserve">10.1109/TKDE.2018.2876857</w:t>
        </w:r>
      </w:hyperlink>
      <w:r>
        <w:t xml:space="preserve">.</w:t>
      </w:r>
    </w:p>
    <w:bookmarkEnd w:id="90"/>
    <w:bookmarkStart w:id="91"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1"/>
    <w:bookmarkStart w:id="92"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2"/>
    <w:bookmarkStart w:id="93"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3"/>
    <w:bookmarkStart w:id="95"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4">
        <w:r>
          <w:rPr>
            <w:rStyle w:val="Hyperlink"/>
          </w:rPr>
          <w:t xml:space="preserve">10.1016/j.jobe.2023.106099</w:t>
        </w:r>
      </w:hyperlink>
      <w:r>
        <w:t xml:space="preserve">.</w:t>
      </w:r>
    </w:p>
    <w:bookmarkEnd w:id="95"/>
    <w:bookmarkStart w:id="96"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6"/>
    <w:bookmarkStart w:id="98"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rPr>
          <w:iCs/>
          <w:i/>
        </w:rPr>
        <w:t xml:space="preserve">IEEE Internet of Things Journal</w:t>
      </w:r>
      <w:r>
        <w:t xml:space="preserve">, vol. 12, no. 15, pp. 30142–30155, 2025, doi:</w:t>
      </w:r>
      <w:r>
        <w:t xml:space="preserve"> </w:t>
      </w:r>
      <w:hyperlink r:id="rId97">
        <w:r>
          <w:rPr>
            <w:rStyle w:val="Hyperlink"/>
          </w:rPr>
          <w:t xml:space="preserve">10.1109/JIOT.2025.3569628</w:t>
        </w:r>
      </w:hyperlink>
      <w:r>
        <w:t xml:space="preserve">.</w:t>
      </w:r>
    </w:p>
    <w:bookmarkEnd w:id="98"/>
    <w:bookmarkStart w:id="100"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99">
        <w:r>
          <w:rPr>
            <w:rStyle w:val="Hyperlink"/>
          </w:rPr>
          <w:t xml:space="preserve">10.3390/s23063260</w:t>
        </w:r>
      </w:hyperlink>
      <w:r>
        <w:t xml:space="preserve">.</w:t>
      </w:r>
    </w:p>
    <w:bookmarkEnd w:id="100"/>
    <w:bookmarkStart w:id="102"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1">
        <w:r>
          <w:rPr>
            <w:rStyle w:val="Hyperlink"/>
          </w:rPr>
          <w:t xml:space="preserve">10.1109/JIOT.2022.3167005</w:t>
        </w:r>
      </w:hyperlink>
      <w:r>
        <w:t xml:space="preserve">.</w:t>
      </w:r>
    </w:p>
    <w:bookmarkEnd w:id="102"/>
    <w:bookmarkStart w:id="103"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5"/>
    <w:bookmarkStart w:id="107"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6">
        <w:r>
          <w:rPr>
            <w:rStyle w:val="Hyperlink"/>
          </w:rPr>
          <w:t xml:space="preserve">10.1007/978-3-540-28645-5_29</w:t>
        </w:r>
      </w:hyperlink>
      <w:r>
        <w:t xml:space="preserve">.</w:t>
      </w:r>
    </w:p>
    <w:bookmarkEnd w:id="107"/>
    <w:bookmarkStart w:id="109"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08">
        <w:r>
          <w:rPr>
            <w:rStyle w:val="Hyperlink"/>
          </w:rPr>
          <w:t xml:space="preserve">10.1137/1.9781611972771.42</w:t>
        </w:r>
      </w:hyperlink>
      <w:r>
        <w:t xml:space="preserve">.</w:t>
      </w:r>
    </w:p>
    <w:bookmarkEnd w:id="109"/>
    <w:bookmarkStart w:id="110"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10"/>
    <w:bookmarkStart w:id="112"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1">
        <w:r>
          <w:rPr>
            <w:rStyle w:val="Hyperlink"/>
          </w:rPr>
          <w:t xml:space="preserve">10.3389/frai.2024.1330257</w:t>
        </w:r>
      </w:hyperlink>
      <w:r>
        <w:t xml:space="preserve">.</w:t>
      </w:r>
    </w:p>
    <w:bookmarkEnd w:id="112"/>
    <w:bookmarkStart w:id="114"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3">
        <w:r>
          <w:rPr>
            <w:rStyle w:val="Hyperlink"/>
          </w:rPr>
          <w:t xml:space="preserve">10.3389/frai.2024.1330258</w:t>
        </w:r>
      </w:hyperlink>
      <w:r>
        <w:t xml:space="preserve">.</w:t>
      </w:r>
    </w:p>
    <w:bookmarkEnd w:id="114"/>
    <w:bookmarkStart w:id="115"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5"/>
    <w:bookmarkStart w:id="116"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6"/>
    <w:bookmarkStart w:id="117"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7"/>
    <w:bookmarkStart w:id="118"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8"/>
    <w:bookmarkStart w:id="120" w:name="ref-yan2024fewshot"/>
    <w:p>
      <w:pPr>
        <w:pStyle w:val="Bibliography"/>
      </w:pPr>
      <w:r>
        <w:t xml:space="preserve">[27]</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19">
        <w:r>
          <w:rPr>
            <w:rStyle w:val="Hyperlink"/>
          </w:rPr>
          <w:t xml:space="preserve">10.1007/s40747-024-01388-1</w:t>
        </w:r>
      </w:hyperlink>
      <w:r>
        <w:t xml:space="preserve">.</w:t>
      </w:r>
    </w:p>
    <w:bookmarkEnd w:id="120"/>
    <w:bookmarkStart w:id="122" w:name="ref-belay2023iot"/>
    <w:p>
      <w:pPr>
        <w:pStyle w:val="Bibliography"/>
      </w:pPr>
      <w:r>
        <w:t xml:space="preserve">[28]</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21">
        <w:r>
          <w:rPr>
            <w:rStyle w:val="Hyperlink"/>
          </w:rPr>
          <w:t xml:space="preserve">10.3390/s23052844</w:t>
        </w:r>
      </w:hyperlink>
      <w:r>
        <w:t xml:space="preserve">.</w:t>
      </w:r>
    </w:p>
    <w:bookmarkEnd w:id="122"/>
    <w:bookmarkStart w:id="123" w:name="ref-goh2016swat"/>
    <w:p>
      <w:pPr>
        <w:pStyle w:val="Bibliography"/>
      </w:pPr>
      <w:r>
        <w:t xml:space="preserve">[29]</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3"/>
    <w:bookmarkStart w:id="124" w:name="ref-ahmed2017wadi"/>
    <w:p>
      <w:pPr>
        <w:pStyle w:val="Bibliography"/>
      </w:pPr>
      <w:r>
        <w:t xml:space="preserve">[30]</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4"/>
    <w:bookmarkStart w:id="125" w:name="ref-shin2021hai"/>
    <w:p>
      <w:pPr>
        <w:pStyle w:val="Bibliography"/>
      </w:pPr>
      <w:r>
        <w:t xml:space="preserve">[31]</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5"/>
    <w:bookmarkStart w:id="127" w:name="ref-hundman2018smap"/>
    <w:p>
      <w:pPr>
        <w:pStyle w:val="Bibliography"/>
      </w:pPr>
      <w:r>
        <w:t xml:space="preserve">[32]</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6">
        <w:r>
          <w:rPr>
            <w:rStyle w:val="Hyperlink"/>
          </w:rPr>
          <w:t xml:space="preserve">10.1145/3219819.3219845</w:t>
        </w:r>
      </w:hyperlink>
      <w:r>
        <w:t xml:space="preserve">.</w:t>
      </w:r>
    </w:p>
    <w:bookmarkEnd w:id="127"/>
    <w:bookmarkStart w:id="129" w:name="ref-yue2023incremental"/>
    <w:p>
      <w:pPr>
        <w:pStyle w:val="Bibliography"/>
      </w:pPr>
      <w:r>
        <w:t xml:space="preserve">[33]</w:t>
      </w:r>
      <w:r>
        <w:t xml:space="preserve"> </w:t>
      </w:r>
      <w:r>
        <w:t xml:space="preserve">	</w:t>
      </w:r>
      <w:r>
        <w:t xml:space="preserve">K. Yue, J. Li, Z. Chen, J. Chen, and W. Li,</w:t>
      </w:r>
      <w:r>
        <w:t xml:space="preserve"> </w:t>
      </w:r>
      <w:r>
        <w:t xml:space="preserve">“An emerging fault diagnosis framework with incremental meta-learning for rotating machinery,”</w:t>
      </w:r>
      <w:r>
        <w:t xml:space="preserve"> </w:t>
      </w:r>
      <w:r>
        <w:t xml:space="preserve">in</w:t>
      </w:r>
      <w:r>
        <w:t xml:space="preserve"> </w:t>
      </w:r>
      <w:r>
        <w:rPr>
          <w:iCs/>
          <w:i/>
        </w:rPr>
        <w:t xml:space="preserve">2023 international conference on sensing, measurement &amp; data analytics in the era of artificial intelligence (ICSMD)</w:t>
      </w:r>
      <w:r>
        <w:t xml:space="preserve">, 2023, pp. 1–6. doi:</w:t>
      </w:r>
      <w:r>
        <w:t xml:space="preserve"> </w:t>
      </w:r>
      <w:hyperlink r:id="rId128">
        <w:r>
          <w:rPr>
            <w:rStyle w:val="Hyperlink"/>
          </w:rPr>
          <w:t xml:space="preserve">10.1109/ICSMD60522.2023.10490806</w:t>
        </w:r>
      </w:hyperlink>
      <w:r>
        <w:t xml:space="preserve">.</w:t>
      </w:r>
    </w:p>
    <w:bookmarkEnd w:id="129"/>
    <w:bookmarkStart w:id="131" w:name="ref-pu2024fseocl"/>
    <w:p>
      <w:pPr>
        <w:pStyle w:val="Bibliography"/>
      </w:pPr>
      <w:r>
        <w:t xml:space="preserve">[34]</w:t>
      </w:r>
      <w:r>
        <w:t xml:space="preserve"> </w:t>
      </w:r>
      <w:r>
        <w:t xml:space="preserve">	</w:t>
      </w:r>
      <w:r>
        <w:t xml:space="preserve">Z. Pu, L. Yan, Y. Bai, D. Cabrera, and C. Li,</w:t>
      </w:r>
      <w:r>
        <w:t xml:space="preserve"> </w:t>
      </w:r>
      <w:r>
        <w:t xml:space="preserve">“Incrementally generative adversarial diagnostics using few-shot enabled one-class learning,”</w:t>
      </w:r>
      <w:r>
        <w:t xml:space="preserve"> </w:t>
      </w:r>
      <w:r>
        <w:rPr>
          <w:iCs/>
          <w:i/>
        </w:rPr>
        <w:t xml:space="preserve">IEEE Transactions on Industrial Informatics</w:t>
      </w:r>
      <w:r>
        <w:t xml:space="preserve">, vol. 20, no. 10, pp. 12189–12199, 2024, doi:</w:t>
      </w:r>
      <w:r>
        <w:t xml:space="preserve"> </w:t>
      </w:r>
      <w:hyperlink r:id="rId130">
        <w:r>
          <w:rPr>
            <w:rStyle w:val="Hyperlink"/>
          </w:rPr>
          <w:t xml:space="preserve">10.1109/TII.2024.3416945</w:t>
        </w:r>
      </w:hyperlink>
      <w:r>
        <w:t xml:space="preserve">.</w:t>
      </w:r>
    </w:p>
    <w:bookmarkEnd w:id="131"/>
    <w:bookmarkStart w:id="133" w:name="ref-du2024fscil"/>
    <w:p>
      <w:pPr>
        <w:pStyle w:val="Bibliography"/>
      </w:pPr>
      <w:r>
        <w:t xml:space="preserve">[35]</w:t>
      </w:r>
      <w:r>
        <w:t xml:space="preserve"> </w:t>
      </w:r>
      <w:r>
        <w:t xml:space="preserve">	</w:t>
      </w:r>
      <w:r>
        <w:t xml:space="preserve">L. Du, Z. Gu, Y. Wang, L. Wang, and Y. Jia,</w:t>
      </w:r>
      <w:r>
        <w:t xml:space="preserve"> </w:t>
      </w:r>
      <w:r>
        <w:t xml:space="preserve">“A few-shot class-incremental learning method for network intrusion detection,”</w:t>
      </w:r>
      <w:r>
        <w:t xml:space="preserve"> </w:t>
      </w:r>
      <w:r>
        <w:rPr>
          <w:iCs/>
          <w:i/>
        </w:rPr>
        <w:t xml:space="preserve">IEEE Transactions on Network and Service Management</w:t>
      </w:r>
      <w:r>
        <w:t xml:space="preserve">, vol. 21, no. 2, pp. 2389–2401, 2024, doi:</w:t>
      </w:r>
      <w:r>
        <w:t xml:space="preserve"> </w:t>
      </w:r>
      <w:hyperlink r:id="rId132">
        <w:r>
          <w:rPr>
            <w:rStyle w:val="Hyperlink"/>
          </w:rPr>
          <w:t xml:space="preserve">10.1109/TNSM.2023.3332284</w:t>
        </w:r>
      </w:hyperlink>
      <w:r>
        <w:t xml:space="preserve">.</w:t>
      </w:r>
    </w:p>
    <w:bookmarkEnd w:id="133"/>
    <w:bookmarkStart w:id="135" w:name="ref-tuli2022tranad"/>
    <w:p>
      <w:pPr>
        <w:pStyle w:val="Bibliography"/>
      </w:pPr>
      <w:r>
        <w:t xml:space="preserve">[36]</w:t>
      </w:r>
      <w:r>
        <w:t xml:space="preserve"> </w:t>
      </w:r>
      <w:r>
        <w:t xml:space="preserve">	</w:t>
      </w:r>
      <w:r>
        <w:t xml:space="preserve">S. Tuli, G. Casale, and N. R. Jennings,</w:t>
      </w:r>
      <w:r>
        <w:t xml:space="preserve"> </w:t>
      </w:r>
      <w:r>
        <w:t xml:space="preserve">“</w:t>
      </w:r>
      <w:r>
        <w:t xml:space="preserve">TranAD</w:t>
      </w:r>
      <w:r>
        <w:t xml:space="preserve">: Deep transformer networks for anomaly detection in multivariate time series data,”</w:t>
      </w:r>
      <w:r>
        <w:t xml:space="preserve"> </w:t>
      </w:r>
      <w:r>
        <w:rPr>
          <w:iCs/>
          <w:i/>
        </w:rPr>
        <w:t xml:space="preserve">Proceedings of the VLDB Endowment</w:t>
      </w:r>
      <w:r>
        <w:t xml:space="preserve">, vol. 15, no. 6, pp. 1201–1214, 2022, doi:</w:t>
      </w:r>
      <w:r>
        <w:t xml:space="preserve"> </w:t>
      </w:r>
      <w:hyperlink r:id="rId134">
        <w:r>
          <w:rPr>
            <w:rStyle w:val="Hyperlink"/>
          </w:rPr>
          <w:t xml:space="preserve">10.14778/3514061.3514067</w:t>
        </w:r>
      </w:hyperlink>
      <w:r>
        <w:t xml:space="preserve">.</w:t>
      </w:r>
    </w:p>
    <w:bookmarkEnd w:id="135"/>
    <w:bookmarkStart w:id="137" w:name="ref-xu2025swat"/>
    <w:p>
      <w:pPr>
        <w:pStyle w:val="Bibliography"/>
      </w:pPr>
      <w:r>
        <w:t xml:space="preserve">[37]</w:t>
      </w:r>
      <w:r>
        <w:t xml:space="preserve"> </w:t>
      </w:r>
      <w:r>
        <w:t xml:space="preserve">	</w:t>
      </w:r>
      <w:r>
        <w:t xml:space="preserve">R. Xu, B. Yang, D. Zhao, F. Lv, and R. Sun,</w:t>
      </w:r>
      <w:r>
        <w:t xml:space="preserve"> </w:t>
      </w:r>
      <w:r>
        <w:t xml:space="preserve">“Cyber attack detection for industrial control systems with few-shot and class imbalance: An improved</w:t>
      </w:r>
      <w:r>
        <w:t xml:space="preserve"> </w:t>
      </w:r>
      <w:r>
        <w:t xml:space="preserve">DA-LSTM-UNet</w:t>
      </w:r>
      <w:r>
        <w:t xml:space="preserve"> </w:t>
      </w:r>
      <w:r>
        <w:t xml:space="preserve">scheme,”</w:t>
      </w:r>
      <w:r>
        <w:t xml:space="preserve"> </w:t>
      </w:r>
      <w:r>
        <w:t xml:space="preserve">in</w:t>
      </w:r>
      <w:r>
        <w:t xml:space="preserve"> </w:t>
      </w:r>
      <w:r>
        <w:rPr>
          <w:iCs/>
          <w:i/>
        </w:rPr>
        <w:t xml:space="preserve">2025 10th international conference on control, robotics and cybernetics (CRC)</w:t>
      </w:r>
      <w:r>
        <w:t xml:space="preserve">, 2025, pp. 217–221. doi:</w:t>
      </w:r>
      <w:r>
        <w:t xml:space="preserve"> </w:t>
      </w:r>
      <w:hyperlink r:id="rId136">
        <w:r>
          <w:rPr>
            <w:rStyle w:val="Hyperlink"/>
          </w:rPr>
          <w:t xml:space="preserve">10.1109/CRC67523.2025.11288189</w:t>
        </w:r>
      </w:hyperlink>
      <w:r>
        <w:t xml:space="preserve">.</w:t>
      </w:r>
    </w:p>
    <w:bookmarkEnd w:id="137"/>
    <w:bookmarkStart w:id="139" w:name="ref-zhang2020maml"/>
    <w:p>
      <w:pPr>
        <w:pStyle w:val="Bibliography"/>
      </w:pPr>
      <w:r>
        <w:t xml:space="preserve">[38]</w:t>
      </w:r>
      <w:r>
        <w:t xml:space="preserve"> </w:t>
      </w:r>
      <w:r>
        <w:t xml:space="preserve">	</w:t>
      </w:r>
      <w:r>
        <w:t xml:space="preserve">S. Zhang, F. Ye, B. Wang, and T. G. Habetler,</w:t>
      </w:r>
      <w:r>
        <w:t xml:space="preserve"> </w:t>
      </w:r>
      <w:r>
        <w:t xml:space="preserve">“Few-shot bearing anomaly detection based on model-agnostic meta-learning,”</w:t>
      </w:r>
      <w:r>
        <w:t xml:space="preserve"> </w:t>
      </w:r>
      <w:r>
        <w:t xml:space="preserve">in</w:t>
      </w:r>
      <w:r>
        <w:t xml:space="preserve"> </w:t>
      </w:r>
      <w:r>
        <w:rPr>
          <w:iCs/>
          <w:i/>
        </w:rPr>
        <w:t xml:space="preserve">2020 23rd international conference on electrical machines and systems (ICEMS)</w:t>
      </w:r>
      <w:r>
        <w:t xml:space="preserve">, 2020, pp. 1341–1346. doi:</w:t>
      </w:r>
      <w:r>
        <w:t xml:space="preserve"> </w:t>
      </w:r>
      <w:hyperlink r:id="rId138">
        <w:r>
          <w:rPr>
            <w:rStyle w:val="Hyperlink"/>
          </w:rPr>
          <w:t xml:space="preserve">10.23919/ICEMS50442.2020.9291099</w:t>
        </w:r>
      </w:hyperlink>
      <w:r>
        <w:t xml:space="preserve">.</w:t>
      </w:r>
    </w:p>
    <w:bookmarkEnd w:id="139"/>
    <w:bookmarkStart w:id="141" w:name="ref-zhou2021siamese"/>
    <w:p>
      <w:pPr>
        <w:pStyle w:val="Bibliography"/>
      </w:pPr>
      <w:r>
        <w:t xml:space="preserve">[39]</w:t>
      </w:r>
      <w:r>
        <w:t xml:space="preserve"> </w:t>
      </w:r>
      <w:r>
        <w:t xml:space="preserve">	</w:t>
      </w:r>
      <w:r>
        <w:t xml:space="preserve">X. Zhou, W. Liang, S. Shimizu, J. Ma, and Q. Jin,</w:t>
      </w:r>
      <w:r>
        <w:t xml:space="preserve"> </w:t>
      </w:r>
      <w:r>
        <w:t xml:space="preserve">“Siamese neural network based few-shot learning for anomaly detection in industrial cyber-physical systems,”</w:t>
      </w:r>
      <w:r>
        <w:t xml:space="preserve"> </w:t>
      </w:r>
      <w:r>
        <w:rPr>
          <w:iCs/>
          <w:i/>
        </w:rPr>
        <w:t xml:space="preserve">IEEE Transactions on Industrial Informatics</w:t>
      </w:r>
      <w:r>
        <w:t xml:space="preserve">, vol. 17, no. 8, pp. 5790–5798, 2021, doi:</w:t>
      </w:r>
      <w:r>
        <w:t xml:space="preserve"> </w:t>
      </w:r>
      <w:hyperlink r:id="rId140">
        <w:r>
          <w:rPr>
            <w:rStyle w:val="Hyperlink"/>
          </w:rPr>
          <w:t xml:space="preserve">10.1109/TII.2020.3047675</w:t>
        </w:r>
      </w:hyperlink>
      <w:r>
        <w:t xml:space="preserve">.</w:t>
      </w:r>
    </w:p>
    <w:bookmarkEnd w:id="141"/>
    <w:bookmarkStart w:id="143" w:name="ref-chen2023metabearing"/>
    <w:p>
      <w:pPr>
        <w:pStyle w:val="Bibliography"/>
      </w:pPr>
      <w:r>
        <w:t xml:space="preserve">[40]</w:t>
      </w:r>
      <w:r>
        <w:t xml:space="preserve"> </w:t>
      </w:r>
      <w:r>
        <w:t xml:space="preserve">	</w:t>
      </w:r>
      <w:r>
        <w:t xml:space="preserve">J. Chen, W. Hu, D. Cao, Z. Zhang, Z. Chen, and F. Blaabjerg,</w:t>
      </w:r>
      <w:r>
        <w:t xml:space="preserve"> </w:t>
      </w:r>
      <w:r>
        <w:t xml:space="preserve">“A meta-learning method for electric machine bearing fault diagnosis under varying working conditions with limited data,”</w:t>
      </w:r>
      <w:r>
        <w:t xml:space="preserve"> </w:t>
      </w:r>
      <w:r>
        <w:rPr>
          <w:iCs/>
          <w:i/>
        </w:rPr>
        <w:t xml:space="preserve">IEEE Transactions on Industrial Informatics</w:t>
      </w:r>
      <w:r>
        <w:t xml:space="preserve">, vol. 19, no. 3, pp. 2552–2564, 2023, doi:</w:t>
      </w:r>
      <w:r>
        <w:t xml:space="preserve"> </w:t>
      </w:r>
      <w:hyperlink r:id="rId142">
        <w:r>
          <w:rPr>
            <w:rStyle w:val="Hyperlink"/>
          </w:rPr>
          <w:t xml:space="preserve">10.1109/TII.2022.3165027</w:t>
        </w:r>
      </w:hyperlink>
      <w:r>
        <w:t xml:space="preserve">.</w:t>
      </w:r>
    </w:p>
    <w:bookmarkEnd w:id="143"/>
    <w:bookmarkStart w:id="145" w:name="ref-li2024rrpn"/>
    <w:p>
      <w:pPr>
        <w:pStyle w:val="Bibliography"/>
      </w:pPr>
      <w:r>
        <w:t xml:space="preserve">[41]</w:t>
      </w:r>
      <w:r>
        <w:t xml:space="preserve"> </w:t>
      </w:r>
      <w:r>
        <w:t xml:space="preserve">	</w:t>
      </w:r>
      <w:r>
        <w:t xml:space="preserve">K. Li, C. Shang, and H. Ye,</w:t>
      </w:r>
      <w:r>
        <w:t xml:space="preserve"> </w:t>
      </w:r>
      <w:r>
        <w:t xml:space="preserve">“Reweighted regularized prototypical network for few-shot fault diagnosis,”</w:t>
      </w:r>
      <w:r>
        <w:t xml:space="preserve"> </w:t>
      </w:r>
      <w:r>
        <w:rPr>
          <w:iCs/>
          <w:i/>
        </w:rPr>
        <w:t xml:space="preserve">IEEE Transactions on Neural Networks and Learning Systems</w:t>
      </w:r>
      <w:r>
        <w:t xml:space="preserve">, vol. 35, no. 5, pp. 6206–6217, 2024, doi:</w:t>
      </w:r>
      <w:r>
        <w:t xml:space="preserve"> </w:t>
      </w:r>
      <w:hyperlink r:id="rId144">
        <w:r>
          <w:rPr>
            <w:rStyle w:val="Hyperlink"/>
          </w:rPr>
          <w:t xml:space="preserve">10.1109/TNNLS.2022.3232394</w:t>
        </w:r>
      </w:hyperlink>
      <w:r>
        <w:t xml:space="preserve">.</w:t>
      </w:r>
    </w:p>
    <w:bookmarkEnd w:id="145"/>
    <w:bookmarkStart w:id="147" w:name="ref-kim2022rigorous"/>
    <w:p>
      <w:pPr>
        <w:pStyle w:val="Bibliography"/>
      </w:pPr>
      <w:r>
        <w:t xml:space="preserve">[42]</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46">
        <w:r>
          <w:rPr>
            <w:rStyle w:val="Hyperlink"/>
          </w:rPr>
          <w:t xml:space="preserve">10.1609/aaai.v36i7.20680</w:t>
        </w:r>
      </w:hyperlink>
      <w:r>
        <w:t xml:space="preserve">.</w:t>
      </w:r>
    </w:p>
    <w:bookmarkEnd w:id="147"/>
    <w:bookmarkStart w:id="149" w:name="ref-garg2022evaluation"/>
    <w:p>
      <w:pPr>
        <w:pStyle w:val="Bibliography"/>
      </w:pPr>
      <w:r>
        <w:t xml:space="preserve">[43]</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48">
        <w:r>
          <w:rPr>
            <w:rStyle w:val="Hyperlink"/>
          </w:rPr>
          <w:t xml:space="preserve">10.1109/TNNLS.2021.3105827</w:t>
        </w:r>
      </w:hyperlink>
      <w:r>
        <w:t xml:space="preserve">.</w:t>
      </w:r>
    </w:p>
    <w:bookmarkEnd w:id="149"/>
    <w:bookmarkStart w:id="151" w:name="ref-wu2023flawed"/>
    <w:p>
      <w:pPr>
        <w:pStyle w:val="Bibliography"/>
      </w:pPr>
      <w:r>
        <w:t xml:space="preserve">[44]</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50">
        <w:r>
          <w:rPr>
            <w:rStyle w:val="Hyperlink"/>
          </w:rPr>
          <w:t xml:space="preserve">10.1109/TKDE.2021.3112126</w:t>
        </w:r>
      </w:hyperlink>
      <w:r>
        <w:t xml:space="preserve">.</w:t>
      </w:r>
    </w:p>
    <w:bookmarkEnd w:id="151"/>
    <w:bookmarkStart w:id="152" w:name="ref-siffer2017pot"/>
    <w:p>
      <w:pPr>
        <w:pStyle w:val="Bibliography"/>
      </w:pPr>
      <w:r>
        <w:t xml:space="preserve">[45]</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52"/>
    <w:bookmarkStart w:id="153" w:name="ref-bach2008paired"/>
    <w:p>
      <w:pPr>
        <w:pStyle w:val="Bibliography"/>
      </w:pPr>
      <w:r>
        <w:t xml:space="preserve">[46]</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53"/>
    <w:bookmarkStart w:id="155" w:name="ref-su2019omnianomaly"/>
    <w:p>
      <w:pPr>
        <w:pStyle w:val="Bibliography"/>
      </w:pPr>
      <w:r>
        <w:t xml:space="preserve">[47]</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54">
        <w:r>
          <w:rPr>
            <w:rStyle w:val="Hyperlink"/>
          </w:rPr>
          <w:t xml:space="preserve">10.1145/3292500.3330672</w:t>
        </w:r>
      </w:hyperlink>
      <w:r>
        <w:t xml:space="preserve">.</w:t>
      </w:r>
    </w:p>
    <w:bookmarkEnd w:id="155"/>
    <w:bookmarkStart w:id="158" w:name="ref-katser2020skab"/>
    <w:p>
      <w:pPr>
        <w:pStyle w:val="Bibliography"/>
      </w:pPr>
      <w:r>
        <w:t xml:space="preserve">[48]</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56">
        <w:r>
          <w:rPr>
            <w:rStyle w:val="Hyperlink"/>
          </w:rPr>
          <w:t xml:space="preserve">https://github.com/waico/SKAB</w:t>
        </w:r>
      </w:hyperlink>
      <w:r>
        <w:t xml:space="preserve">, 2020. doi:</w:t>
      </w:r>
      <w:r>
        <w:t xml:space="preserve"> </w:t>
      </w:r>
      <w:hyperlink r:id="rId157">
        <w:r>
          <w:rPr>
            <w:rStyle w:val="Hyperlink"/>
          </w:rPr>
          <w:t xml:space="preserve">10.34740/kaggle/dsv/1693952</w:t>
        </w:r>
      </w:hyperlink>
      <w:r>
        <w:t xml:space="preserve">.</w:t>
      </w:r>
    </w:p>
    <w:bookmarkEnd w:id="158"/>
    <w:bookmarkStart w:id="160" w:name="ref-abdulaal2021psm"/>
    <w:p>
      <w:pPr>
        <w:pStyle w:val="Bibliography"/>
      </w:pPr>
      <w:r>
        <w:t xml:space="preserve">[49]</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59">
        <w:r>
          <w:rPr>
            <w:rStyle w:val="Hyperlink"/>
          </w:rPr>
          <w:t xml:space="preserve">10.1145/3447548.3467174</w:t>
        </w:r>
      </w:hyperlink>
      <w:r>
        <w:t xml:space="preserve">.</w:t>
      </w:r>
    </w:p>
    <w:bookmarkEnd w:id="160"/>
    <w:bookmarkStart w:id="162" w:name="ref-liu2008iforest"/>
    <w:p>
      <w:pPr>
        <w:pStyle w:val="Bibliography"/>
      </w:pPr>
      <w:r>
        <w:t xml:space="preserve">[50]</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61">
        <w:r>
          <w:rPr>
            <w:rStyle w:val="Hyperlink"/>
          </w:rPr>
          <w:t xml:space="preserve">10.1109/ICDM.2008.17</w:t>
        </w:r>
      </w:hyperlink>
      <w:r>
        <w:t xml:space="preserve">.</w:t>
      </w:r>
    </w:p>
    <w:bookmarkEnd w:id="162"/>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106" Target="https://doi.org/10.1007/978-3-540-28645-5_29" TargetMode="External" /><Relationship Type="http://schemas.openxmlformats.org/officeDocument/2006/relationships/hyperlink" Id="rId119"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36" Target="https://doi.org/10.1109/CRC67523.2025.11288189" TargetMode="External" /><Relationship Type="http://schemas.openxmlformats.org/officeDocument/2006/relationships/hyperlink" Id="rId161" Target="https://doi.org/10.1109/ICDM.2008.17" TargetMode="External" /><Relationship Type="http://schemas.openxmlformats.org/officeDocument/2006/relationships/hyperlink" Id="rId128" Target="https://doi.org/10.1109/ICSMD60522.2023.10490806" TargetMode="External" /><Relationship Type="http://schemas.openxmlformats.org/officeDocument/2006/relationships/hyperlink" Id="rId101" Target="https://doi.org/10.1109/JIOT.2022.3167005" TargetMode="External" /><Relationship Type="http://schemas.openxmlformats.org/officeDocument/2006/relationships/hyperlink" Id="rId97" Target="https://doi.org/10.1109/JIOT.2025.3569628" TargetMode="External" /><Relationship Type="http://schemas.openxmlformats.org/officeDocument/2006/relationships/hyperlink" Id="rId140" Target="https://doi.org/10.1109/TII.2020.3047675" TargetMode="External" /><Relationship Type="http://schemas.openxmlformats.org/officeDocument/2006/relationships/hyperlink" Id="rId142" Target="https://doi.org/10.1109/TII.2022.3165027" TargetMode="External" /><Relationship Type="http://schemas.openxmlformats.org/officeDocument/2006/relationships/hyperlink" Id="rId130" Target="https://doi.org/10.1109/TII.2024.3416945" TargetMode="External" /><Relationship Type="http://schemas.openxmlformats.org/officeDocument/2006/relationships/hyperlink" Id="rId89" Target="https://doi.org/10.1109/TKDE.2018.2876857" TargetMode="External" /><Relationship Type="http://schemas.openxmlformats.org/officeDocument/2006/relationships/hyperlink" Id="rId150" Target="https://doi.org/10.1109/TKDE.2021.3112126" TargetMode="External" /><Relationship Type="http://schemas.openxmlformats.org/officeDocument/2006/relationships/hyperlink" Id="rId148" Target="https://doi.org/10.1109/TNNLS.2021.3105827" TargetMode="External" /><Relationship Type="http://schemas.openxmlformats.org/officeDocument/2006/relationships/hyperlink" Id="rId144" Target="https://doi.org/10.1109/TNNLS.2022.3232394" TargetMode="External" /><Relationship Type="http://schemas.openxmlformats.org/officeDocument/2006/relationships/hyperlink" Id="rId132" Target="https://doi.org/10.1109/TNSM.2023.3332284" TargetMode="External" /><Relationship Type="http://schemas.openxmlformats.org/officeDocument/2006/relationships/hyperlink" Id="rId108"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6" Target="https://doi.org/10.1145/3219819.3219845" TargetMode="External" /><Relationship Type="http://schemas.openxmlformats.org/officeDocument/2006/relationships/hyperlink" Id="rId154"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59" Target="https://doi.org/10.1145/3447548.3467174" TargetMode="External" /><Relationship Type="http://schemas.openxmlformats.org/officeDocument/2006/relationships/hyperlink" Id="rId134" Target="https://doi.org/10.14778/3514061.3514067" TargetMode="External" /><Relationship Type="http://schemas.openxmlformats.org/officeDocument/2006/relationships/hyperlink" Id="rId146" Target="https://doi.org/10.1609/aaai.v36i7.20680" TargetMode="External" /><Relationship Type="http://schemas.openxmlformats.org/officeDocument/2006/relationships/hyperlink" Id="rId138" Target="https://doi.org/10.23919/ICEMS50442.2020.9291099" TargetMode="External" /><Relationship Type="http://schemas.openxmlformats.org/officeDocument/2006/relationships/hyperlink" Id="rId111" Target="https://doi.org/10.3389/frai.2024.1330257" TargetMode="External" /><Relationship Type="http://schemas.openxmlformats.org/officeDocument/2006/relationships/hyperlink" Id="rId113" Target="https://doi.org/10.3389/frai.2024.1330258" TargetMode="External" /><Relationship Type="http://schemas.openxmlformats.org/officeDocument/2006/relationships/hyperlink" Id="rId121"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57" Target="https://doi.org/10.34740/kaggle/dsv/1693952" TargetMode="External" /><Relationship Type="http://schemas.openxmlformats.org/officeDocument/2006/relationships/hyperlink" Id="rId156"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7/978-3-540-28645-5_29" TargetMode="External" /><Relationship Type="http://schemas.openxmlformats.org/officeDocument/2006/relationships/hyperlink" Id="rId119"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36" Target="https://doi.org/10.1109/CRC67523.2025.11288189" TargetMode="External" /><Relationship Type="http://schemas.openxmlformats.org/officeDocument/2006/relationships/hyperlink" Id="rId161" Target="https://doi.org/10.1109/ICDM.2008.17" TargetMode="External" /><Relationship Type="http://schemas.openxmlformats.org/officeDocument/2006/relationships/hyperlink" Id="rId128" Target="https://doi.org/10.1109/ICSMD60522.2023.10490806" TargetMode="External" /><Relationship Type="http://schemas.openxmlformats.org/officeDocument/2006/relationships/hyperlink" Id="rId101" Target="https://doi.org/10.1109/JIOT.2022.3167005" TargetMode="External" /><Relationship Type="http://schemas.openxmlformats.org/officeDocument/2006/relationships/hyperlink" Id="rId97" Target="https://doi.org/10.1109/JIOT.2025.3569628" TargetMode="External" /><Relationship Type="http://schemas.openxmlformats.org/officeDocument/2006/relationships/hyperlink" Id="rId140" Target="https://doi.org/10.1109/TII.2020.3047675" TargetMode="External" /><Relationship Type="http://schemas.openxmlformats.org/officeDocument/2006/relationships/hyperlink" Id="rId142" Target="https://doi.org/10.1109/TII.2022.3165027" TargetMode="External" /><Relationship Type="http://schemas.openxmlformats.org/officeDocument/2006/relationships/hyperlink" Id="rId130" Target="https://doi.org/10.1109/TII.2024.3416945" TargetMode="External" /><Relationship Type="http://schemas.openxmlformats.org/officeDocument/2006/relationships/hyperlink" Id="rId89" Target="https://doi.org/10.1109/TKDE.2018.2876857" TargetMode="External" /><Relationship Type="http://schemas.openxmlformats.org/officeDocument/2006/relationships/hyperlink" Id="rId150" Target="https://doi.org/10.1109/TKDE.2021.3112126" TargetMode="External" /><Relationship Type="http://schemas.openxmlformats.org/officeDocument/2006/relationships/hyperlink" Id="rId148" Target="https://doi.org/10.1109/TNNLS.2021.3105827" TargetMode="External" /><Relationship Type="http://schemas.openxmlformats.org/officeDocument/2006/relationships/hyperlink" Id="rId144" Target="https://doi.org/10.1109/TNNLS.2022.3232394" TargetMode="External" /><Relationship Type="http://schemas.openxmlformats.org/officeDocument/2006/relationships/hyperlink" Id="rId132" Target="https://doi.org/10.1109/TNSM.2023.3332284" TargetMode="External" /><Relationship Type="http://schemas.openxmlformats.org/officeDocument/2006/relationships/hyperlink" Id="rId108"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6" Target="https://doi.org/10.1145/3219819.3219845" TargetMode="External" /><Relationship Type="http://schemas.openxmlformats.org/officeDocument/2006/relationships/hyperlink" Id="rId154"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59" Target="https://doi.org/10.1145/3447548.3467174" TargetMode="External" /><Relationship Type="http://schemas.openxmlformats.org/officeDocument/2006/relationships/hyperlink" Id="rId134" Target="https://doi.org/10.14778/3514061.3514067" TargetMode="External" /><Relationship Type="http://schemas.openxmlformats.org/officeDocument/2006/relationships/hyperlink" Id="rId146" Target="https://doi.org/10.1609/aaai.v36i7.20680" TargetMode="External" /><Relationship Type="http://schemas.openxmlformats.org/officeDocument/2006/relationships/hyperlink" Id="rId138" Target="https://doi.org/10.23919/ICEMS50442.2020.9291099" TargetMode="External" /><Relationship Type="http://schemas.openxmlformats.org/officeDocument/2006/relationships/hyperlink" Id="rId111" Target="https://doi.org/10.3389/frai.2024.1330257" TargetMode="External" /><Relationship Type="http://schemas.openxmlformats.org/officeDocument/2006/relationships/hyperlink" Id="rId113" Target="https://doi.org/10.3389/frai.2024.1330258" TargetMode="External" /><Relationship Type="http://schemas.openxmlformats.org/officeDocument/2006/relationships/hyperlink" Id="rId121"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57" Target="https://doi.org/10.34740/kaggle/dsv/1693952" TargetMode="External" /><Relationship Type="http://schemas.openxmlformats.org/officeDocument/2006/relationships/hyperlink" Id="rId156"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2026-10-28T06:38:00Z</dcterms:created>
  <dcterms:modified xsi:type="dcterms:W3CDTF">2026-10-28T06:38:00Z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