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Document 1: Master Research Specification &amp; Theoretical Blueprint</w:t>
        <w:br w:type="textWrapping"/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4a556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2"/>
          <w:szCs w:val="22"/>
          <w:rtl w:val="0"/>
        </w:rPr>
        <w:t xml:space="preserve">Project Title:</w:t>
      </w:r>
      <w:r w:rsidDel="00000000" w:rsidR="00000000" w:rsidRPr="00000000">
        <w:rPr>
          <w:rFonts w:ascii="Arial" w:cs="Arial" w:eastAsia="Arial" w:hAnsi="Arial"/>
          <w:color w:val="4a5568"/>
          <w:sz w:val="22"/>
          <w:szCs w:val="22"/>
          <w:rtl w:val="0"/>
        </w:rPr>
        <w:t xml:space="preserve"> Diversity as a Defense Against Misinformation in LLM Societies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4a556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2"/>
          <w:szCs w:val="22"/>
          <w:rtl w:val="0"/>
        </w:rPr>
        <w:t xml:space="preserve">Subtitle:</w:t>
      </w:r>
      <w:r w:rsidDel="00000000" w:rsidR="00000000" w:rsidRPr="00000000">
        <w:rPr>
          <w:rFonts w:ascii="Arial" w:cs="Arial" w:eastAsia="Arial" w:hAnsi="Arial"/>
          <w:color w:val="4a5568"/>
          <w:sz w:val="22"/>
          <w:szCs w:val="22"/>
          <w:rtl w:val="0"/>
        </w:rPr>
        <w:t xml:space="preserve"> Studying Information Propagation, Collective Intelligence, and Resilience in Multi-Agent Ecosystems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4a556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2"/>
          <w:szCs w:val="22"/>
          <w:rtl w:val="0"/>
        </w:rPr>
        <w:t xml:space="preserve">Version:</w:t>
      </w:r>
      <w:r w:rsidDel="00000000" w:rsidR="00000000" w:rsidRPr="00000000">
        <w:rPr>
          <w:rFonts w:ascii="Arial" w:cs="Arial" w:eastAsia="Arial" w:hAnsi="Arial"/>
          <w:color w:val="4a5568"/>
          <w:sz w:val="22"/>
          <w:szCs w:val="22"/>
          <w:rtl w:val="0"/>
        </w:rPr>
        <w:t xml:space="preserve"> 1.0 (Formal Research Specification)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4a556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2"/>
          <w:szCs w:val="22"/>
          <w:rtl w:val="0"/>
        </w:rPr>
        <w:t xml:space="preserve">Target Venues:</w:t>
      </w:r>
      <w:r w:rsidDel="00000000" w:rsidR="00000000" w:rsidRPr="00000000">
        <w:rPr>
          <w:rFonts w:ascii="Arial" w:cs="Arial" w:eastAsia="Arial" w:hAnsi="Arial"/>
          <w:color w:val="4a5568"/>
          <w:sz w:val="22"/>
          <w:szCs w:val="22"/>
          <w:rtl w:val="0"/>
        </w:rPr>
        <w:t xml:space="preserve"> NeurIPS / ICLR / ICML Workshops (AI Safety &amp; Multi-Agent Systems Tracks), COLM, ACL Findings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  <w:color w:val="4a556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5568"/>
          <w:sz w:val="22"/>
          <w:szCs w:val="22"/>
          <w:rtl w:val="0"/>
        </w:rPr>
        <w:t xml:space="preserve">Target Timeline:</w:t>
      </w:r>
      <w:r w:rsidDel="00000000" w:rsidR="00000000" w:rsidRPr="00000000">
        <w:rPr>
          <w:rFonts w:ascii="Arial" w:cs="Arial" w:eastAsia="Arial" w:hAnsi="Arial"/>
          <w:color w:val="4a5568"/>
          <w:sz w:val="22"/>
          <w:szCs w:val="22"/>
          <w:rtl w:val="0"/>
        </w:rPr>
        <w:t xml:space="preserve"> 8 Weeks (Targeting ArXiv release &amp; Fall 2027 Master’s Application Portfolio)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rFonts w:ascii="Arial" w:cs="Arial" w:eastAsia="Arial" w:hAnsi="Arial"/>
          <w:color w:val="2b6cb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b6cb0"/>
          <w:sz w:val="32"/>
          <w:szCs w:val="32"/>
          <w:rtl w:val="0"/>
        </w:rPr>
        <w:t xml:space="preserve">1. Abstract &amp; Executive Summary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As autonomous Large Language Models (LLMs) transition from isolated conversational assistants into interconnected multi-agent ecosystems, information is increasingly generated, transmitted, and consumed directly between AI systems without human oversight. This fundamental shift introduces novel network-level failure modes, including cascading hallucinations, false consensus formation, authority-induced bias, and synthetic echo chambers.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Current evaluation paradigms focus almost exclusively on single-agent capability benchmarks (e.g., coding, reasoning, retrieval). This research establishes a standardized framework for measuring information diffusion, belief persistence, and epidemiological resilience within multi-agent LLM societies.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We formalize and test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Functional Diversity Defense Hypothesis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that architectural and inductive heterogeneity across interacting agents acts as a systemic immunological defense against the propagation of misinformation, outperforming scale-matched homogeneous populations.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rFonts w:ascii="Arial" w:cs="Arial" w:eastAsia="Arial" w:hAnsi="Arial"/>
          <w:color w:val="2b6cb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b6cb0"/>
          <w:sz w:val="32"/>
          <w:szCs w:val="32"/>
          <w:rtl w:val="0"/>
        </w:rPr>
        <w:t xml:space="preserve">2. Theoretical Foundations &amp; Mathematical Formulation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We model an artificial AI society as a dynamic, discrete-time communicative directed graph.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Arial" w:cs="Arial" w:eastAsia="Arial" w:hAnsi="Arial"/>
          <w:color w:val="2d3748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2.1 Graph &amp; Agent Definitions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Let the AI society be represented by the graph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G = (V, E, Θ)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where: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V = {A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, 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, ..., 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is the set of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autonomous LLM agents.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 ⊆ V × V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represents directed communication channels. The set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subscript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(i) = {A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| (A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, 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subscript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) ∈ E}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denotes the incoming neighbors of agent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Θ = {θ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, θ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, ..., θ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assigns model parameters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subscript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 ∈ M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to each agent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drawn from a pool of distinct model families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(e.g., Llama-3, Qwen-2.5, Mistral, Gemini).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25" w:lineRule="auto"/>
        <w:rPr>
          <w:rFonts w:ascii="Arial" w:cs="Arial" w:eastAsia="Arial" w:hAnsi="Arial"/>
          <w:color w:val="2d3748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2.2 System Functional Diversity H(Θ)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Rather than parameter variance, we define functional diversity as the average pairwise Jensen-Shannon (JS) divergence of output token distributions across a reference task suite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Rule="auto"/>
        <w:ind w:left="180" w:right="180" w:firstLine="0"/>
        <w:rPr>
          <w:rFonts w:ascii="Courier" w:cs="Courier" w:eastAsia="Courier" w:hAnsi="Courier"/>
          <w:sz w:val="22"/>
          <w:szCs w:val="22"/>
          <w:shd w:fill="f7fafc" w:val="clear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2"/>
          <w:szCs w:val="22"/>
          <w:shd w:fill="f7fafc" w:val="clear"/>
          <w:rtl w:val="0"/>
        </w:rPr>
        <w:t xml:space="preserve">H(Θ)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rtl w:val="0"/>
        </w:rPr>
        <w:t xml:space="preserve"> = [ 2 / (N · (N - 1)) ] · ∑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vertAlign w:val="subscript"/>
          <w:rtl w:val="0"/>
        </w:rPr>
        <w:t xml:space="preserve">i=1..N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rtl w:val="0"/>
        </w:rPr>
        <w:t xml:space="preserve"> ∑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vertAlign w:val="subscript"/>
          <w:rtl w:val="0"/>
        </w:rPr>
        <w:t xml:space="preserve">j=i+1..N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rtl w:val="0"/>
        </w:rPr>
        <w:t xml:space="preserve"> D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vertAlign w:val="subscript"/>
          <w:rtl w:val="0"/>
        </w:rPr>
        <w:t xml:space="preserve">JS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rtl w:val="0"/>
        </w:rPr>
        <w:t xml:space="preserve">( P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vertAlign w:val="subscript"/>
          <w:rtl w:val="0"/>
        </w:rPr>
        <w:t xml:space="preserve">θi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rtl w:val="0"/>
        </w:rPr>
        <w:t xml:space="preserve">(Y | X) || P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vertAlign w:val="subscript"/>
          <w:rtl w:val="0"/>
        </w:rPr>
        <w:t xml:space="preserve">θj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rtl w:val="0"/>
        </w:rPr>
        <w:t xml:space="preserve">(Y | X) )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Arial" w:cs="Arial" w:eastAsia="Arial" w:hAnsi="Arial"/>
          <w:b w:val="1"/>
          <w:bCs w:val="1"/>
          <w:i w:val="0"/>
          <w:iCs w:val="0"/>
          <w:color w:val="2d3748"/>
          <w:sz w:val="26"/>
          <w:szCs w:val="26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2.3 Context Memory Operator 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748"/>
          <w:sz w:val="26"/>
          <w:szCs w:val="26"/>
          <w:vertAlign w:val="subscript"/>
          <w:rtl w:val="0"/>
        </w:rPr>
        <w:t xml:space="preserve">φ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To prevent context window saturation and model recency biases, the context window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vertAlign w:val="superscript"/>
          <w:rtl w:val="0"/>
        </w:rPr>
        <w:t xml:space="preserve">(t)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of agent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at timestep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is updated via a bounded memory operator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vertAlign w:val="subscript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with a strict token budget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80" w:lineRule="auto"/>
        <w:ind w:left="180" w:right="180" w:firstLine="0"/>
        <w:rPr>
          <w:rFonts w:ascii="Courier" w:cs="Courier" w:eastAsia="Courier" w:hAnsi="Courier"/>
          <w:sz w:val="22"/>
          <w:szCs w:val="22"/>
          <w:shd w:fill="f7fafc" w:val="clear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2"/>
          <w:szCs w:val="22"/>
          <w:shd w:fill="f7fafc" w:val="clear"/>
          <w:rtl w:val="0"/>
        </w:rPr>
        <w:t xml:space="preserve">C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22"/>
          <w:szCs w:val="22"/>
          <w:shd w:fill="f7fafc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22"/>
          <w:szCs w:val="22"/>
          <w:shd w:fill="f7fafc" w:val="clear"/>
          <w:vertAlign w:val="superscript"/>
          <w:rtl w:val="0"/>
        </w:rPr>
        <w:t xml:space="preserve">(t+1)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rtl w:val="0"/>
        </w:rPr>
        <w:t xml:space="preserve"> = M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vertAlign w:val="subscript"/>
          <w:rtl w:val="0"/>
        </w:rPr>
        <w:t xml:space="preserve">φ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rtl w:val="0"/>
        </w:rPr>
        <w:t xml:space="preserve">( C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vertAlign w:val="superscript"/>
          <w:rtl w:val="0"/>
        </w:rPr>
        <w:t xml:space="preserve">(t)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rtl w:val="0"/>
        </w:rPr>
        <w:t xml:space="preserve"> ⊕ [ ⨂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vertAlign w:val="subscript"/>
          <w:rtl w:val="0"/>
        </w:rPr>
        <w:t xml:space="preserve">j ∈ Nin(i)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rtl w:val="0"/>
        </w:rPr>
        <w:t xml:space="preserve"> m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vertAlign w:val="superscript"/>
          <w:rtl w:val="0"/>
        </w:rPr>
        <w:t xml:space="preserve">(t)</w:t>
      </w:r>
      <w:r w:rsidDel="00000000" w:rsidR="00000000" w:rsidRPr="00000000">
        <w:rPr>
          <w:rFonts w:ascii="Courier" w:cs="Courier" w:eastAsia="Courier" w:hAnsi="Courier"/>
          <w:sz w:val="22"/>
          <w:szCs w:val="22"/>
          <w:shd w:fill="f7fafc" w:val="clear"/>
          <w:rtl w:val="0"/>
        </w:rPr>
        <w:t xml:space="preserve"> ], K 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4a556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a5568"/>
          <w:sz w:val="22"/>
          <w:szCs w:val="22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vertAlign w:val="superscript"/>
          <w:rtl w:val="0"/>
        </w:rPr>
        <w:t xml:space="preserve">(t)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0"/>
        </w:rPr>
        <w:t xml:space="preserve"> ~ P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vertAlign w:val="subscript"/>
          <w:rtl w:val="0"/>
        </w:rPr>
        <w:t xml:space="preserve">θj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0"/>
        </w:rPr>
        <w:t xml:space="preserve">(· | C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vertAlign w:val="superscript"/>
          <w:rtl w:val="0"/>
        </w:rPr>
        <w:t xml:space="preserve">(t)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a5568"/>
          <w:sz w:val="22"/>
          <w:szCs w:val="22"/>
          <w:rtl w:val="0"/>
        </w:rPr>
        <w:t xml:space="preserve"> is the stochastic message generated by neighbor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color w:val="4a5568"/>
          <w:sz w:val="22"/>
          <w:szCs w:val="22"/>
          <w:rtl w:val="0"/>
        </w:rPr>
        <w:t xml:space="preserve"> at time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color w:val="4a5568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Arial" w:cs="Arial" w:eastAsia="Arial" w:hAnsi="Arial"/>
          <w:color w:val="2d3748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2.4 Dual-Probe Belief State Extraction 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748"/>
          <w:sz w:val="26"/>
          <w:szCs w:val="26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748"/>
          <w:sz w:val="26"/>
          <w:szCs w:val="26"/>
          <w:vertAlign w:val="superscript"/>
          <w:rtl w:val="0"/>
        </w:rPr>
        <w:t xml:space="preserve">(t)</w:t>
      </w:r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(s)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For a proposition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0000"/>
          <w:sz w:val="22"/>
          <w:szCs w:val="22"/>
          <w:rtl w:val="0"/>
        </w:rPr>
        <w:t xml:space="preserve">s ∈ 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an agent’s internal belief state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vertAlign w:val="superscript"/>
          <w:rtl w:val="0"/>
        </w:rPr>
        <w:t xml:space="preserve">(t)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0000"/>
          <w:sz w:val="22"/>
          <w:szCs w:val="22"/>
          <w:rtl w:val="0"/>
        </w:rPr>
        <w:t xml:space="preserve">(s) ∈ [0, 1]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combines token logit probabilities with multi-prompt verbal consistency to avoid single-probe calibration errors: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80" w:lineRule="auto"/>
        <w:ind w:left="180" w:right="180" w:firstLine="0"/>
        <w:rPr>
          <w:rFonts w:ascii="Courier" w:cs="Courier" w:eastAsia="Courier" w:hAnsi="Courier"/>
          <w:sz w:val="20"/>
          <w:szCs w:val="20"/>
          <w:shd w:fill="f7fafc" w:val="clear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0"/>
          <w:szCs w:val="20"/>
          <w:shd w:fill="f7fafc" w:val="clear"/>
          <w:rtl w:val="0"/>
        </w:rPr>
        <w:t xml:space="preserve">B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20"/>
          <w:szCs w:val="20"/>
          <w:shd w:fill="f7fafc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20"/>
          <w:szCs w:val="20"/>
          <w:shd w:fill="f7fafc" w:val="clear"/>
          <w:vertAlign w:val="superscript"/>
          <w:rtl w:val="0"/>
        </w:rPr>
        <w:t xml:space="preserve">(t)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20"/>
          <w:szCs w:val="20"/>
          <w:shd w:fill="f7fafc" w:val="clear"/>
          <w:rtl w:val="0"/>
        </w:rPr>
        <w:t xml:space="preserve">(s)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rtl w:val="0"/>
        </w:rPr>
        <w:t xml:space="preserve"> = α · σ( log P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vertAlign w:val="subscript"/>
          <w:rtl w:val="0"/>
        </w:rPr>
        <w:t xml:space="preserve">θi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rtl w:val="0"/>
        </w:rPr>
        <w:t xml:space="preserve">("True" | C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vertAlign w:val="superscript"/>
          <w:rtl w:val="0"/>
        </w:rPr>
        <w:t xml:space="preserve">(t)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rtl w:val="0"/>
        </w:rPr>
        <w:t xml:space="preserve">, s) - log P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vertAlign w:val="subscript"/>
          <w:rtl w:val="0"/>
        </w:rPr>
        <w:t xml:space="preserve">θi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rtl w:val="0"/>
        </w:rPr>
        <w:t xml:space="preserve">("False" | C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vertAlign w:val="superscript"/>
          <w:rtl w:val="0"/>
        </w:rPr>
        <w:t xml:space="preserve">(t)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rtl w:val="0"/>
        </w:rPr>
        <w:t xml:space="preserve">, s) ) + (1 - α) · (1 / M) ∑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vertAlign w:val="subscript"/>
          <w:rtl w:val="0"/>
        </w:rPr>
        <w:t xml:space="preserve">m=1..M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20"/>
          <w:szCs w:val="20"/>
          <w:shd w:fill="f7fafc" w:val="clear"/>
          <w:rtl w:val="0"/>
        </w:rPr>
        <w:t xml:space="preserve">I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rtl w:val="0"/>
        </w:rPr>
        <w:t xml:space="preserve">[ Probe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rtl w:val="0"/>
        </w:rPr>
        <w:t xml:space="preserve">(C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vertAlign w:val="superscript"/>
          <w:rtl w:val="0"/>
        </w:rPr>
        <w:t xml:space="preserve">(t)</w:t>
      </w:r>
      <w:r w:rsidDel="00000000" w:rsidR="00000000" w:rsidRPr="00000000">
        <w:rPr>
          <w:rFonts w:ascii="Courier" w:cs="Courier" w:eastAsia="Courier" w:hAnsi="Courier"/>
          <w:sz w:val="20"/>
          <w:szCs w:val="20"/>
          <w:shd w:fill="f7fafc" w:val="clear"/>
          <w:rtl w:val="0"/>
        </w:rPr>
        <w:t xml:space="preserve">, s) = "True" 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  <w:color w:val="4a556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a5568"/>
          <w:sz w:val="22"/>
          <w:szCs w:val="22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0"/>
        </w:rPr>
        <w:t xml:space="preserve">σ</w:t>
      </w:r>
      <w:r w:rsidDel="00000000" w:rsidR="00000000" w:rsidRPr="00000000">
        <w:rPr>
          <w:rFonts w:ascii="Arial" w:cs="Arial" w:eastAsia="Arial" w:hAnsi="Arial"/>
          <w:color w:val="4a5568"/>
          <w:sz w:val="22"/>
          <w:szCs w:val="22"/>
          <w:rtl w:val="0"/>
        </w:rPr>
        <w:t xml:space="preserve"> is the sigmoid function,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4a5568"/>
          <w:sz w:val="22"/>
          <w:szCs w:val="22"/>
          <w:rtl w:val="0"/>
        </w:rPr>
        <w:t xml:space="preserve">α ∈ [0, 1]</w:t>
      </w:r>
      <w:r w:rsidDel="00000000" w:rsidR="00000000" w:rsidRPr="00000000">
        <w:rPr>
          <w:rFonts w:ascii="Arial" w:cs="Arial" w:eastAsia="Arial" w:hAnsi="Arial"/>
          <w:color w:val="4a5568"/>
          <w:sz w:val="22"/>
          <w:szCs w:val="22"/>
          <w:rtl w:val="0"/>
        </w:rPr>
        <w:t xml:space="preserve"> is a weighting hyperparameter, and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0"/>
        </w:rPr>
        <w:t xml:space="preserve">Probe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color w:val="4a5568"/>
          <w:sz w:val="22"/>
          <w:szCs w:val="22"/>
          <w:rtl w:val="0"/>
        </w:rPr>
        <w:t xml:space="preserve"> represents verbalized binary queries across </w: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color w:val="4a5568"/>
          <w:sz w:val="22"/>
          <w:szCs w:val="22"/>
          <w:rtl w:val="0"/>
        </w:rPr>
        <w:t xml:space="preserve"> paraphrased templates.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rFonts w:ascii="Arial" w:cs="Arial" w:eastAsia="Arial" w:hAnsi="Arial"/>
          <w:color w:val="2b6cb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b6cb0"/>
          <w:sz w:val="32"/>
          <w:szCs w:val="32"/>
          <w:rtl w:val="0"/>
        </w:rPr>
        <w:t xml:space="preserve">3. Formal Hypotheses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H1 (Functional Diversity Defense):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For a fixed total parameter count, populations with high functional diversity (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H(Θ) &gt; τ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 exhibit a significantly lower asymptotic misinformation infection rate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0000"/>
          <w:sz w:val="22"/>
          <w:szCs w:val="22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than homogeneous populations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H(Θ) = 0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rtl w:val="0"/>
        </w:rPr>
        <w:t xml:space="preserve">E[ I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rtl w:val="0"/>
        </w:rPr>
        <w:t xml:space="preserve"> | H(Θ) &gt; τ ] &lt; E[ I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rtl w:val="0"/>
        </w:rPr>
        <w:t xml:space="preserve"> | H(Θ) = 0 ]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H2 (Topology-Induced Bimodal Polarization):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Clustered, small-world topologies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vertAlign w:val="subscript"/>
          <w:rtl w:val="0"/>
        </w:rPr>
        <w:t xml:space="preserve">WS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 foster localized belief clusters leading to high global belief variance, whereas random graphs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vertAlign w:val="subscript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 rapidly converge to uniform global consensus: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rtl w:val="0"/>
        </w:rPr>
        <w:t xml:space="preserve">E[ BPI(T) | G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vertAlign w:val="subscript"/>
          <w:rtl w:val="0"/>
        </w:rPr>
        <w:t xml:space="preserve">WS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rtl w:val="0"/>
        </w:rPr>
        <w:t xml:space="preserve"> ] &gt; E[ BPI(T) | G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vertAlign w:val="subscript"/>
          <w:rtl w:val="0"/>
        </w:rPr>
        <w:t xml:space="preserve">ER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rtl w:val="0"/>
        </w:rPr>
        <w:t xml:space="preserve"> ]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H3 (Linguistic Certainty Super-Spreaders):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Messages generated with high stylistic certainty (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 exert an amplified belief shift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ΔB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vertAlign w:val="superscript"/>
          <w:rtl w:val="0"/>
        </w:rPr>
        <w:t xml:space="preserve">(t+1)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on receiving neighbors, independent of factual correctness: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rtl w:val="0"/>
        </w:rPr>
        <w:t xml:space="preserve">∂ E[ ΔB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vertAlign w:val="superscript"/>
          <w:rtl w:val="0"/>
        </w:rPr>
        <w:t xml:space="preserve">(t+1)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rtl w:val="0"/>
        </w:rPr>
        <w:t xml:space="preserve"> ] / ∂ S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rtl w:val="0"/>
        </w:rPr>
        <w:t xml:space="preserve"> &gt; 0    ∀ A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rtl w:val="0"/>
        </w:rPr>
        <w:t xml:space="preserve"> ∈ N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vertAlign w:val="subscript"/>
          <w:rtl w:val="0"/>
        </w:rPr>
        <w:t xml:space="preserve">in</w:t>
      </w:r>
      <w:r w:rsidDel="00000000" w:rsidR="00000000" w:rsidRPr="00000000">
        <w:rPr>
          <w:rFonts w:ascii="Courier" w:cs="Courier" w:eastAsia="Courier" w:hAnsi="Courier"/>
          <w:b w:val="1"/>
          <w:bCs w:val="1"/>
          <w:color w:val="000000"/>
          <w:sz w:val="22"/>
          <w:szCs w:val="22"/>
          <w:shd w:fill="edf2f7" w:val="clear"/>
          <w:rtl w:val="0"/>
        </w:rPr>
        <w:t xml:space="preserve">(i)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H4 (Critical Misinformation Tipping Point ρ*):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There exists a critical seeding density threshold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0000"/>
          <w:sz w:val="22"/>
          <w:szCs w:val="22"/>
          <w:rtl w:val="0"/>
        </w:rPr>
        <w:t xml:space="preserve">ρ* ∈ (0, 1)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of infected agents above which the network's Truth Retention Rate non-linearly collapses to zero as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0000"/>
          <w:sz w:val="22"/>
          <w:szCs w:val="22"/>
          <w:rtl w:val="0"/>
        </w:rPr>
        <w:t xml:space="preserve">t → ∞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75" w:lineRule="auto"/>
        <w:rPr>
          <w:rFonts w:ascii="Arial" w:cs="Arial" w:eastAsia="Arial" w:hAnsi="Arial"/>
          <w:color w:val="2b6cb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b6cb0"/>
          <w:sz w:val="32"/>
          <w:szCs w:val="32"/>
          <w:rtl w:val="0"/>
        </w:rPr>
        <w:t xml:space="preserve">4. Literature Gap &amp; Related Work Matrix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059.2"/>
        <w:gridCol w:w="2433.6000000000004"/>
        <w:gridCol w:w="2433.6000000000004"/>
        <w:gridCol w:w="2433.6000000000004"/>
        <w:tblGridChange w:id="0">
          <w:tblGrid>
            <w:gridCol w:w="2059.2"/>
            <w:gridCol w:w="2433.6000000000004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Research Domain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Current State of the Art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The Unaddressed Frontier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How This Work Solves It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Generative Societies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Sandbox simulations of human social behaviors (e.g., Park et al., 2023).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Focuses on qualitative roleplay; lacks objective epidemiological tracking of factual truth vs. misinformation.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Establishes quantitative, reproducible metrics tracking truth survival across multi-turn exchanges.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Multi-Agent Systems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Task completion frameworks (e.g., AutoGen, MetaGPT).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Assumes benign, cooperative agents; ignores pathological feedback loops and adversarial misinformation.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Injects controlled misinformation vectors into communication topologies to stress-test resilience.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LLM Reliability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Single-agent benchmark evaluations (e.g., TruthfulQA).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Assumes isolated model usage; ignores multi-turn cascading hallucinations between connected models.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Measures dynamic belief trajectories across connected agent networks over discrete conversational epochs.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Network Epidemiology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Classical biological compartmental models (SIR/SIS).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Assumes passive human nodes with static infection probabilities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subscript"/>
                <w:rtl w:val="0"/>
              </w:rPr>
              <w:t xml:space="preserve">infect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Incorporates non-linear LLM reasoning dynamics, context pruning, and model diversity metrics.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75" w:lineRule="auto"/>
        <w:rPr>
          <w:rFonts w:ascii="Arial" w:cs="Arial" w:eastAsia="Arial" w:hAnsi="Arial"/>
          <w:color w:val="2b6cb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b6cb0"/>
          <w:sz w:val="32"/>
          <w:szCs w:val="32"/>
          <w:rtl w:val="0"/>
        </w:rPr>
        <w:t xml:space="preserve">5. Statistical Analysis Pipeline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To evaluate the empirical trajectories generated by the simulation engine, we implement three primary statistical evaluations: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Two-Way ANOVA (for H1):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Tests the main effects and interaction between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Population Type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(Homogeneous vs. Heterogeneous) and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Fact Tier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(Grounded, Weak Prior, Reasoning Hook) on the final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Truth Retention Rate (TRR)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at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α = 0.01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Two-Sample Kolmogorov-Smirnov Test (for H2):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Compares the final empirical belief distributions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P(B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vertAlign w:val="superscript"/>
          <w:rtl w:val="0"/>
        </w:rPr>
        <w:t xml:space="preserve">(T)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of Watts-Strogatz small-world networks against Erdős–Rényi random networks to prove bimodal polarization.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Linear Mixed-Effects Model (for H3):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Regresses neighbor belief changes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ΔB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vertAlign w:val="superscript"/>
          <w:rtl w:val="0"/>
        </w:rPr>
        <w:t xml:space="preserve">(t+1)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against message certainty scores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incorporating model architecture family as a random intercept effect.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75" w:lineRule="auto"/>
        <w:rPr>
          <w:rFonts w:ascii="Arial" w:cs="Arial" w:eastAsia="Arial" w:hAnsi="Arial"/>
          <w:color w:val="2b6cb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b6cb0"/>
          <w:sz w:val="32"/>
          <w:szCs w:val="32"/>
          <w:rtl w:val="0"/>
        </w:rPr>
        <w:t xml:space="preserve">6. Project Deliverables &amp; Portfolio Strategy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To maximize application impact for Fall 2027 top-tier Master's programs (e.g., CMU, Stanford, ETH Zurich, UC Berkeley):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Deliverable 1: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An open-source, pip-installable Python package (llm-society-sim) featuring async multi-provider API routing.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Deliverable 2: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An ArXiv preprint formatted in standard NeurIPS/ICML LaTeX style.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Deliverable 3: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Submission to AI Safety &amp; Multi-Agent Systems workshops at NeurIPS/ICLR/ICML.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Deliverable 4: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An interactive single-page web dashboard (Streamlit/D3.js) visualizing misinformation spread across network graphs in real time.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