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44"/>
          <w:szCs w:val="44"/>
          <w:rtl w:val="0"/>
        </w:rPr>
        <w:t xml:space="preserve">Document 4: Project Roadmap, Resource Allocation &amp; Collaboration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2"/>
          <w:szCs w:val="22"/>
          <w:rtl w:val="0"/>
        </w:rPr>
        <w:t xml:space="preserve">llm-society-sim • Version 1.0 • Internal Project Management, 8-Week Timeline, Task Matrix &amp; Budget Strategy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Project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Diversity as a Defense Against Misinformation in LLM Societies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Internal Lead &amp; Theorist: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Co-Researcher A (Lead Author &amp; Project Initiator)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Engineering &amp; Compute Lead: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Co-Researcher B (Systems, API &amp; Modal Lead)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Target Outcomes: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ArXiv Preprint, Workshop Submission (NeurIPS/ICLR/ICML), Open-Source Python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Application Focus: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Fall 2027 Master's Program Profile Enhancement (CMU, Stanford, ETH Zurich, UC Berkeley, UIUC)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1. Collaboration Charter &amp; Master's Portfolio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This document serves as the operational contract and roadmap between Co-Researcher A and Co-Researcher B. The primary objective is to execute a high-impact, scientifically sound research study that results in a peer-reviewed publication or workshop acceptance, strengthening both researchers' Fall 2027 graduate application portfolios.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Strategic Positioning: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Admissions committees at top-tier CS and AI programs evaluate applicants based on proof of original research capability, methodological rigor, clean software engineering, and collaborative leadership rather than compute budget scale. Co-authoring a polished, open-source research artifact fulfills all these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Key Collaboration Principles:</w:t>
        <w:br w:type="textWrapping"/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1. Equal co-authorship contribution toward the ArXiv paper and workshop submission.</w:t>
        <w:br w:type="textWrapping"/>
        <w:t xml:space="preserve">2. Shared ownership of the open-source llm-society-sim repository.</w:t>
        <w:br w:type="textWrapping"/>
        <w:t xml:space="preserve">3. Transparent tracking of cloud credits ($280 Modal pool) and out-of-pocket expenses ($120 cash cap).</w:t>
        <w:br w:type="textWrapping"/>
        <w:t xml:space="preserve">4. Strict adherence to the 8-week completion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2. 8-Week Phased Execution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The 8-week execution pipeline is broken down into four distinct 2-week sprints, ensuring steady progress toward paper 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Phase 1: Architecture &amp; Pipeline Build (Weeks 1–2)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• Finalize repository structure (config.py, graph.py, memory.py, router.py).</w:t>
        <w:br w:type="textWrapping"/>
        <w:t xml:space="preserve">• Implement async rate-limiters for Groq, Cerebras, and Google AI Studio APIs.</w:t>
        <w:br w:type="textWrapping"/>
        <w:t xml:space="preserve">• Validate network topology generators (Complete, Erdos-Renyi, Watts-Strogatz).</w:t>
        <w:br w:type="textWrapping"/>
        <w:t xml:space="preserve">• Milestone: Successful execution of a 20-agent dry-run across 5 rounds.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Phase 2: Matrix Execution &amp; Probing (Weeks 3–4)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• Launch 405 simulation runs across the 15 diagnostic facts suite and 3 prompt seeds.</w:t>
        <w:br w:type="textWrapping"/>
        <w:t xml:space="preserve">• Deploy Modal serverless GPU prober to compute batch token logprobs for B_i^(t).</w:t>
        <w:br w:type="textWrapping"/>
        <w:t xml:space="preserve">• Collect 150 agent response samples and launch Prolific human validation tasks.</w:t>
        <w:br w:type="textWrapping"/>
        <w:t xml:space="preserve">• Milestone: Complete JSON trajectory dataset generated and verified.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Phase 3: Data Analytics &amp; Dashboard Build (Weeks 5–6)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• Run ANOVA, Kolmogorov-Smirnov, and Linear Mixed-Effects Models (LMM) in Python.</w:t>
        <w:br w:type="textWrapping"/>
        <w:t xml:space="preserve">• Generate publication-ready Seaborn plot figures (TRR trajectories, BPI polarization, R0 curves).</w:t>
        <w:br w:type="textWrapping"/>
        <w:t xml:space="preserve">• Construct an interactive Streamlit / D3.js web dashboard for live graph visualization.</w:t>
        <w:br w:type="textWrapping"/>
        <w:t xml:space="preserve">• Milestone: Statistical significance validated (p &lt; 0.01) and web demo deployed.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Phase 4: Paper Writing, ArXiv &amp; Submission (Weeks 7–8)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• Write full 4–8 page research paper formatted in official NeurIPS/ICML LaTeX style.</w:t>
        <w:br w:type="textWrapping"/>
        <w:t xml:space="preserve">• Incorporate mathematical formulations, literature gap table, and empirical results.</w:t>
        <w:br w:type="textWrapping"/>
        <w:t xml:space="preserve">• Upload preprint to ArXiv and submit paper to targeted AI Safety / Multi-Agent workshop.</w:t>
        <w:br w:type="textWrapping"/>
        <w:t xml:space="preserve">• Milestone: Official ArXiv identifier received and workshop submission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3. Work Division &amp; Task Ownership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To prevent ambiguity and maintain momentum, specific primary and secondary responsibilities are assigned across both co-researchers: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Module / Research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Primary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Secondary /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Deliverable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Theoretical Formulation &amp; Hypotheses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Doc 1 LaTeX math equations &amp; H1–H4 statements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Async API Router &amp;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router.py module (Groq/Cerebras/Gemini engine)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Network Topology &amp; Memory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graph.py &amp; memory.py (NetworkX &amp; tiktoken)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15 Diagnostic Facts Curation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Fact taxonomy, injected prompts &amp; verbal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Modal GPU vLLM Prober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modal_prober.py batch logit extractor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Batch Simulation Execution (405 Runs)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Full results_trajectory.json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Human Validation &amp;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Prolific dataset &amp; Fleiss' Kappa correlation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Statistical Significance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ANOVA, K-S test, and Seaborn figure plots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Streamlit / D3.js Web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Interactive live network visualization web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LaTeX Paper Writing &amp;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Co-Researcher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ArXiv preprint PDF &amp; Workshop submission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4. Resource Allocation &amp; Budget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The project is specifically optimized to run within a strict out-of-pocket cash limit of $120.00 while utilizing a $280.00 Modal credit pool and free-tier commercial LLM APIs.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Resource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Allocated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Funding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Usage 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 /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Text Generation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Groq, Cerebras, Gemini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40,500 free API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Zero Cash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Logit GPU Probing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$120.00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Modal Credits ($280 Pool)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~120 GPU hours on 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$160 Credit Buffer 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Human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$40.00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Out-of-Pocket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150 ratings @ $0.25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Within $120 Cash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Workshop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$80.00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Out-of-Pocket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Student Registration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Within $120 Cash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Code &amp; Data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GitHub &amp; Hugging 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Public Repo &amp; Dataset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f7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7"/>
                <w:szCs w:val="17"/>
                <w:rtl w:val="0"/>
              </w:rPr>
              <w:t xml:space="preserve">Zero Cash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4" w:val="single"/>
            </w:tcBorders>
            <w:shd w:fill="edf2f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7"/>
                <w:szCs w:val="17"/>
                <w:rtl w:val="0"/>
              </w:rPr>
              <w:t xml:space="preserve">TOTAL OUT-OF-POCKET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edf2f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7"/>
                <w:szCs w:val="17"/>
                <w:rtl w:val="0"/>
              </w:rPr>
              <w:t xml:space="preserve">$120.00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edf2f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7"/>
                <w:szCs w:val="17"/>
                <w:rtl w:val="0"/>
              </w:rPr>
              <w:t xml:space="preserve">Out-of-Pocket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edf2f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7"/>
                <w:szCs w:val="17"/>
                <w:rtl w:val="0"/>
              </w:rPr>
              <w:t xml:space="preserve">Full 8-Week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4" w:val="single"/>
            </w:tcBorders>
            <w:shd w:fill="edf2f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7"/>
                <w:szCs w:val="17"/>
                <w:rtl w:val="0"/>
              </w:rPr>
              <w:t xml:space="preserve">Exact Target Budget Met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5. Publication Strategy &amp; Target Venues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To maximize visibility and academic credibility, the research output follows a phased release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1. Primary Workshop Submission: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Target AI Safety, Multi-Agent Systems, or AI Civilization workshops at top-tier AI venues such as NeurIPS, ICLR, ICML, COLM, or ACL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2. ArXiv Preprint Release: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Publish the fully formatted LaTeX draft on ArXiv simultaneously with workshop submission, establishing early claim on the research topic.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3. Open-Source Software Release: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Publish the complete llm-society-sim codebase on GitHub under the MIT License, formatted with clean documentation, PyPI support, and unit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4. Dynamic Interactive Web Demo: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Host an interactive D3.js or Streamlit web application on GitHub Pages / Streamlit Cloud allowing visitors to simulate misinformation spread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6. Risk Contingency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To ensure project completion without delays or budget overruns, pre-planned contingency protocols are established: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Risk Management &amp; Contingency Protocols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Risk 1: API Rate Limiting or Provider Downtime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• Mitigation: AsyncLLMRouter automatically fails over across Groq, Cerebras, and Gemini endpoints with exponential backoff.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Risk 2: Modal GPU Credit Exhaustion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• Mitigation: The $280 credit pool provides a 100% safety buffer over the $120 estimated probing cost. If needed, quantization (AWQ/GGUF) reduces GPU time by 50%.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Risk 3: Unexpected Statistical Non-Significance (H1/H2)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• Mitigation: Negative or neutral findings will be framed as a discovery regarding model alignment convergence rather than failure, preserving paper publishability.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