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2100" w:rsidRDefault="00CC79F5">
      <w:pPr>
        <w:spacing w:after="60" w:line="276" w:lineRule="auto"/>
      </w:pPr>
      <w:r>
        <w:rPr>
          <w:b/>
          <w:bCs/>
          <w:color w:val="595959"/>
          <w:sz w:val="18"/>
          <w:szCs w:val="18"/>
        </w:rPr>
        <w:t>PROJECT BRIEFING &amp; COLLABORATION PROPOSAL</w:t>
      </w:r>
    </w:p>
    <w:p w:rsidR="00BC2100" w:rsidRDefault="00CC79F5">
      <w:pPr>
        <w:spacing w:after="60"/>
      </w:pPr>
      <w:r>
        <w:rPr>
          <w:b/>
          <w:bCs/>
          <w:color w:val="1F3864"/>
          <w:sz w:val="40"/>
          <w:szCs w:val="40"/>
        </w:rPr>
        <w:t xml:space="preserve">Diversity as a </w:t>
      </w:r>
      <w:proofErr w:type="spellStart"/>
      <w:r>
        <w:rPr>
          <w:b/>
          <w:bCs/>
          <w:color w:val="1F3864"/>
          <w:sz w:val="40"/>
          <w:szCs w:val="40"/>
        </w:rPr>
        <w:t>Defense</w:t>
      </w:r>
      <w:proofErr w:type="spellEnd"/>
      <w:r>
        <w:rPr>
          <w:b/>
          <w:bCs/>
          <w:color w:val="1F3864"/>
          <w:sz w:val="40"/>
          <w:szCs w:val="40"/>
        </w:rPr>
        <w:t xml:space="preserve"> </w:t>
      </w:r>
      <w:proofErr w:type="gramStart"/>
      <w:r>
        <w:rPr>
          <w:b/>
          <w:bCs/>
          <w:color w:val="1F3864"/>
          <w:sz w:val="40"/>
          <w:szCs w:val="40"/>
        </w:rPr>
        <w:t>Against</w:t>
      </w:r>
      <w:proofErr w:type="gramEnd"/>
      <w:r>
        <w:rPr>
          <w:b/>
          <w:bCs/>
          <w:color w:val="1F3864"/>
          <w:sz w:val="40"/>
          <w:szCs w:val="40"/>
        </w:rPr>
        <w:t xml:space="preserve"> Misinformation in LLM Societies</w:t>
      </w:r>
    </w:p>
    <w:p w:rsidR="00BC2100" w:rsidRDefault="00CC79F5">
      <w:pPr>
        <w:spacing w:after="200" w:line="276" w:lineRule="auto"/>
      </w:pPr>
      <w:r>
        <w:rPr>
          <w:i/>
          <w:iCs/>
          <w:color w:val="595959"/>
          <w:sz w:val="23"/>
          <w:szCs w:val="23"/>
        </w:rPr>
        <w:t>Do architecturally diverse populations of language-model agents resist misinformation cascades better than homogeneous ones — once you control for capability?</w:t>
      </w:r>
    </w:p>
    <w:p w:rsidR="00BC2100" w:rsidRDefault="00BC2100">
      <w:pPr>
        <w:pBdr>
          <w:bottom w:val="single" w:sz="6" w:space="0" w:color="1F3864"/>
        </w:pBdr>
        <w:spacing w:before="60" w:after="160"/>
      </w:pP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2400"/>
        <w:gridCol w:w="6626"/>
      </w:tblGrid>
      <w:tr w:rsidR="00BC2100">
        <w:tblPrEx>
          <w:tblCellMar>
            <w:top w:w="0" w:type="dxa"/>
            <w:bottom w:w="0" w:type="dxa"/>
          </w:tblCellMar>
        </w:tblPrEx>
        <w:trPr>
          <w:tblHeader/>
        </w:trPr>
        <w:tc>
          <w:tcPr>
            <w:tcW w:w="24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Field</w:t>
            </w:r>
          </w:p>
        </w:tc>
        <w:tc>
          <w:tcPr>
            <w:tcW w:w="66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Value</w:t>
            </w:r>
          </w:p>
        </w:tc>
      </w:tr>
      <w:tr w:rsidR="00BC2100">
        <w:tblPrEx>
          <w:tblCellMar>
            <w:top w:w="0" w:type="dxa"/>
            <w:bottom w:w="0" w:type="dxa"/>
          </w:tblCellMar>
        </w:tblPrEx>
        <w:tc>
          <w:tcPr>
            <w:tcW w:w="2400" w:type="dxa"/>
            <w:tcMar>
              <w:top w:w="70" w:type="dxa"/>
              <w:left w:w="110" w:type="dxa"/>
              <w:bottom w:w="70" w:type="dxa"/>
              <w:right w:w="110" w:type="dxa"/>
            </w:tcMar>
            <w:vAlign w:val="center"/>
          </w:tcPr>
          <w:p w:rsidR="00BC2100" w:rsidRDefault="00CC79F5">
            <w:pPr>
              <w:spacing w:line="276" w:lineRule="auto"/>
            </w:pPr>
            <w:r>
              <w:rPr>
                <w:sz w:val="20"/>
                <w:szCs w:val="20"/>
              </w:rPr>
              <w:t>Prepared by</w:t>
            </w:r>
          </w:p>
        </w:tc>
        <w:tc>
          <w:tcPr>
            <w:tcW w:w="6626" w:type="dxa"/>
            <w:tcMar>
              <w:top w:w="70" w:type="dxa"/>
              <w:left w:w="110" w:type="dxa"/>
              <w:bottom w:w="70" w:type="dxa"/>
              <w:right w:w="110" w:type="dxa"/>
            </w:tcMar>
            <w:vAlign w:val="center"/>
          </w:tcPr>
          <w:p w:rsidR="00BC2100" w:rsidRDefault="00CC79F5">
            <w:pPr>
              <w:spacing w:line="276" w:lineRule="auto"/>
            </w:pPr>
            <w:r>
              <w:rPr>
                <w:sz w:val="20"/>
                <w:szCs w:val="20"/>
              </w:rPr>
              <w:t>Abhijit Kumar</w:t>
            </w:r>
          </w:p>
        </w:tc>
      </w:tr>
      <w:tr w:rsidR="00BC2100">
        <w:tblPrEx>
          <w:tblCellMar>
            <w:top w:w="0" w:type="dxa"/>
            <w:bottom w:w="0" w:type="dxa"/>
          </w:tblCellMar>
        </w:tblPrEx>
        <w:tc>
          <w:tcPr>
            <w:tcW w:w="2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For</w:t>
            </w:r>
          </w:p>
        </w:tc>
        <w:tc>
          <w:tcPr>
            <w:tcW w:w="6626" w:type="dxa"/>
            <w:shd w:val="clear" w:color="auto" w:fill="F5F7FA"/>
            <w:tcMar>
              <w:top w:w="70" w:type="dxa"/>
              <w:left w:w="110" w:type="dxa"/>
              <w:bottom w:w="70" w:type="dxa"/>
              <w:right w:w="110" w:type="dxa"/>
            </w:tcMar>
            <w:vAlign w:val="center"/>
          </w:tcPr>
          <w:p w:rsidR="00BC2100" w:rsidRDefault="00CC79F5" w:rsidP="00CC79F5">
            <w:pPr>
              <w:spacing w:line="276" w:lineRule="auto"/>
            </w:pPr>
            <w:proofErr w:type="spellStart"/>
            <w:r>
              <w:rPr>
                <w:sz w:val="20"/>
                <w:szCs w:val="20"/>
              </w:rPr>
              <w:t>Divyesh</w:t>
            </w:r>
            <w:proofErr w:type="spellEnd"/>
            <w:r>
              <w:rPr>
                <w:sz w:val="20"/>
                <w:szCs w:val="20"/>
              </w:rPr>
              <w:t>, IIT KGP</w:t>
            </w:r>
          </w:p>
        </w:tc>
      </w:tr>
      <w:tr w:rsidR="00BC2100">
        <w:tblPrEx>
          <w:tblCellMar>
            <w:top w:w="0" w:type="dxa"/>
            <w:bottom w:w="0" w:type="dxa"/>
          </w:tblCellMar>
        </w:tblPrEx>
        <w:tc>
          <w:tcPr>
            <w:tcW w:w="2400" w:type="dxa"/>
            <w:tcMar>
              <w:top w:w="70" w:type="dxa"/>
              <w:left w:w="110" w:type="dxa"/>
              <w:bottom w:w="70" w:type="dxa"/>
              <w:right w:w="110" w:type="dxa"/>
            </w:tcMar>
            <w:vAlign w:val="center"/>
          </w:tcPr>
          <w:p w:rsidR="00BC2100" w:rsidRDefault="00CC79F5">
            <w:pPr>
              <w:spacing w:line="276" w:lineRule="auto"/>
            </w:pPr>
            <w:r>
              <w:rPr>
                <w:sz w:val="20"/>
                <w:szCs w:val="20"/>
              </w:rPr>
              <w:t>Date</w:t>
            </w:r>
          </w:p>
        </w:tc>
        <w:tc>
          <w:tcPr>
            <w:tcW w:w="6626" w:type="dxa"/>
            <w:tcMar>
              <w:top w:w="70" w:type="dxa"/>
              <w:left w:w="110" w:type="dxa"/>
              <w:bottom w:w="70" w:type="dxa"/>
              <w:right w:w="110" w:type="dxa"/>
            </w:tcMar>
            <w:vAlign w:val="center"/>
          </w:tcPr>
          <w:p w:rsidR="00BC2100" w:rsidRDefault="00CC79F5">
            <w:pPr>
              <w:spacing w:line="276" w:lineRule="auto"/>
            </w:pPr>
            <w:r>
              <w:rPr>
                <w:sz w:val="20"/>
                <w:szCs w:val="20"/>
              </w:rPr>
              <w:t>8 August 2026</w:t>
            </w:r>
          </w:p>
        </w:tc>
      </w:tr>
      <w:tr w:rsidR="00BC2100">
        <w:tblPrEx>
          <w:tblCellMar>
            <w:top w:w="0" w:type="dxa"/>
            <w:bottom w:w="0" w:type="dxa"/>
          </w:tblCellMar>
        </w:tblPrEx>
        <w:tc>
          <w:tcPr>
            <w:tcW w:w="2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Purpose</w:t>
            </w:r>
          </w:p>
        </w:tc>
        <w:tc>
          <w:tcPr>
            <w:tcW w:w="66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First detailed walkthrough of the project; agree scope, roles and next steps</w:t>
            </w:r>
          </w:p>
        </w:tc>
      </w:tr>
      <w:tr w:rsidR="00BC2100">
        <w:tblPrEx>
          <w:tblCellMar>
            <w:top w:w="0" w:type="dxa"/>
            <w:bottom w:w="0" w:type="dxa"/>
          </w:tblCellMar>
        </w:tblPrEx>
        <w:tc>
          <w:tcPr>
            <w:tcW w:w="2400" w:type="dxa"/>
            <w:tcMar>
              <w:top w:w="70" w:type="dxa"/>
              <w:left w:w="110" w:type="dxa"/>
              <w:bottom w:w="70" w:type="dxa"/>
              <w:right w:w="110" w:type="dxa"/>
            </w:tcMar>
            <w:vAlign w:val="center"/>
          </w:tcPr>
          <w:p w:rsidR="00BC2100" w:rsidRDefault="00CC79F5">
            <w:pPr>
              <w:spacing w:line="276" w:lineRule="auto"/>
            </w:pPr>
            <w:r>
              <w:rPr>
                <w:sz w:val="20"/>
                <w:szCs w:val="20"/>
              </w:rPr>
              <w:t>Status</w:t>
            </w:r>
          </w:p>
        </w:tc>
        <w:tc>
          <w:tcPr>
            <w:tcW w:w="6626" w:type="dxa"/>
            <w:tcMar>
              <w:top w:w="70" w:type="dxa"/>
              <w:left w:w="110" w:type="dxa"/>
              <w:bottom w:w="70" w:type="dxa"/>
              <w:right w:w="110" w:type="dxa"/>
            </w:tcMar>
            <w:vAlign w:val="center"/>
          </w:tcPr>
          <w:p w:rsidR="00BC2100" w:rsidRDefault="00CC79F5">
            <w:pPr>
              <w:spacing w:line="276" w:lineRule="auto"/>
            </w:pPr>
            <w:r>
              <w:rPr>
                <w:sz w:val="20"/>
                <w:szCs w:val="20"/>
              </w:rPr>
              <w:t>Design phase (Gate G1). No experimental data collected yet.</w:t>
            </w:r>
          </w:p>
        </w:tc>
      </w:tr>
      <w:tr w:rsidR="00BC2100">
        <w:tblPrEx>
          <w:tblCellMar>
            <w:top w:w="0" w:type="dxa"/>
            <w:bottom w:w="0" w:type="dxa"/>
          </w:tblCellMar>
        </w:tblPrEx>
        <w:tc>
          <w:tcPr>
            <w:tcW w:w="2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Repository</w:t>
            </w:r>
          </w:p>
        </w:tc>
        <w:tc>
          <w:tcPr>
            <w:tcW w:w="66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github.com/Abhijit89Kumar/Diversity-as-a-Defense-Against-Misinformation-in-LLM-Societies (public)</w:t>
            </w:r>
          </w:p>
        </w:tc>
      </w:tr>
      <w:tr w:rsidR="00BC2100">
        <w:tblPrEx>
          <w:tblCellMar>
            <w:top w:w="0" w:type="dxa"/>
            <w:bottom w:w="0" w:type="dxa"/>
          </w:tblCellMar>
        </w:tblPrEx>
        <w:tc>
          <w:tcPr>
            <w:tcW w:w="2400" w:type="dxa"/>
            <w:tcMar>
              <w:top w:w="70" w:type="dxa"/>
              <w:left w:w="110" w:type="dxa"/>
              <w:bottom w:w="70" w:type="dxa"/>
              <w:right w:w="110" w:type="dxa"/>
            </w:tcMar>
            <w:vAlign w:val="center"/>
          </w:tcPr>
          <w:p w:rsidR="00BC2100" w:rsidRDefault="00CC79F5">
            <w:pPr>
              <w:spacing w:line="276" w:lineRule="auto"/>
            </w:pPr>
            <w:r>
              <w:rPr>
                <w:sz w:val="20"/>
                <w:szCs w:val="20"/>
              </w:rPr>
              <w:t>Target output</w:t>
            </w:r>
          </w:p>
        </w:tc>
        <w:tc>
          <w:tcPr>
            <w:tcW w:w="6626" w:type="dxa"/>
            <w:tcMar>
              <w:top w:w="70" w:type="dxa"/>
              <w:left w:w="110" w:type="dxa"/>
              <w:bottom w:w="70" w:type="dxa"/>
              <w:right w:w="110" w:type="dxa"/>
            </w:tcMar>
            <w:vAlign w:val="center"/>
          </w:tcPr>
          <w:p w:rsidR="00BC2100" w:rsidRDefault="00CC79F5">
            <w:pPr>
              <w:spacing w:line="276" w:lineRule="auto"/>
            </w:pPr>
            <w:proofErr w:type="spellStart"/>
            <w:r>
              <w:rPr>
                <w:sz w:val="20"/>
                <w:szCs w:val="20"/>
              </w:rPr>
              <w:t>arXiv</w:t>
            </w:r>
            <w:proofErr w:type="spellEnd"/>
            <w:r>
              <w:rPr>
                <w:sz w:val="20"/>
                <w:szCs w:val="20"/>
              </w:rPr>
              <w:t xml:space="preserve"> preprint + AI-safety / multi-agent workshop paper; open-source package</w:t>
            </w:r>
          </w:p>
        </w:tc>
      </w:tr>
    </w:tbl>
    <w:p w:rsidR="00BC2100" w:rsidRDefault="00BC2100">
      <w:pPr>
        <w:spacing w:after="160" w:line="276" w:lineRule="auto"/>
      </w:pPr>
    </w:p>
    <w:tbl>
      <w:tblPr>
        <w:tblW w:w="9026" w:type="dxa"/>
        <w:tblInd w:w="200" w:type="dxa"/>
        <w:tblBorders>
          <w:top w:val="single" w:sz="2" w:space="0" w:color="E0C9A6"/>
          <w:left w:val="single" w:sz="18" w:space="0" w:color="C9922E"/>
          <w:bottom w:val="single" w:sz="2" w:space="0" w:color="E0C9A6"/>
          <w:right w:val="single" w:sz="2" w:space="0" w:color="E0C9A6"/>
        </w:tblBorders>
        <w:tblCellMar>
          <w:left w:w="10" w:type="dxa"/>
          <w:right w:w="10" w:type="dxa"/>
        </w:tblCellMar>
        <w:tblLook w:val="0000" w:firstRow="0" w:lastRow="0" w:firstColumn="0" w:lastColumn="0" w:noHBand="0" w:noVBand="0"/>
      </w:tblPr>
      <w:tblGrid>
        <w:gridCol w:w="9026"/>
      </w:tblGrid>
      <w:tr w:rsidR="00BC2100">
        <w:tblPrEx>
          <w:tblCellMar>
            <w:top w:w="0" w:type="dxa"/>
            <w:bottom w:w="0" w:type="dxa"/>
          </w:tblCellMar>
        </w:tblPrEx>
        <w:tc>
          <w:tcPr>
            <w:tcW w:w="9026" w:type="dxa"/>
            <w:shd w:val="clear" w:color="auto" w:fill="FDF0E6"/>
            <w:tcMar>
              <w:top w:w="140" w:type="dxa"/>
              <w:left w:w="200" w:type="dxa"/>
              <w:bottom w:w="140" w:type="dxa"/>
              <w:right w:w="160" w:type="dxa"/>
            </w:tcMar>
          </w:tcPr>
          <w:p w:rsidR="00BC2100" w:rsidRDefault="00CC79F5">
            <w:pPr>
              <w:spacing w:after="60" w:line="276" w:lineRule="auto"/>
            </w:pPr>
            <w:r>
              <w:rPr>
                <w:b/>
                <w:bCs/>
                <w:color w:val="7A4E12"/>
              </w:rPr>
              <w:t>How to read this document</w:t>
            </w:r>
          </w:p>
          <w:p w:rsidR="00BC2100" w:rsidRDefault="00CC79F5">
            <w:pPr>
              <w:spacing w:after="60" w:line="276" w:lineRule="auto"/>
            </w:pPr>
            <w:r>
              <w:t>Sections 1–3 are the pitch: what the question is and why it is still open. Sections 4–6 are the current state — what is designed, built and already validated. Section 7 is what is hard, stated plainly. Sections 8–11 are the proposal: how we would work, who</w:t>
            </w:r>
            <w:r>
              <w:t xml:space="preserve"> does what, and what we need from the institute.</w:t>
            </w:r>
          </w:p>
          <w:p w:rsidR="00BC2100" w:rsidRDefault="00CC79F5">
            <w:pPr>
              <w:spacing w:after="60" w:line="276" w:lineRule="auto"/>
            </w:pPr>
            <w:r>
              <w:t>Section 11 is the agenda. If we only get through one section together, make it that one.</w:t>
            </w:r>
          </w:p>
        </w:tc>
      </w:tr>
    </w:tbl>
    <w:p w:rsidR="00BC2100" w:rsidRDefault="00CC79F5">
      <w:r>
        <w:br w:type="page"/>
      </w:r>
    </w:p>
    <w:p w:rsidR="00BC2100" w:rsidRDefault="00CC79F5">
      <w:pPr>
        <w:pStyle w:val="Heading1"/>
        <w:spacing w:before="340" w:after="160"/>
      </w:pPr>
      <w:r>
        <w:rPr>
          <w:b/>
          <w:bCs/>
          <w:color w:val="1F3864"/>
          <w:sz w:val="30"/>
          <w:szCs w:val="30"/>
        </w:rPr>
        <w:lastRenderedPageBreak/>
        <w:t>1.  The project in one page</w:t>
      </w:r>
    </w:p>
    <w:p w:rsidR="00BC2100" w:rsidRDefault="00CC79F5">
      <w:pPr>
        <w:pStyle w:val="Heading2"/>
        <w:spacing w:before="240" w:after="110"/>
      </w:pPr>
      <w:r>
        <w:rPr>
          <w:b/>
          <w:bCs/>
          <w:color w:val="1F3864"/>
          <w:sz w:val="24"/>
          <w:szCs w:val="24"/>
        </w:rPr>
        <w:t>The question</w:t>
      </w:r>
    </w:p>
    <w:p w:rsidR="00BC2100" w:rsidRDefault="00CC79F5">
      <w:pPr>
        <w:spacing w:after="120" w:line="276" w:lineRule="auto"/>
      </w:pPr>
      <w:r>
        <w:t>Large language models are increasingly deployed in groups — agents that talk to each other, review each other’s work, and reach a shared answer with no human in the loop. When one agent in such a group is wrong, or has been deliberately fed a falsehood, th</w:t>
      </w:r>
      <w:r>
        <w:t>at error can spread. We want to know what makes a population resistant.</w:t>
      </w:r>
    </w:p>
    <w:p w:rsidR="00BC2100" w:rsidRDefault="00CC79F5">
      <w:pPr>
        <w:spacing w:after="120" w:line="276" w:lineRule="auto"/>
      </w:pPr>
      <w:r>
        <w:t xml:space="preserve">Specifically: </w:t>
      </w:r>
      <w:r>
        <w:rPr>
          <w:b/>
          <w:bCs/>
        </w:rPr>
        <w:t>if the agents in a group are architecturally different from one another — different model families, trained by different labs on different data — do they resist an inject</w:t>
      </w:r>
      <w:r>
        <w:rPr>
          <w:b/>
          <w:bCs/>
        </w:rPr>
        <w:t>ed falsehood better than a group of identical agents of the same overall capability?</w:t>
      </w:r>
    </w:p>
    <w:p w:rsidR="00BC2100" w:rsidRDefault="00CC79F5">
      <w:pPr>
        <w:pStyle w:val="Heading2"/>
        <w:spacing w:before="240" w:after="110"/>
      </w:pPr>
      <w:r>
        <w:rPr>
          <w:b/>
          <w:bCs/>
          <w:color w:val="1F3864"/>
          <w:sz w:val="24"/>
          <w:szCs w:val="24"/>
        </w:rPr>
        <w:t>Why it is not already answered</w:t>
      </w:r>
    </w:p>
    <w:p w:rsidR="00BC2100" w:rsidRDefault="00CC79F5">
      <w:pPr>
        <w:spacing w:after="120" w:line="276" w:lineRule="auto"/>
      </w:pPr>
      <w:r>
        <w:t xml:space="preserve">Four studies published in 2025–26 report effects of model heterogeneity in multi-agent systems, and they disagree with each other: two find </w:t>
      </w:r>
      <w:r>
        <w:t>it helps, one finds it hurts, one finds it protective under attack. None of them holds capability fixed. A mixed group is not only more diverse, it is usually also better on average — so “diversity helped” and “the mix contained a stronger model” are indis</w:t>
      </w:r>
      <w:r>
        <w:t>tinguishable in all four.</w:t>
      </w:r>
    </w:p>
    <w:p w:rsidR="00BC2100" w:rsidRDefault="00CC79F5">
      <w:pPr>
        <w:spacing w:after="120" w:line="276" w:lineRule="auto"/>
      </w:pPr>
      <w:r>
        <w:t xml:space="preserve">Separately, two papers prove that debate between language-model agents is a martingale on belief in the correct answer — it moves belief around but adds nothing in expectation. Crucially, that proof holds under homogeneous agents. Our design violates that </w:t>
      </w:r>
      <w:r>
        <w:t>condition on purpose.</w:t>
      </w:r>
    </w:p>
    <w:tbl>
      <w:tblPr>
        <w:tblW w:w="9026" w:type="dxa"/>
        <w:tblInd w:w="200" w:type="dxa"/>
        <w:tblBorders>
          <w:top w:val="single" w:sz="2" w:space="0" w:color="E0C9A6"/>
          <w:left w:val="single" w:sz="18" w:space="0" w:color="C9922E"/>
          <w:bottom w:val="single" w:sz="2" w:space="0" w:color="E0C9A6"/>
          <w:right w:val="single" w:sz="2" w:space="0" w:color="E0C9A6"/>
        </w:tblBorders>
        <w:tblCellMar>
          <w:left w:w="10" w:type="dxa"/>
          <w:right w:w="10" w:type="dxa"/>
        </w:tblCellMar>
        <w:tblLook w:val="0000" w:firstRow="0" w:lastRow="0" w:firstColumn="0" w:lastColumn="0" w:noHBand="0" w:noVBand="0"/>
      </w:tblPr>
      <w:tblGrid>
        <w:gridCol w:w="9026"/>
      </w:tblGrid>
      <w:tr w:rsidR="00BC2100">
        <w:tblPrEx>
          <w:tblCellMar>
            <w:top w:w="0" w:type="dxa"/>
            <w:bottom w:w="0" w:type="dxa"/>
          </w:tblCellMar>
        </w:tblPrEx>
        <w:tc>
          <w:tcPr>
            <w:tcW w:w="9026" w:type="dxa"/>
            <w:shd w:val="clear" w:color="auto" w:fill="FDF0E6"/>
            <w:tcMar>
              <w:top w:w="140" w:type="dxa"/>
              <w:left w:w="200" w:type="dxa"/>
              <w:bottom w:w="140" w:type="dxa"/>
              <w:right w:w="160" w:type="dxa"/>
            </w:tcMar>
          </w:tcPr>
          <w:p w:rsidR="00BC2100" w:rsidRDefault="00CC79F5">
            <w:pPr>
              <w:spacing w:after="60" w:line="276" w:lineRule="auto"/>
            </w:pPr>
            <w:r>
              <w:rPr>
                <w:b/>
                <w:bCs/>
                <w:color w:val="7A4E12"/>
              </w:rPr>
              <w:t>The question, stated the way it should appear in the paper</w:t>
            </w:r>
          </w:p>
          <w:p w:rsidR="00BC2100" w:rsidRDefault="00CC79F5">
            <w:pPr>
              <w:spacing w:after="60" w:line="276" w:lineRule="auto"/>
            </w:pPr>
            <w:r>
              <w:t>Debate among homogeneous agents preserves expected correctness. Does architectural heterogeneity break that — and when an adversary is present, does it break it in the directi</w:t>
            </w:r>
            <w:r>
              <w:t>on of truth?</w:t>
            </w:r>
          </w:p>
          <w:p w:rsidR="00BC2100" w:rsidRDefault="00CC79F5">
            <w:pPr>
              <w:spacing w:after="60" w:line="276" w:lineRule="auto"/>
            </w:pPr>
            <w:r>
              <w:t>This is not a hunch. It is a well-posed question with a published theorem as its null hypothesis, and nobody has answered it: every paper that studies heterogeneity studies it cooperatively, and every paper that studies adversaries uses identi</w:t>
            </w:r>
            <w:r>
              <w:t>cal agents.</w:t>
            </w:r>
          </w:p>
        </w:tc>
      </w:tr>
    </w:tbl>
    <w:p w:rsidR="00BC2100" w:rsidRDefault="00CC79F5">
      <w:pPr>
        <w:pStyle w:val="Heading2"/>
        <w:spacing w:before="240" w:after="110"/>
      </w:pPr>
      <w:r>
        <w:rPr>
          <w:b/>
          <w:bCs/>
          <w:color w:val="1F3864"/>
          <w:sz w:val="24"/>
          <w:szCs w:val="24"/>
        </w:rPr>
        <w:t>What we would build</w:t>
      </w:r>
    </w:p>
    <w:p w:rsidR="00BC2100" w:rsidRDefault="00CC79F5">
      <w:pPr>
        <w:pStyle w:val="ListParagraph"/>
        <w:numPr>
          <w:ilvl w:val="0"/>
          <w:numId w:val="2"/>
        </w:numPr>
        <w:spacing w:after="90" w:line="276" w:lineRule="auto"/>
      </w:pPr>
      <w:r>
        <w:t>A simulation framework in which 20 language-model agents, connected in a network, discuss a factual claim over several rounds.</w:t>
      </w:r>
    </w:p>
    <w:p w:rsidR="00BC2100" w:rsidRDefault="00CC79F5">
      <w:pPr>
        <w:pStyle w:val="ListParagraph"/>
        <w:numPr>
          <w:ilvl w:val="0"/>
          <w:numId w:val="2"/>
        </w:numPr>
        <w:spacing w:after="90" w:line="276" w:lineRule="auto"/>
      </w:pPr>
      <w:r>
        <w:t>Two of them are seeded with a plausible-sounding falsehood and instructed to argue for it.</w:t>
      </w:r>
    </w:p>
    <w:p w:rsidR="00BC2100" w:rsidRDefault="00CC79F5">
      <w:pPr>
        <w:pStyle w:val="ListParagraph"/>
        <w:numPr>
          <w:ilvl w:val="0"/>
          <w:numId w:val="2"/>
        </w:numPr>
        <w:spacing w:after="90" w:line="276" w:lineRule="auto"/>
      </w:pPr>
      <w:r>
        <w:t>We track each agent’s belief state every round and measure how far, how fast, and how permanently the falsehood spreads.</w:t>
      </w:r>
    </w:p>
    <w:p w:rsidR="00BC2100" w:rsidRDefault="00CC79F5">
      <w:pPr>
        <w:pStyle w:val="ListParagraph"/>
        <w:numPr>
          <w:ilvl w:val="0"/>
          <w:numId w:val="2"/>
        </w:numPr>
        <w:spacing w:after="90" w:line="276" w:lineRule="auto"/>
      </w:pPr>
      <w:r>
        <w:t>We repeat this across five levels of population diversity, all matched to the same average single-agent accuracy — which is the control</w:t>
      </w:r>
      <w:r>
        <w:t xml:space="preserve"> nobody else has.</w:t>
      </w:r>
    </w:p>
    <w:p w:rsidR="00BC2100" w:rsidRDefault="00CC79F5">
      <w:pPr>
        <w:pStyle w:val="Heading1"/>
        <w:spacing w:before="340" w:after="160"/>
      </w:pPr>
      <w:r>
        <w:rPr>
          <w:b/>
          <w:bCs/>
          <w:color w:val="1F3864"/>
          <w:sz w:val="30"/>
          <w:szCs w:val="30"/>
        </w:rPr>
        <w:t>2.  Where the field actually is</w:t>
      </w:r>
    </w:p>
    <w:p w:rsidR="00BC2100" w:rsidRDefault="00CC79F5">
      <w:pPr>
        <w:spacing w:after="120" w:line="276" w:lineRule="auto"/>
      </w:pPr>
      <w:r>
        <w:t xml:space="preserve">This matters more than it might seem, so it is worth being blunt: a substantial part of the original project idea turned out to be already published. We found this out before writing any code, which is the </w:t>
      </w:r>
      <w:r>
        <w:t>entire reason for the process described in Section 7.</w:t>
      </w:r>
    </w:p>
    <w:p w:rsidR="00CC79F5" w:rsidRDefault="00CC79F5">
      <w:pPr>
        <w:pStyle w:val="Heading2"/>
        <w:spacing w:before="240" w:after="110"/>
        <w:rPr>
          <w:b/>
          <w:bCs/>
          <w:color w:val="1F3864"/>
          <w:sz w:val="24"/>
          <w:szCs w:val="24"/>
        </w:rPr>
      </w:pPr>
    </w:p>
    <w:p w:rsidR="00BC2100" w:rsidRDefault="00CC79F5">
      <w:pPr>
        <w:pStyle w:val="Heading2"/>
        <w:spacing w:before="240" w:after="110"/>
      </w:pPr>
      <w:r>
        <w:rPr>
          <w:b/>
          <w:bCs/>
          <w:color w:val="1F3864"/>
          <w:sz w:val="24"/>
          <w:szCs w:val="24"/>
        </w:rPr>
        <w:lastRenderedPageBreak/>
        <w:t>Already published — we claim none of it</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3000"/>
        <w:gridCol w:w="6026"/>
      </w:tblGrid>
      <w:tr w:rsidR="00BC2100">
        <w:tblPrEx>
          <w:tblCellMar>
            <w:top w:w="0" w:type="dxa"/>
            <w:bottom w:w="0" w:type="dxa"/>
          </w:tblCellMar>
        </w:tblPrEx>
        <w:trPr>
          <w:tblHeader/>
        </w:trPr>
        <w:tc>
          <w:tcPr>
            <w:tcW w:w="30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Result</w:t>
            </w:r>
          </w:p>
        </w:tc>
        <w:tc>
          <w:tcPr>
            <w:tcW w:w="60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Published by</w:t>
            </w:r>
          </w:p>
        </w:tc>
      </w:tr>
      <w:tr w:rsidR="00BC2100">
        <w:tblPrEx>
          <w:tblCellMar>
            <w:top w:w="0" w:type="dxa"/>
            <w:bottom w:w="0" w:type="dxa"/>
          </w:tblCellMar>
        </w:tblPrEx>
        <w:tc>
          <w:tcPr>
            <w:tcW w:w="3000" w:type="dxa"/>
            <w:tcMar>
              <w:top w:w="70" w:type="dxa"/>
              <w:left w:w="110" w:type="dxa"/>
              <w:bottom w:w="70" w:type="dxa"/>
              <w:right w:w="110" w:type="dxa"/>
            </w:tcMar>
            <w:vAlign w:val="center"/>
          </w:tcPr>
          <w:p w:rsidR="00BC2100" w:rsidRDefault="00CC79F5">
            <w:pPr>
              <w:spacing w:line="276" w:lineRule="auto"/>
            </w:pPr>
            <w:r>
              <w:rPr>
                <w:sz w:val="20"/>
                <w:szCs w:val="20"/>
              </w:rPr>
              <w:t>Injected misinformation spreads through communities of communicating LLM agents</w:t>
            </w:r>
          </w:p>
        </w:tc>
        <w:tc>
          <w:tcPr>
            <w:tcW w:w="6026" w:type="dxa"/>
            <w:tcMar>
              <w:top w:w="70" w:type="dxa"/>
              <w:left w:w="110" w:type="dxa"/>
              <w:bottom w:w="70" w:type="dxa"/>
              <w:right w:w="110" w:type="dxa"/>
            </w:tcMar>
            <w:vAlign w:val="center"/>
          </w:tcPr>
          <w:p w:rsidR="00BC2100" w:rsidRDefault="00CC79F5">
            <w:pPr>
              <w:spacing w:line="276" w:lineRule="auto"/>
            </w:pPr>
            <w:proofErr w:type="spellStart"/>
            <w:r>
              <w:rPr>
                <w:sz w:val="20"/>
                <w:szCs w:val="20"/>
              </w:rPr>
              <w:t>Ju</w:t>
            </w:r>
            <w:proofErr w:type="spellEnd"/>
            <w:r>
              <w:rPr>
                <w:sz w:val="20"/>
                <w:szCs w:val="20"/>
              </w:rPr>
              <w:t xml:space="preserve"> et al. (Science China Inf. Sci., 2026); Becker et al. (202</w:t>
            </w:r>
            <w:r>
              <w:rPr>
                <w:sz w:val="20"/>
                <w:szCs w:val="20"/>
              </w:rPr>
              <w:t>6)</w:t>
            </w:r>
          </w:p>
        </w:tc>
      </w:tr>
      <w:tr w:rsidR="00BC2100">
        <w:tblPrEx>
          <w:tblCellMar>
            <w:top w:w="0" w:type="dxa"/>
            <w:bottom w:w="0" w:type="dxa"/>
          </w:tblCellMar>
        </w:tblPrEx>
        <w:tc>
          <w:tcPr>
            <w:tcW w:w="30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Network topology modulates how far errors spread</w:t>
            </w:r>
          </w:p>
        </w:tc>
        <w:tc>
          <w:tcPr>
            <w:tcW w:w="6026" w:type="dxa"/>
            <w:shd w:val="clear" w:color="auto" w:fill="F5F7FA"/>
            <w:tcMar>
              <w:top w:w="70" w:type="dxa"/>
              <w:left w:w="110" w:type="dxa"/>
              <w:bottom w:w="70" w:type="dxa"/>
              <w:right w:w="110" w:type="dxa"/>
            </w:tcMar>
            <w:vAlign w:val="center"/>
          </w:tcPr>
          <w:p w:rsidR="00BC2100" w:rsidRDefault="00CC79F5">
            <w:pPr>
              <w:spacing w:line="276" w:lineRule="auto"/>
            </w:pPr>
            <w:proofErr w:type="spellStart"/>
            <w:r>
              <w:rPr>
                <w:sz w:val="20"/>
                <w:szCs w:val="20"/>
              </w:rPr>
              <w:t>NetSafe</w:t>
            </w:r>
            <w:proofErr w:type="spellEnd"/>
            <w:r>
              <w:rPr>
                <w:sz w:val="20"/>
                <w:szCs w:val="20"/>
              </w:rPr>
              <w:t xml:space="preserve"> (Findings of ACL 2025); Shen et al. (EMNLP 2025); Li et al. (2024)</w:t>
            </w:r>
          </w:p>
        </w:tc>
      </w:tr>
      <w:tr w:rsidR="00BC2100">
        <w:tblPrEx>
          <w:tblCellMar>
            <w:top w:w="0" w:type="dxa"/>
            <w:bottom w:w="0" w:type="dxa"/>
          </w:tblCellMar>
        </w:tblPrEx>
        <w:tc>
          <w:tcPr>
            <w:tcW w:w="3000" w:type="dxa"/>
            <w:tcMar>
              <w:top w:w="70" w:type="dxa"/>
              <w:left w:w="110" w:type="dxa"/>
              <w:bottom w:w="70" w:type="dxa"/>
              <w:right w:w="110" w:type="dxa"/>
            </w:tcMar>
            <w:vAlign w:val="center"/>
          </w:tcPr>
          <w:p w:rsidR="00BC2100" w:rsidRDefault="00CC79F5">
            <w:pPr>
              <w:spacing w:line="276" w:lineRule="auto"/>
            </w:pPr>
            <w:r>
              <w:rPr>
                <w:sz w:val="20"/>
                <w:szCs w:val="20"/>
              </w:rPr>
              <w:t>Heterogeneity helps under adversarial peers — at a single revision step</w:t>
            </w:r>
          </w:p>
        </w:tc>
        <w:tc>
          <w:tcPr>
            <w:tcW w:w="6026" w:type="dxa"/>
            <w:tcMar>
              <w:top w:w="70" w:type="dxa"/>
              <w:left w:w="110" w:type="dxa"/>
              <w:bottom w:w="70" w:type="dxa"/>
              <w:right w:w="110" w:type="dxa"/>
            </w:tcMar>
            <w:vAlign w:val="center"/>
          </w:tcPr>
          <w:p w:rsidR="00BC2100" w:rsidRDefault="00CC79F5">
            <w:pPr>
              <w:spacing w:line="276" w:lineRule="auto"/>
            </w:pPr>
            <w:proofErr w:type="spellStart"/>
            <w:r>
              <w:rPr>
                <w:sz w:val="20"/>
                <w:szCs w:val="20"/>
              </w:rPr>
              <w:t>Nilayam</w:t>
            </w:r>
            <w:proofErr w:type="spellEnd"/>
            <w:r>
              <w:rPr>
                <w:sz w:val="20"/>
                <w:szCs w:val="20"/>
              </w:rPr>
              <w:t xml:space="preserve"> et al. (</w:t>
            </w:r>
            <w:proofErr w:type="spellStart"/>
            <w:r>
              <w:rPr>
                <w:sz w:val="20"/>
                <w:szCs w:val="20"/>
              </w:rPr>
              <w:t>ServiceNow</w:t>
            </w:r>
            <w:proofErr w:type="spellEnd"/>
            <w:r>
              <w:rPr>
                <w:sz w:val="20"/>
                <w:szCs w:val="20"/>
              </w:rPr>
              <w:t>, June 2026)</w:t>
            </w:r>
          </w:p>
        </w:tc>
      </w:tr>
      <w:tr w:rsidR="00BC2100">
        <w:tblPrEx>
          <w:tblCellMar>
            <w:top w:w="0" w:type="dxa"/>
            <w:bottom w:w="0" w:type="dxa"/>
          </w:tblCellMar>
        </w:tblPrEx>
        <w:tc>
          <w:tcPr>
            <w:tcW w:w="30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Debate is a martingale on correct-answer belief</w:t>
            </w:r>
          </w:p>
        </w:tc>
        <w:tc>
          <w:tcPr>
            <w:tcW w:w="60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Choi, Zhu &amp; Li (2025)</w:t>
            </w:r>
          </w:p>
        </w:tc>
      </w:tr>
      <w:tr w:rsidR="00BC2100">
        <w:tblPrEx>
          <w:tblCellMar>
            <w:top w:w="0" w:type="dxa"/>
            <w:bottom w:w="0" w:type="dxa"/>
          </w:tblCellMar>
        </w:tblPrEx>
        <w:tc>
          <w:tcPr>
            <w:tcW w:w="3000" w:type="dxa"/>
            <w:tcMar>
              <w:top w:w="70" w:type="dxa"/>
              <w:left w:w="110" w:type="dxa"/>
              <w:bottom w:w="70" w:type="dxa"/>
              <w:right w:w="110" w:type="dxa"/>
            </w:tcMar>
            <w:vAlign w:val="center"/>
          </w:tcPr>
          <w:p w:rsidR="00BC2100" w:rsidRDefault="00CC79F5">
            <w:pPr>
              <w:spacing w:line="276" w:lineRule="auto"/>
            </w:pPr>
            <w:r>
              <w:rPr>
                <w:sz w:val="20"/>
                <w:szCs w:val="20"/>
              </w:rPr>
              <w:t>Diversity and confidence improve debate outcomes</w:t>
            </w:r>
          </w:p>
        </w:tc>
        <w:tc>
          <w:tcPr>
            <w:tcW w:w="6026" w:type="dxa"/>
            <w:tcMar>
              <w:top w:w="70" w:type="dxa"/>
              <w:left w:w="110" w:type="dxa"/>
              <w:bottom w:w="70" w:type="dxa"/>
              <w:right w:w="110" w:type="dxa"/>
            </w:tcMar>
            <w:vAlign w:val="center"/>
          </w:tcPr>
          <w:p w:rsidR="00BC2100" w:rsidRDefault="00CC79F5">
            <w:pPr>
              <w:spacing w:line="276" w:lineRule="auto"/>
            </w:pPr>
            <w:r>
              <w:rPr>
                <w:sz w:val="20"/>
                <w:szCs w:val="20"/>
              </w:rPr>
              <w:t>Zhu et al. (Cambridge, Jan 2026)</w:t>
            </w:r>
          </w:p>
        </w:tc>
      </w:tr>
    </w:tbl>
    <w:p w:rsidR="00BC2100" w:rsidRDefault="00CC79F5">
      <w:pPr>
        <w:pStyle w:val="Heading2"/>
        <w:spacing w:before="240" w:after="110"/>
      </w:pPr>
      <w:r>
        <w:rPr>
          <w:b/>
          <w:bCs/>
          <w:color w:val="1F3864"/>
          <w:sz w:val="24"/>
          <w:szCs w:val="24"/>
        </w:rPr>
        <w:t>What is still open, and why</w:t>
      </w:r>
    </w:p>
    <w:p w:rsidR="00BC2100" w:rsidRDefault="00CC79F5">
      <w:pPr>
        <w:spacing w:after="120" w:line="276" w:lineRule="auto"/>
      </w:pPr>
      <w:r>
        <w:t>Two gaps survived a deliberately adversarial search, and both are structural rather than accidental:</w:t>
      </w:r>
    </w:p>
    <w:p w:rsidR="00BC2100" w:rsidRDefault="00CC79F5">
      <w:pPr>
        <w:spacing w:after="120" w:line="276" w:lineRule="auto"/>
      </w:pPr>
      <w:r>
        <w:rPr>
          <w:b/>
          <w:bCs/>
        </w:rPr>
        <w:t xml:space="preserve">The </w:t>
      </w:r>
      <w:proofErr w:type="gramStart"/>
      <w:r>
        <w:rPr>
          <w:b/>
          <w:bCs/>
        </w:rPr>
        <w:t>capability confound</w:t>
      </w:r>
      <w:proofErr w:type="gramEnd"/>
      <w:r>
        <w:rPr>
          <w:b/>
          <w:bCs/>
        </w:rPr>
        <w:t xml:space="preserve">. </w:t>
      </w:r>
      <w:r>
        <w:t>All four heterogeneity results vary diversity and competence together. One paper’s “homogeneous” arm is GPT-5 + GPT-4.1 + GPT-3.5-</w:t>
      </w:r>
      <w:r>
        <w:t>turbo — that is not a matched control, it is a weakened one. Holding measured accuracy fixed changes what the claim means, and it is expensive for others to retrofit.</w:t>
      </w:r>
    </w:p>
    <w:p w:rsidR="00BC2100" w:rsidRDefault="00CC79F5">
      <w:pPr>
        <w:spacing w:after="120" w:line="276" w:lineRule="auto"/>
      </w:pPr>
      <w:r>
        <w:rPr>
          <w:b/>
          <w:bCs/>
        </w:rPr>
        <w:t xml:space="preserve">One step is not a cascade. </w:t>
      </w:r>
      <w:r>
        <w:t xml:space="preserve">The closest paper measures exactly one revision step and says </w:t>
      </w:r>
      <w:r>
        <w:t xml:space="preserve">why: “later rounds compound direct peer influence with path dependence.” A second group independently flags capitulation cascades and designs around them. </w:t>
      </w:r>
      <w:r>
        <w:rPr>
          <w:b/>
          <w:bCs/>
        </w:rPr>
        <w:t xml:space="preserve">Two independent groups have named multi-round cascade dynamics as the thing they were avoiding. That </w:t>
      </w:r>
      <w:r>
        <w:rPr>
          <w:b/>
          <w:bCs/>
        </w:rPr>
        <w:t>is the open problem.</w:t>
      </w:r>
    </w:p>
    <w:tbl>
      <w:tblPr>
        <w:tblW w:w="9026" w:type="dxa"/>
        <w:tblInd w:w="200" w:type="dxa"/>
        <w:tblBorders>
          <w:top w:val="single" w:sz="2" w:space="0" w:color="E0C9A6"/>
          <w:left w:val="single" w:sz="18" w:space="0" w:color="C9922E"/>
          <w:bottom w:val="single" w:sz="2" w:space="0" w:color="E0C9A6"/>
          <w:right w:val="single" w:sz="2" w:space="0" w:color="E0C9A6"/>
        </w:tblBorders>
        <w:tblCellMar>
          <w:left w:w="10" w:type="dxa"/>
          <w:right w:w="10" w:type="dxa"/>
        </w:tblCellMar>
        <w:tblLook w:val="0000" w:firstRow="0" w:lastRow="0" w:firstColumn="0" w:lastColumn="0" w:noHBand="0" w:noVBand="0"/>
      </w:tblPr>
      <w:tblGrid>
        <w:gridCol w:w="9026"/>
      </w:tblGrid>
      <w:tr w:rsidR="00BC2100">
        <w:tblPrEx>
          <w:tblCellMar>
            <w:top w:w="0" w:type="dxa"/>
            <w:bottom w:w="0" w:type="dxa"/>
          </w:tblCellMar>
        </w:tblPrEx>
        <w:tc>
          <w:tcPr>
            <w:tcW w:w="9026" w:type="dxa"/>
            <w:shd w:val="clear" w:color="auto" w:fill="FDF0E6"/>
            <w:tcMar>
              <w:top w:w="140" w:type="dxa"/>
              <w:left w:w="200" w:type="dxa"/>
              <w:bottom w:w="140" w:type="dxa"/>
              <w:right w:w="160" w:type="dxa"/>
            </w:tcMar>
          </w:tcPr>
          <w:p w:rsidR="00BC2100" w:rsidRDefault="00CC79F5">
            <w:pPr>
              <w:spacing w:after="60" w:line="276" w:lineRule="auto"/>
            </w:pPr>
            <w:r>
              <w:rPr>
                <w:b/>
                <w:bCs/>
                <w:color w:val="7A4E12"/>
              </w:rPr>
              <w:t>The honest framing, which we should keep</w:t>
            </w:r>
          </w:p>
          <w:p w:rsidR="00BC2100" w:rsidRDefault="00CC79F5">
            <w:pPr>
              <w:spacing w:after="60" w:line="276" w:lineRule="auto"/>
            </w:pPr>
            <w:r>
              <w:t>We are not first to the idea that diversity might protect. We are first to test it with capability controlled, over multiple rounds, under an adversary. If the answer is no, that is also publish</w:t>
            </w:r>
            <w:r>
              <w:t>able — and we have committed in writing, before collecting any data, to reporting it as no.</w:t>
            </w:r>
          </w:p>
        </w:tc>
      </w:tr>
    </w:tbl>
    <w:p w:rsidR="00BC2100" w:rsidRDefault="00CC79F5">
      <w:pPr>
        <w:pStyle w:val="Heading1"/>
        <w:spacing w:before="340" w:after="160"/>
      </w:pPr>
      <w:r>
        <w:rPr>
          <w:b/>
          <w:bCs/>
          <w:color w:val="1F3864"/>
          <w:sz w:val="30"/>
          <w:szCs w:val="30"/>
        </w:rPr>
        <w:t>3.  How the experiment works</w:t>
      </w:r>
    </w:p>
    <w:p w:rsidR="00BC2100" w:rsidRDefault="00CC79F5">
      <w:pPr>
        <w:pStyle w:val="Heading2"/>
        <w:spacing w:before="240" w:after="110"/>
      </w:pPr>
      <w:r>
        <w:rPr>
          <w:b/>
          <w:bCs/>
          <w:color w:val="1F3864"/>
          <w:sz w:val="24"/>
          <w:szCs w:val="24"/>
        </w:rPr>
        <w:t>The setup</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2600"/>
        <w:gridCol w:w="6426"/>
      </w:tblGrid>
      <w:tr w:rsidR="00BC2100">
        <w:tblPrEx>
          <w:tblCellMar>
            <w:top w:w="0" w:type="dxa"/>
            <w:bottom w:w="0" w:type="dxa"/>
          </w:tblCellMar>
        </w:tblPrEx>
        <w:trPr>
          <w:tblHeader/>
        </w:trPr>
        <w:tc>
          <w:tcPr>
            <w:tcW w:w="26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Element</w:t>
            </w:r>
          </w:p>
        </w:tc>
        <w:tc>
          <w:tcPr>
            <w:tcW w:w="64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Design</w:t>
            </w:r>
          </w:p>
        </w:tc>
      </w:tr>
      <w:tr w:rsidR="00BC2100">
        <w:tblPrEx>
          <w:tblCellMar>
            <w:top w:w="0" w:type="dxa"/>
            <w:bottom w:w="0" w:type="dxa"/>
          </w:tblCellMar>
        </w:tblPrEx>
        <w:tc>
          <w:tcPr>
            <w:tcW w:w="2600" w:type="dxa"/>
            <w:tcMar>
              <w:top w:w="70" w:type="dxa"/>
              <w:left w:w="110" w:type="dxa"/>
              <w:bottom w:w="70" w:type="dxa"/>
              <w:right w:w="110" w:type="dxa"/>
            </w:tcMar>
            <w:vAlign w:val="center"/>
          </w:tcPr>
          <w:p w:rsidR="00BC2100" w:rsidRDefault="00CC79F5">
            <w:pPr>
              <w:spacing w:line="276" w:lineRule="auto"/>
            </w:pPr>
            <w:r>
              <w:rPr>
                <w:sz w:val="20"/>
                <w:szCs w:val="20"/>
              </w:rPr>
              <w:t>Agents</w:t>
            </w:r>
          </w:p>
        </w:tc>
        <w:tc>
          <w:tcPr>
            <w:tcW w:w="6426" w:type="dxa"/>
            <w:tcMar>
              <w:top w:w="70" w:type="dxa"/>
              <w:left w:w="110" w:type="dxa"/>
              <w:bottom w:w="70" w:type="dxa"/>
              <w:right w:w="110" w:type="dxa"/>
            </w:tcMar>
            <w:vAlign w:val="center"/>
          </w:tcPr>
          <w:p w:rsidR="00BC2100" w:rsidRDefault="00CC79F5">
            <w:pPr>
              <w:spacing w:line="276" w:lineRule="auto"/>
            </w:pPr>
            <w:r>
              <w:rPr>
                <w:sz w:val="20"/>
                <w:szCs w:val="20"/>
              </w:rPr>
              <w:t>20 per run, each an independent language-model instance</w:t>
            </w:r>
          </w:p>
        </w:tc>
      </w:tr>
      <w:tr w:rsidR="00BC2100">
        <w:tblPrEx>
          <w:tblCellMar>
            <w:top w:w="0" w:type="dxa"/>
            <w:bottom w:w="0" w:type="dxa"/>
          </w:tblCellMar>
        </w:tblPrEx>
        <w:tc>
          <w:tcPr>
            <w:tcW w:w="2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Network</w:t>
            </w:r>
          </w:p>
        </w:tc>
        <w:tc>
          <w:tcPr>
            <w:tcW w:w="64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Agents see messages only from their graph neighbours; complete, random and small-world structures compared</w:t>
            </w:r>
          </w:p>
        </w:tc>
      </w:tr>
      <w:tr w:rsidR="00BC2100">
        <w:tblPrEx>
          <w:tblCellMar>
            <w:top w:w="0" w:type="dxa"/>
            <w:bottom w:w="0" w:type="dxa"/>
          </w:tblCellMar>
        </w:tblPrEx>
        <w:tc>
          <w:tcPr>
            <w:tcW w:w="2600" w:type="dxa"/>
            <w:tcMar>
              <w:top w:w="70" w:type="dxa"/>
              <w:left w:w="110" w:type="dxa"/>
              <w:bottom w:w="70" w:type="dxa"/>
              <w:right w:w="110" w:type="dxa"/>
            </w:tcMar>
            <w:vAlign w:val="center"/>
          </w:tcPr>
          <w:p w:rsidR="00BC2100" w:rsidRDefault="00CC79F5">
            <w:pPr>
              <w:spacing w:line="276" w:lineRule="auto"/>
            </w:pPr>
            <w:r>
              <w:rPr>
                <w:sz w:val="20"/>
                <w:szCs w:val="20"/>
              </w:rPr>
              <w:t>Task</w:t>
            </w:r>
          </w:p>
        </w:tc>
        <w:tc>
          <w:tcPr>
            <w:tcW w:w="6426" w:type="dxa"/>
            <w:tcMar>
              <w:top w:w="70" w:type="dxa"/>
              <w:left w:w="110" w:type="dxa"/>
              <w:bottom w:w="70" w:type="dxa"/>
              <w:right w:w="110" w:type="dxa"/>
            </w:tcMar>
            <w:vAlign w:val="center"/>
          </w:tcPr>
          <w:p w:rsidR="00BC2100" w:rsidRDefault="00CC79F5">
            <w:pPr>
              <w:spacing w:line="276" w:lineRule="auto"/>
            </w:pPr>
            <w:r>
              <w:rPr>
                <w:sz w:val="20"/>
                <w:szCs w:val="20"/>
              </w:rPr>
              <w:t>A factual claim with unambiguous ground truth (e.g. “the adult skeleton has 206 bones”)</w:t>
            </w:r>
          </w:p>
        </w:tc>
      </w:tr>
      <w:tr w:rsidR="00BC2100">
        <w:tblPrEx>
          <w:tblCellMar>
            <w:top w:w="0" w:type="dxa"/>
            <w:bottom w:w="0" w:type="dxa"/>
          </w:tblCellMar>
        </w:tblPrEx>
        <w:tc>
          <w:tcPr>
            <w:tcW w:w="2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Attack</w:t>
            </w:r>
          </w:p>
        </w:tc>
        <w:tc>
          <w:tcPr>
            <w:tcW w:w="64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2 agents seeded with a plausible falsehood and a persuasive persona</w:t>
            </w:r>
          </w:p>
        </w:tc>
      </w:tr>
      <w:tr w:rsidR="00BC2100">
        <w:tblPrEx>
          <w:tblCellMar>
            <w:top w:w="0" w:type="dxa"/>
            <w:bottom w:w="0" w:type="dxa"/>
          </w:tblCellMar>
        </w:tblPrEx>
        <w:tc>
          <w:tcPr>
            <w:tcW w:w="2600" w:type="dxa"/>
            <w:tcMar>
              <w:top w:w="70" w:type="dxa"/>
              <w:left w:w="110" w:type="dxa"/>
              <w:bottom w:w="70" w:type="dxa"/>
              <w:right w:w="110" w:type="dxa"/>
            </w:tcMar>
            <w:vAlign w:val="center"/>
          </w:tcPr>
          <w:p w:rsidR="00BC2100" w:rsidRDefault="00CC79F5">
            <w:pPr>
              <w:spacing w:line="276" w:lineRule="auto"/>
            </w:pPr>
            <w:r>
              <w:rPr>
                <w:sz w:val="20"/>
                <w:szCs w:val="20"/>
              </w:rPr>
              <w:lastRenderedPageBreak/>
              <w:t>Rounds</w:t>
            </w:r>
          </w:p>
        </w:tc>
        <w:tc>
          <w:tcPr>
            <w:tcW w:w="6426" w:type="dxa"/>
            <w:tcMar>
              <w:top w:w="70" w:type="dxa"/>
              <w:left w:w="110" w:type="dxa"/>
              <w:bottom w:w="70" w:type="dxa"/>
              <w:right w:w="110" w:type="dxa"/>
            </w:tcMar>
            <w:vAlign w:val="center"/>
          </w:tcPr>
          <w:p w:rsidR="00BC2100" w:rsidRDefault="00CC79F5">
            <w:pPr>
              <w:spacing w:line="276" w:lineRule="auto"/>
            </w:pPr>
            <w:r>
              <w:rPr>
                <w:sz w:val="20"/>
                <w:szCs w:val="20"/>
              </w:rPr>
              <w:t>Set by how long cascades take to develop — measured, not guessed</w:t>
            </w:r>
          </w:p>
        </w:tc>
      </w:tr>
      <w:tr w:rsidR="00BC2100">
        <w:tblPrEx>
          <w:tblCellMar>
            <w:top w:w="0" w:type="dxa"/>
            <w:bottom w:w="0" w:type="dxa"/>
          </w:tblCellMar>
        </w:tblPrEx>
        <w:tc>
          <w:tcPr>
            <w:tcW w:w="2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Measurement</w:t>
            </w:r>
          </w:p>
        </w:tc>
        <w:tc>
          <w:tcPr>
            <w:tcW w:w="64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Every agent probed each round on both the true and the false claim, separately</w:t>
            </w:r>
          </w:p>
        </w:tc>
      </w:tr>
    </w:tbl>
    <w:p w:rsidR="00BC2100" w:rsidRDefault="00CC79F5">
      <w:pPr>
        <w:pStyle w:val="Heading2"/>
        <w:spacing w:before="240" w:after="110"/>
      </w:pPr>
      <w:r>
        <w:rPr>
          <w:b/>
          <w:bCs/>
          <w:color w:val="1F3864"/>
          <w:sz w:val="24"/>
          <w:szCs w:val="24"/>
        </w:rPr>
        <w:t>The diversity ladder — the core design object</w:t>
      </w:r>
    </w:p>
    <w:p w:rsidR="00BC2100" w:rsidRDefault="00CC79F5">
      <w:pPr>
        <w:spacing w:after="120" w:line="276" w:lineRule="auto"/>
      </w:pPr>
      <w:r>
        <w:t>Every prior study compares one homogeneous group against one mixed group. That cannot distinguish “architectural diversity protects” from “any decorrelation protects”. Five levels can:</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1100"/>
        <w:gridCol w:w="4300"/>
        <w:gridCol w:w="3626"/>
      </w:tblGrid>
      <w:tr w:rsidR="00BC2100">
        <w:tblPrEx>
          <w:tblCellMar>
            <w:top w:w="0" w:type="dxa"/>
            <w:bottom w:w="0" w:type="dxa"/>
          </w:tblCellMar>
        </w:tblPrEx>
        <w:trPr>
          <w:tblHeader/>
        </w:trPr>
        <w:tc>
          <w:tcPr>
            <w:tcW w:w="11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Level</w:t>
            </w:r>
          </w:p>
        </w:tc>
        <w:tc>
          <w:tcPr>
            <w:tcW w:w="43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Composition</w:t>
            </w:r>
          </w:p>
        </w:tc>
        <w:tc>
          <w:tcPr>
            <w:tcW w:w="36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 xml:space="preserve">Source </w:t>
            </w:r>
            <w:r>
              <w:rPr>
                <w:b/>
                <w:bCs/>
                <w:sz w:val="20"/>
                <w:szCs w:val="20"/>
              </w:rPr>
              <w:t>of decorrelation</w:t>
            </w:r>
          </w:p>
        </w:tc>
      </w:tr>
      <w:tr w:rsidR="00BC2100">
        <w:tblPrEx>
          <w:tblCellMar>
            <w:top w:w="0" w:type="dxa"/>
            <w:bottom w:w="0" w:type="dxa"/>
          </w:tblCellMar>
        </w:tblPrEx>
        <w:tc>
          <w:tcPr>
            <w:tcW w:w="1100" w:type="dxa"/>
            <w:tcMar>
              <w:top w:w="70" w:type="dxa"/>
              <w:left w:w="110" w:type="dxa"/>
              <w:bottom w:w="70" w:type="dxa"/>
              <w:right w:w="110" w:type="dxa"/>
            </w:tcMar>
            <w:vAlign w:val="center"/>
          </w:tcPr>
          <w:p w:rsidR="00BC2100" w:rsidRDefault="00CC79F5">
            <w:pPr>
              <w:spacing w:line="276" w:lineRule="auto"/>
            </w:pPr>
            <w:r>
              <w:rPr>
                <w:sz w:val="20"/>
                <w:szCs w:val="20"/>
              </w:rPr>
              <w:t>D0</w:t>
            </w:r>
          </w:p>
        </w:tc>
        <w:tc>
          <w:tcPr>
            <w:tcW w:w="4300" w:type="dxa"/>
            <w:tcMar>
              <w:top w:w="70" w:type="dxa"/>
              <w:left w:w="110" w:type="dxa"/>
              <w:bottom w:w="70" w:type="dxa"/>
              <w:right w:w="110" w:type="dxa"/>
            </w:tcMar>
            <w:vAlign w:val="center"/>
          </w:tcPr>
          <w:p w:rsidR="00BC2100" w:rsidRDefault="00CC79F5">
            <w:pPr>
              <w:spacing w:line="276" w:lineRule="auto"/>
            </w:pPr>
            <w:r>
              <w:rPr>
                <w:sz w:val="20"/>
                <w:szCs w:val="20"/>
              </w:rPr>
              <w:t>20 identical agents, temperature 0</w:t>
            </w:r>
          </w:p>
        </w:tc>
        <w:tc>
          <w:tcPr>
            <w:tcW w:w="3626" w:type="dxa"/>
            <w:tcMar>
              <w:top w:w="70" w:type="dxa"/>
              <w:left w:w="110" w:type="dxa"/>
              <w:bottom w:w="70" w:type="dxa"/>
              <w:right w:w="110" w:type="dxa"/>
            </w:tcMar>
            <w:vAlign w:val="center"/>
          </w:tcPr>
          <w:p w:rsidR="00BC2100" w:rsidRDefault="00CC79F5">
            <w:pPr>
              <w:spacing w:line="276" w:lineRule="auto"/>
            </w:pPr>
            <w:r>
              <w:rPr>
                <w:sz w:val="20"/>
                <w:szCs w:val="20"/>
              </w:rPr>
              <w:t>None (baseline)</w:t>
            </w:r>
          </w:p>
        </w:tc>
      </w:tr>
      <w:tr w:rsidR="00BC2100">
        <w:tblPrEx>
          <w:tblCellMar>
            <w:top w:w="0" w:type="dxa"/>
            <w:bottom w:w="0" w:type="dxa"/>
          </w:tblCellMar>
        </w:tblPrEx>
        <w:tc>
          <w:tcPr>
            <w:tcW w:w="11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D1</w:t>
            </w:r>
          </w:p>
        </w:tc>
        <w:tc>
          <w:tcPr>
            <w:tcW w:w="43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20 identical agents, sampling temperature &gt; 0</w:t>
            </w:r>
          </w:p>
        </w:tc>
        <w:tc>
          <w:tcPr>
            <w:tcW w:w="36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Sampling noise only</w:t>
            </w:r>
          </w:p>
        </w:tc>
      </w:tr>
      <w:tr w:rsidR="00BC2100">
        <w:tblPrEx>
          <w:tblCellMar>
            <w:top w:w="0" w:type="dxa"/>
            <w:bottom w:w="0" w:type="dxa"/>
          </w:tblCellMar>
        </w:tblPrEx>
        <w:tc>
          <w:tcPr>
            <w:tcW w:w="1100" w:type="dxa"/>
            <w:tcMar>
              <w:top w:w="70" w:type="dxa"/>
              <w:left w:w="110" w:type="dxa"/>
              <w:bottom w:w="70" w:type="dxa"/>
              <w:right w:w="110" w:type="dxa"/>
            </w:tcMar>
            <w:vAlign w:val="center"/>
          </w:tcPr>
          <w:p w:rsidR="00BC2100" w:rsidRDefault="00CC79F5">
            <w:pPr>
              <w:spacing w:line="276" w:lineRule="auto"/>
            </w:pPr>
            <w:r>
              <w:rPr>
                <w:sz w:val="20"/>
                <w:szCs w:val="20"/>
              </w:rPr>
              <w:t>D2</w:t>
            </w:r>
          </w:p>
        </w:tc>
        <w:tc>
          <w:tcPr>
            <w:tcW w:w="4300" w:type="dxa"/>
            <w:tcMar>
              <w:top w:w="70" w:type="dxa"/>
              <w:left w:w="110" w:type="dxa"/>
              <w:bottom w:w="70" w:type="dxa"/>
              <w:right w:w="110" w:type="dxa"/>
            </w:tcMar>
            <w:vAlign w:val="center"/>
          </w:tcPr>
          <w:p w:rsidR="00BC2100" w:rsidRDefault="00CC79F5">
            <w:pPr>
              <w:spacing w:line="276" w:lineRule="auto"/>
            </w:pPr>
            <w:r>
              <w:rPr>
                <w:sz w:val="20"/>
                <w:szCs w:val="20"/>
              </w:rPr>
              <w:t>20 identical agents, several distinct personas</w:t>
            </w:r>
          </w:p>
        </w:tc>
        <w:tc>
          <w:tcPr>
            <w:tcW w:w="3626" w:type="dxa"/>
            <w:tcMar>
              <w:top w:w="70" w:type="dxa"/>
              <w:left w:w="110" w:type="dxa"/>
              <w:bottom w:w="70" w:type="dxa"/>
              <w:right w:w="110" w:type="dxa"/>
            </w:tcMar>
            <w:vAlign w:val="center"/>
          </w:tcPr>
          <w:p w:rsidR="00BC2100" w:rsidRDefault="00CC79F5">
            <w:pPr>
              <w:spacing w:line="276" w:lineRule="auto"/>
            </w:pPr>
            <w:r>
              <w:rPr>
                <w:sz w:val="20"/>
                <w:szCs w:val="20"/>
              </w:rPr>
              <w:t>Prompting</w:t>
            </w:r>
          </w:p>
        </w:tc>
      </w:tr>
      <w:tr w:rsidR="00BC2100">
        <w:tblPrEx>
          <w:tblCellMar>
            <w:top w:w="0" w:type="dxa"/>
            <w:bottom w:w="0" w:type="dxa"/>
          </w:tblCellMar>
        </w:tblPrEx>
        <w:tc>
          <w:tcPr>
            <w:tcW w:w="11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D3</w:t>
            </w:r>
          </w:p>
        </w:tc>
        <w:tc>
          <w:tcPr>
            <w:tcW w:w="43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4 different model families, accuracy-matched to D0</w:t>
            </w:r>
          </w:p>
        </w:tc>
        <w:tc>
          <w:tcPr>
            <w:tcW w:w="36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Pre-training / architecture</w:t>
            </w:r>
          </w:p>
        </w:tc>
      </w:tr>
      <w:tr w:rsidR="00BC2100">
        <w:tblPrEx>
          <w:tblCellMar>
            <w:top w:w="0" w:type="dxa"/>
            <w:bottom w:w="0" w:type="dxa"/>
          </w:tblCellMar>
        </w:tblPrEx>
        <w:tc>
          <w:tcPr>
            <w:tcW w:w="1100" w:type="dxa"/>
            <w:tcMar>
              <w:top w:w="70" w:type="dxa"/>
              <w:left w:w="110" w:type="dxa"/>
              <w:bottom w:w="70" w:type="dxa"/>
              <w:right w:w="110" w:type="dxa"/>
            </w:tcMar>
            <w:vAlign w:val="center"/>
          </w:tcPr>
          <w:p w:rsidR="00BC2100" w:rsidRDefault="00CC79F5">
            <w:pPr>
              <w:spacing w:line="276" w:lineRule="auto"/>
            </w:pPr>
            <w:r>
              <w:rPr>
                <w:sz w:val="20"/>
                <w:szCs w:val="20"/>
              </w:rPr>
              <w:t>D4</w:t>
            </w:r>
          </w:p>
        </w:tc>
        <w:tc>
          <w:tcPr>
            <w:tcW w:w="4300" w:type="dxa"/>
            <w:tcMar>
              <w:top w:w="70" w:type="dxa"/>
              <w:left w:w="110" w:type="dxa"/>
              <w:bottom w:w="70" w:type="dxa"/>
              <w:right w:w="110" w:type="dxa"/>
            </w:tcMar>
            <w:vAlign w:val="center"/>
          </w:tcPr>
          <w:p w:rsidR="00BC2100" w:rsidRDefault="00CC79F5">
            <w:pPr>
              <w:spacing w:line="276" w:lineRule="auto"/>
            </w:pPr>
            <w:r>
              <w:rPr>
                <w:sz w:val="20"/>
                <w:szCs w:val="20"/>
              </w:rPr>
              <w:t>Families × personas</w:t>
            </w:r>
          </w:p>
        </w:tc>
        <w:tc>
          <w:tcPr>
            <w:tcW w:w="3626" w:type="dxa"/>
            <w:tcMar>
              <w:top w:w="70" w:type="dxa"/>
              <w:left w:w="110" w:type="dxa"/>
              <w:bottom w:w="70" w:type="dxa"/>
              <w:right w:w="110" w:type="dxa"/>
            </w:tcMar>
            <w:vAlign w:val="center"/>
          </w:tcPr>
          <w:p w:rsidR="00BC2100" w:rsidRDefault="00CC79F5">
            <w:pPr>
              <w:spacing w:line="276" w:lineRule="auto"/>
            </w:pPr>
            <w:r>
              <w:rPr>
                <w:sz w:val="20"/>
                <w:szCs w:val="20"/>
              </w:rPr>
              <w:t>Both</w:t>
            </w:r>
          </w:p>
        </w:tc>
      </w:tr>
    </w:tbl>
    <w:p w:rsidR="00BC2100" w:rsidRDefault="00CC79F5">
      <w:pPr>
        <w:spacing w:after="120" w:line="276" w:lineRule="auto"/>
      </w:pPr>
      <w:r>
        <w:rPr>
          <w:b/>
          <w:bCs/>
        </w:rPr>
        <w:t xml:space="preserve">Either outcome is a result. </w:t>
      </w:r>
      <w:r>
        <w:t>If D1 and D2 protect as well as D3, diversity is cheap — you do not need four model families, just varied sampling. That is more useful to a practitioner and is currently unknown. If only D3 and D4 protect, architectural diversity is doing something prompt</w:t>
      </w:r>
      <w:r>
        <w:t>ing cannot. Three of the five levels use a single served model, so most of the ladder costs almost nothing extra to run.</w:t>
      </w:r>
    </w:p>
    <w:p w:rsidR="00BC2100" w:rsidRDefault="00CC79F5">
      <w:pPr>
        <w:pStyle w:val="Heading2"/>
        <w:spacing w:before="240" w:after="110"/>
      </w:pPr>
      <w:r>
        <w:rPr>
          <w:b/>
          <w:bCs/>
          <w:color w:val="1F3864"/>
          <w:sz w:val="24"/>
          <w:szCs w:val="24"/>
        </w:rPr>
        <w:t>Capability matching — the methodological core</w:t>
      </w:r>
    </w:p>
    <w:p w:rsidR="00BC2100" w:rsidRDefault="00CC79F5">
      <w:pPr>
        <w:pStyle w:val="ListParagraph"/>
        <w:numPr>
          <w:ilvl w:val="0"/>
          <w:numId w:val="2"/>
        </w:numPr>
        <w:spacing w:after="90" w:line="276" w:lineRule="auto"/>
      </w:pPr>
      <w:r>
        <w:t>Every candidate model answers the full validated fact suite alone, many times. This gives</w:t>
      </w:r>
      <w:r>
        <w:t xml:space="preserve"> a measured accuracy per model.</w:t>
      </w:r>
    </w:p>
    <w:p w:rsidR="00BC2100" w:rsidRDefault="00CC79F5">
      <w:pPr>
        <w:pStyle w:val="ListParagraph"/>
        <w:numPr>
          <w:ilvl w:val="0"/>
          <w:numId w:val="2"/>
        </w:numPr>
        <w:spacing w:after="90" w:line="276" w:lineRule="auto"/>
      </w:pPr>
      <w:r>
        <w:t>Cohorts are then built so that every level of the ladder has the same average single-agent accuracy.</w:t>
      </w:r>
    </w:p>
    <w:p w:rsidR="00BC2100" w:rsidRDefault="00CC79F5">
      <w:pPr>
        <w:pStyle w:val="ListParagraph"/>
        <w:numPr>
          <w:ilvl w:val="0"/>
          <w:numId w:val="2"/>
        </w:numPr>
        <w:spacing w:after="90" w:line="276" w:lineRule="auto"/>
      </w:pPr>
      <w:r>
        <w:t>Accuracy is also entered as a statistical covariate — matched by design and adjusted for, because either alone is contestab</w:t>
      </w:r>
      <w:r>
        <w:t>le.</w:t>
      </w:r>
    </w:p>
    <w:p w:rsidR="00BC2100" w:rsidRDefault="00CC79F5">
      <w:pPr>
        <w:pStyle w:val="ListParagraph"/>
        <w:numPr>
          <w:ilvl w:val="0"/>
          <w:numId w:val="2"/>
        </w:numPr>
        <w:spacing w:after="90" w:line="276" w:lineRule="auto"/>
      </w:pPr>
      <w:r>
        <w:t>A second, less obvious benefit: diversity statistics are known to be nearly collinear with mean accuracy. Holding accuracy fixed breaks that collinearity by construction, which is what makes the diversity measure interpretable at all.</w:t>
      </w:r>
    </w:p>
    <w:p w:rsidR="00BC2100" w:rsidRDefault="00CC79F5">
      <w:pPr>
        <w:pStyle w:val="Heading2"/>
        <w:spacing w:before="240" w:after="110"/>
      </w:pPr>
      <w:r>
        <w:rPr>
          <w:b/>
          <w:bCs/>
          <w:color w:val="1F3864"/>
          <w:sz w:val="24"/>
          <w:szCs w:val="24"/>
        </w:rPr>
        <w:t>What we measure</w:t>
      </w:r>
    </w:p>
    <w:p w:rsidR="00BC2100" w:rsidRDefault="00CC79F5">
      <w:pPr>
        <w:spacing w:after="120" w:line="276" w:lineRule="auto"/>
      </w:pPr>
      <w:r>
        <w:t>A</w:t>
      </w:r>
      <w:r>
        <w:t>gents in this size class do not shade their beliefs gradually — published evidence and our own design review say they flip. So the outcome is a discrete state, and the statistics are survival analysis:</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2600"/>
        <w:gridCol w:w="6426"/>
      </w:tblGrid>
      <w:tr w:rsidR="00BC2100">
        <w:tblPrEx>
          <w:tblCellMar>
            <w:top w:w="0" w:type="dxa"/>
            <w:bottom w:w="0" w:type="dxa"/>
          </w:tblCellMar>
        </w:tblPrEx>
        <w:trPr>
          <w:tblHeader/>
        </w:trPr>
        <w:tc>
          <w:tcPr>
            <w:tcW w:w="26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Outcome</w:t>
            </w:r>
          </w:p>
        </w:tc>
        <w:tc>
          <w:tcPr>
            <w:tcW w:w="64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Meaning</w:t>
            </w:r>
          </w:p>
        </w:tc>
      </w:tr>
      <w:tr w:rsidR="00BC2100">
        <w:tblPrEx>
          <w:tblCellMar>
            <w:top w:w="0" w:type="dxa"/>
            <w:bottom w:w="0" w:type="dxa"/>
          </w:tblCellMar>
        </w:tblPrEx>
        <w:tc>
          <w:tcPr>
            <w:tcW w:w="2600" w:type="dxa"/>
            <w:tcMar>
              <w:top w:w="70" w:type="dxa"/>
              <w:left w:w="110" w:type="dxa"/>
              <w:bottom w:w="70" w:type="dxa"/>
              <w:right w:w="110" w:type="dxa"/>
            </w:tcMar>
            <w:vAlign w:val="center"/>
          </w:tcPr>
          <w:p w:rsidR="00BC2100" w:rsidRDefault="00CC79F5">
            <w:pPr>
              <w:spacing w:line="276" w:lineRule="auto"/>
            </w:pPr>
            <w:r>
              <w:rPr>
                <w:sz w:val="20"/>
                <w:szCs w:val="20"/>
              </w:rPr>
              <w:t>Capitulation hazard</w:t>
            </w:r>
          </w:p>
        </w:tc>
        <w:tc>
          <w:tcPr>
            <w:tcW w:w="6426" w:type="dxa"/>
            <w:tcMar>
              <w:top w:w="70" w:type="dxa"/>
              <w:left w:w="110" w:type="dxa"/>
              <w:bottom w:w="70" w:type="dxa"/>
              <w:right w:w="110" w:type="dxa"/>
            </w:tcMar>
            <w:vAlign w:val="center"/>
          </w:tcPr>
          <w:p w:rsidR="00BC2100" w:rsidRDefault="00CC79F5">
            <w:pPr>
              <w:spacing w:line="276" w:lineRule="auto"/>
            </w:pPr>
            <w:r>
              <w:rPr>
                <w:sz w:val="20"/>
                <w:szCs w:val="20"/>
              </w:rPr>
              <w:t>Rate at which agents holding the truth switch to the falsehood — the primary outcome</w:t>
            </w:r>
          </w:p>
        </w:tc>
      </w:tr>
      <w:tr w:rsidR="00BC2100">
        <w:tblPrEx>
          <w:tblCellMar>
            <w:top w:w="0" w:type="dxa"/>
            <w:bottom w:w="0" w:type="dxa"/>
          </w:tblCellMar>
        </w:tblPrEx>
        <w:tc>
          <w:tcPr>
            <w:tcW w:w="2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Truth-acquisition hazard</w:t>
            </w:r>
          </w:p>
        </w:tc>
        <w:tc>
          <w:tcPr>
            <w:tcW w:w="64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Rate at which agents who were wrong become right — the counterpart that stops us confusing “resists lies” with “transmits nothing”</w:t>
            </w:r>
          </w:p>
        </w:tc>
      </w:tr>
      <w:tr w:rsidR="00BC2100">
        <w:tblPrEx>
          <w:tblCellMar>
            <w:top w:w="0" w:type="dxa"/>
            <w:bottom w:w="0" w:type="dxa"/>
          </w:tblCellMar>
        </w:tblPrEx>
        <w:tc>
          <w:tcPr>
            <w:tcW w:w="2600" w:type="dxa"/>
            <w:tcMar>
              <w:top w:w="70" w:type="dxa"/>
              <w:left w:w="110" w:type="dxa"/>
              <w:bottom w:w="70" w:type="dxa"/>
              <w:right w:w="110" w:type="dxa"/>
            </w:tcMar>
            <w:vAlign w:val="center"/>
          </w:tcPr>
          <w:p w:rsidR="00BC2100" w:rsidRDefault="00CC79F5">
            <w:pPr>
              <w:spacing w:line="276" w:lineRule="auto"/>
            </w:pPr>
            <w:r>
              <w:rPr>
                <w:sz w:val="20"/>
                <w:szCs w:val="20"/>
              </w:rPr>
              <w:t>Recovery rate</w:t>
            </w:r>
          </w:p>
        </w:tc>
        <w:tc>
          <w:tcPr>
            <w:tcW w:w="6426" w:type="dxa"/>
            <w:tcMar>
              <w:top w:w="70" w:type="dxa"/>
              <w:left w:w="110" w:type="dxa"/>
              <w:bottom w:w="70" w:type="dxa"/>
              <w:right w:w="110" w:type="dxa"/>
            </w:tcMar>
            <w:vAlign w:val="center"/>
          </w:tcPr>
          <w:p w:rsidR="00BC2100" w:rsidRDefault="00CC79F5">
            <w:pPr>
              <w:spacing w:line="276" w:lineRule="auto"/>
            </w:pPr>
            <w:r>
              <w:rPr>
                <w:sz w:val="20"/>
                <w:szCs w:val="20"/>
              </w:rPr>
              <w:t>Do agents that fall come back? No classical contagion model predicts this</w:t>
            </w:r>
          </w:p>
        </w:tc>
      </w:tr>
      <w:tr w:rsidR="00BC2100">
        <w:tblPrEx>
          <w:tblCellMar>
            <w:top w:w="0" w:type="dxa"/>
            <w:bottom w:w="0" w:type="dxa"/>
          </w:tblCellMar>
        </w:tblPrEx>
        <w:tc>
          <w:tcPr>
            <w:tcW w:w="2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Cascade size, onset, velocity</w:t>
            </w:r>
          </w:p>
        </w:tc>
        <w:tc>
          <w:tcPr>
            <w:tcW w:w="64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How far, how soon, how fast — the dynamics that prior work set aside</w:t>
            </w:r>
          </w:p>
        </w:tc>
      </w:tr>
      <w:tr w:rsidR="00BC2100">
        <w:tblPrEx>
          <w:tblCellMar>
            <w:top w:w="0" w:type="dxa"/>
            <w:bottom w:w="0" w:type="dxa"/>
          </w:tblCellMar>
        </w:tblPrEx>
        <w:tc>
          <w:tcPr>
            <w:tcW w:w="2600" w:type="dxa"/>
            <w:tcMar>
              <w:top w:w="70" w:type="dxa"/>
              <w:left w:w="110" w:type="dxa"/>
              <w:bottom w:w="70" w:type="dxa"/>
              <w:right w:w="110" w:type="dxa"/>
            </w:tcMar>
            <w:vAlign w:val="center"/>
          </w:tcPr>
          <w:p w:rsidR="00BC2100" w:rsidRDefault="00CC79F5">
            <w:pPr>
              <w:spacing w:line="276" w:lineRule="auto"/>
            </w:pPr>
            <w:r>
              <w:rPr>
                <w:sz w:val="20"/>
                <w:szCs w:val="20"/>
              </w:rPr>
              <w:lastRenderedPageBreak/>
              <w:t xml:space="preserve">State </w:t>
            </w:r>
            <w:proofErr w:type="spellStart"/>
            <w:r>
              <w:rPr>
                <w:sz w:val="20"/>
                <w:szCs w:val="20"/>
              </w:rPr>
              <w:t>assortativity</w:t>
            </w:r>
            <w:proofErr w:type="spellEnd"/>
          </w:p>
        </w:tc>
        <w:tc>
          <w:tcPr>
            <w:tcW w:w="6426" w:type="dxa"/>
            <w:tcMar>
              <w:top w:w="70" w:type="dxa"/>
              <w:left w:w="110" w:type="dxa"/>
              <w:bottom w:w="70" w:type="dxa"/>
              <w:right w:w="110" w:type="dxa"/>
            </w:tcMar>
            <w:vAlign w:val="center"/>
          </w:tcPr>
          <w:p w:rsidR="00BC2100" w:rsidRDefault="00CC79F5">
            <w:pPr>
              <w:spacing w:line="276" w:lineRule="auto"/>
            </w:pPr>
            <w:r>
              <w:rPr>
                <w:sz w:val="20"/>
                <w:szCs w:val="20"/>
              </w:rPr>
              <w:t xml:space="preserve">Do agents that </w:t>
            </w:r>
            <w:proofErr w:type="gramStart"/>
            <w:r>
              <w:rPr>
                <w:sz w:val="20"/>
                <w:szCs w:val="20"/>
              </w:rPr>
              <w:t>capitulate</w:t>
            </w:r>
            <w:proofErr w:type="gramEnd"/>
            <w:r>
              <w:rPr>
                <w:sz w:val="20"/>
                <w:szCs w:val="20"/>
              </w:rPr>
              <w:t xml:space="preserve"> cluster together in the network? (Echo chambers)</w:t>
            </w:r>
          </w:p>
        </w:tc>
      </w:tr>
    </w:tbl>
    <w:p w:rsidR="00BC2100" w:rsidRDefault="00CC79F5">
      <w:pPr>
        <w:pStyle w:val="Heading1"/>
        <w:spacing w:before="340" w:after="160"/>
      </w:pPr>
      <w:r>
        <w:rPr>
          <w:b/>
          <w:bCs/>
          <w:color w:val="1F3864"/>
          <w:sz w:val="30"/>
          <w:szCs w:val="30"/>
        </w:rPr>
        <w:t>4.  Where the project stands today</w:t>
      </w:r>
    </w:p>
    <w:p w:rsidR="00BC2100" w:rsidRDefault="00CC79F5">
      <w:pPr>
        <w:spacing w:after="120" w:line="276" w:lineRule="auto"/>
      </w:pPr>
      <w:r>
        <w:t xml:space="preserve">Everything below has been done without any GPU compute. </w:t>
      </w:r>
      <w:proofErr w:type="gramStart"/>
      <w:r>
        <w:t>That was deliberate — see</w:t>
      </w:r>
      <w:proofErr w:type="gramEnd"/>
      <w:r>
        <w:t xml:space="preserve"> Section 7.</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4600"/>
        <w:gridCol w:w="1500"/>
        <w:gridCol w:w="2926"/>
      </w:tblGrid>
      <w:tr w:rsidR="00BC2100">
        <w:tblPrEx>
          <w:tblCellMar>
            <w:top w:w="0" w:type="dxa"/>
            <w:bottom w:w="0" w:type="dxa"/>
          </w:tblCellMar>
        </w:tblPrEx>
        <w:trPr>
          <w:tblHeader/>
        </w:trPr>
        <w:tc>
          <w:tcPr>
            <w:tcW w:w="46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Component</w:t>
            </w:r>
          </w:p>
        </w:tc>
        <w:tc>
          <w:tcPr>
            <w:tcW w:w="15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Status</w:t>
            </w:r>
          </w:p>
        </w:tc>
        <w:tc>
          <w:tcPr>
            <w:tcW w:w="29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Notes</w:t>
            </w:r>
          </w:p>
        </w:tc>
      </w:tr>
      <w:tr w:rsidR="00BC2100">
        <w:tblPrEx>
          <w:tblCellMar>
            <w:top w:w="0" w:type="dxa"/>
            <w:bottom w:w="0" w:type="dxa"/>
          </w:tblCellMar>
        </w:tblPrEx>
        <w:tc>
          <w:tcPr>
            <w:tcW w:w="4600" w:type="dxa"/>
            <w:tcMar>
              <w:top w:w="70" w:type="dxa"/>
              <w:left w:w="110" w:type="dxa"/>
              <w:bottom w:w="70" w:type="dxa"/>
              <w:right w:w="110" w:type="dxa"/>
            </w:tcMar>
            <w:vAlign w:val="center"/>
          </w:tcPr>
          <w:p w:rsidR="00BC2100" w:rsidRDefault="00CC79F5">
            <w:pPr>
              <w:spacing w:line="276" w:lineRule="auto"/>
            </w:pPr>
            <w:r>
              <w:rPr>
                <w:sz w:val="20"/>
                <w:szCs w:val="20"/>
              </w:rPr>
              <w:t>Research method, SOPs, decision/risk registers</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Done</w:t>
            </w:r>
          </w:p>
        </w:tc>
        <w:tc>
          <w:tcPr>
            <w:tcW w:w="2926" w:type="dxa"/>
            <w:tcMar>
              <w:top w:w="70" w:type="dxa"/>
              <w:left w:w="110" w:type="dxa"/>
              <w:bottom w:w="70" w:type="dxa"/>
              <w:right w:w="110" w:type="dxa"/>
            </w:tcMar>
            <w:vAlign w:val="center"/>
          </w:tcPr>
          <w:p w:rsidR="00BC2100" w:rsidRDefault="00CC79F5">
            <w:pPr>
              <w:spacing w:line="276" w:lineRule="auto"/>
            </w:pPr>
            <w:r>
              <w:rPr>
                <w:sz w:val="20"/>
                <w:szCs w:val="20"/>
              </w:rPr>
              <w:t>9 procedures, 4 append-only registers</w:t>
            </w:r>
          </w:p>
        </w:tc>
      </w:tr>
      <w:tr w:rsidR="00BC2100">
        <w:tblPrEx>
          <w:tblCellMar>
            <w:top w:w="0" w:type="dxa"/>
            <w:bottom w:w="0" w:type="dxa"/>
          </w:tblCellMar>
        </w:tblPrEx>
        <w:tc>
          <w:tcPr>
            <w:tcW w:w="4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Prior-art review and positioning</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Done</w:t>
            </w:r>
          </w:p>
        </w:tc>
        <w:tc>
          <w:tcPr>
            <w:tcW w:w="2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 xml:space="preserve">~12 papers; 4 </w:t>
            </w:r>
            <w:proofErr w:type="spellStart"/>
            <w:r>
              <w:rPr>
                <w:sz w:val="20"/>
                <w:szCs w:val="20"/>
              </w:rPr>
              <w:t>mis</w:t>
            </w:r>
            <w:proofErr w:type="spellEnd"/>
            <w:r>
              <w:rPr>
                <w:sz w:val="20"/>
                <w:szCs w:val="20"/>
              </w:rPr>
              <w:t>-citations traced and corrected</w:t>
            </w:r>
          </w:p>
        </w:tc>
      </w:tr>
      <w:tr w:rsidR="00BC2100">
        <w:tblPrEx>
          <w:tblCellMar>
            <w:top w:w="0" w:type="dxa"/>
            <w:bottom w:w="0" w:type="dxa"/>
          </w:tblCellMar>
        </w:tblPrEx>
        <w:tc>
          <w:tcPr>
            <w:tcW w:w="4600" w:type="dxa"/>
            <w:tcMar>
              <w:top w:w="70" w:type="dxa"/>
              <w:left w:w="110" w:type="dxa"/>
              <w:bottom w:w="70" w:type="dxa"/>
              <w:right w:w="110" w:type="dxa"/>
            </w:tcMar>
            <w:vAlign w:val="center"/>
          </w:tcPr>
          <w:p w:rsidR="00BC2100" w:rsidRDefault="00CC79F5">
            <w:pPr>
              <w:spacing w:line="276" w:lineRule="auto"/>
            </w:pPr>
            <w:r>
              <w:rPr>
                <w:sz w:val="20"/>
                <w:szCs w:val="20"/>
              </w:rPr>
              <w:t>Experimental design (hypotheses, ladder, controls)</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Done</w:t>
            </w:r>
          </w:p>
        </w:tc>
        <w:tc>
          <w:tcPr>
            <w:tcW w:w="2926" w:type="dxa"/>
            <w:tcMar>
              <w:top w:w="70" w:type="dxa"/>
              <w:left w:w="110" w:type="dxa"/>
              <w:bottom w:w="70" w:type="dxa"/>
              <w:right w:w="110" w:type="dxa"/>
            </w:tcMar>
            <w:vAlign w:val="center"/>
          </w:tcPr>
          <w:p w:rsidR="00BC2100" w:rsidRDefault="00CC79F5">
            <w:pPr>
              <w:spacing w:line="276" w:lineRule="auto"/>
            </w:pPr>
            <w:r>
              <w:rPr>
                <w:sz w:val="20"/>
                <w:szCs w:val="20"/>
              </w:rPr>
              <w:t>AMD-0001</w:t>
            </w:r>
          </w:p>
        </w:tc>
      </w:tr>
      <w:tr w:rsidR="00BC2100">
        <w:tblPrEx>
          <w:tblCellMar>
            <w:top w:w="0" w:type="dxa"/>
            <w:bottom w:w="0" w:type="dxa"/>
          </w:tblCellMar>
        </w:tblPrEx>
        <w:tc>
          <w:tcPr>
            <w:tcW w:w="4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Metrics and statistical analysis plan</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Done</w:t>
            </w:r>
          </w:p>
        </w:tc>
        <w:tc>
          <w:tcPr>
            <w:tcW w:w="2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AMD-0002</w:t>
            </w:r>
          </w:p>
        </w:tc>
      </w:tr>
      <w:tr w:rsidR="00BC2100">
        <w:tblPrEx>
          <w:tblCellMar>
            <w:top w:w="0" w:type="dxa"/>
            <w:bottom w:w="0" w:type="dxa"/>
          </w:tblCellMar>
        </w:tblPrEx>
        <w:tc>
          <w:tcPr>
            <w:tcW w:w="4600" w:type="dxa"/>
            <w:tcMar>
              <w:top w:w="70" w:type="dxa"/>
              <w:left w:w="110" w:type="dxa"/>
              <w:bottom w:w="70" w:type="dxa"/>
              <w:right w:w="110" w:type="dxa"/>
            </w:tcMar>
            <w:vAlign w:val="center"/>
          </w:tcPr>
          <w:p w:rsidR="00BC2100" w:rsidRDefault="00CC79F5">
            <w:pPr>
              <w:spacing w:line="276" w:lineRule="auto"/>
            </w:pPr>
            <w:r>
              <w:rPr>
                <w:sz w:val="20"/>
                <w:szCs w:val="20"/>
              </w:rPr>
              <w:t>Analysis pipeline (code)</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Done</w:t>
            </w:r>
          </w:p>
        </w:tc>
        <w:tc>
          <w:tcPr>
            <w:tcW w:w="2926" w:type="dxa"/>
            <w:tcMar>
              <w:top w:w="70" w:type="dxa"/>
              <w:left w:w="110" w:type="dxa"/>
              <w:bottom w:w="70" w:type="dxa"/>
              <w:right w:w="110" w:type="dxa"/>
            </w:tcMar>
            <w:vAlign w:val="center"/>
          </w:tcPr>
          <w:p w:rsidR="00BC2100" w:rsidRDefault="00CC79F5">
            <w:pPr>
              <w:spacing w:line="276" w:lineRule="auto"/>
            </w:pPr>
            <w:r>
              <w:rPr>
                <w:sz w:val="20"/>
                <w:szCs w:val="20"/>
              </w:rPr>
              <w:t>25 tests passing</w:t>
            </w:r>
          </w:p>
        </w:tc>
      </w:tr>
      <w:tr w:rsidR="00BC2100">
        <w:tblPrEx>
          <w:tblCellMar>
            <w:top w:w="0" w:type="dxa"/>
            <w:bottom w:w="0" w:type="dxa"/>
          </w:tblCellMar>
        </w:tblPrEx>
        <w:tc>
          <w:tcPr>
            <w:tcW w:w="4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Pipeline validation against planted effects</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Done</w:t>
            </w:r>
          </w:p>
        </w:tc>
        <w:tc>
          <w:tcPr>
            <w:tcW w:w="2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EXP-A01</w:t>
            </w:r>
          </w:p>
        </w:tc>
      </w:tr>
      <w:tr w:rsidR="00BC2100">
        <w:tblPrEx>
          <w:tblCellMar>
            <w:top w:w="0" w:type="dxa"/>
            <w:bottom w:w="0" w:type="dxa"/>
          </w:tblCellMar>
        </w:tblPrEx>
        <w:tc>
          <w:tcPr>
            <w:tcW w:w="4600" w:type="dxa"/>
            <w:tcMar>
              <w:top w:w="70" w:type="dxa"/>
              <w:left w:w="110" w:type="dxa"/>
              <w:bottom w:w="70" w:type="dxa"/>
              <w:right w:w="110" w:type="dxa"/>
            </w:tcMar>
            <w:vAlign w:val="center"/>
          </w:tcPr>
          <w:p w:rsidR="00BC2100" w:rsidRDefault="00CC79F5">
            <w:pPr>
              <w:spacing w:line="276" w:lineRule="auto"/>
            </w:pPr>
            <w:r>
              <w:rPr>
                <w:sz w:val="20"/>
                <w:szCs w:val="20"/>
              </w:rPr>
              <w:t>Power analysis → sample size</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Done</w:t>
            </w:r>
          </w:p>
        </w:tc>
        <w:tc>
          <w:tcPr>
            <w:tcW w:w="2926" w:type="dxa"/>
            <w:tcMar>
              <w:top w:w="70" w:type="dxa"/>
              <w:left w:w="110" w:type="dxa"/>
              <w:bottom w:w="70" w:type="dxa"/>
              <w:right w:w="110" w:type="dxa"/>
            </w:tcMar>
            <w:vAlign w:val="center"/>
          </w:tcPr>
          <w:p w:rsidR="00BC2100" w:rsidRDefault="00CC79F5">
            <w:pPr>
              <w:spacing w:line="276" w:lineRule="auto"/>
            </w:pPr>
            <w:r>
              <w:rPr>
                <w:sz w:val="20"/>
                <w:szCs w:val="20"/>
              </w:rPr>
              <w:t>EXP-A02</w:t>
            </w:r>
          </w:p>
        </w:tc>
      </w:tr>
      <w:tr w:rsidR="00BC2100">
        <w:tblPrEx>
          <w:tblCellMar>
            <w:top w:w="0" w:type="dxa"/>
            <w:bottom w:w="0" w:type="dxa"/>
          </w:tblCellMar>
        </w:tblPrEx>
        <w:tc>
          <w:tcPr>
            <w:tcW w:w="4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Fact suite</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Draft</w:t>
            </w:r>
          </w:p>
        </w:tc>
        <w:tc>
          <w:tcPr>
            <w:tcW w:w="2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31 candidates, awaiting validation</w:t>
            </w:r>
          </w:p>
        </w:tc>
      </w:tr>
      <w:tr w:rsidR="00BC2100">
        <w:tblPrEx>
          <w:tblCellMar>
            <w:top w:w="0" w:type="dxa"/>
            <w:bottom w:w="0" w:type="dxa"/>
          </w:tblCellMar>
        </w:tblPrEx>
        <w:tc>
          <w:tcPr>
            <w:tcW w:w="4600" w:type="dxa"/>
            <w:tcMar>
              <w:top w:w="70" w:type="dxa"/>
              <w:left w:w="110" w:type="dxa"/>
              <w:bottom w:w="70" w:type="dxa"/>
              <w:right w:w="110" w:type="dxa"/>
            </w:tcMar>
            <w:vAlign w:val="center"/>
          </w:tcPr>
          <w:p w:rsidR="00BC2100" w:rsidRDefault="00CC79F5">
            <w:pPr>
              <w:spacing w:line="276" w:lineRule="auto"/>
            </w:pPr>
            <w:r>
              <w:rPr>
                <w:sz w:val="20"/>
                <w:szCs w:val="20"/>
              </w:rPr>
              <w:t>Model pool selection</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Done</w:t>
            </w:r>
          </w:p>
        </w:tc>
        <w:tc>
          <w:tcPr>
            <w:tcW w:w="2926" w:type="dxa"/>
            <w:tcMar>
              <w:top w:w="70" w:type="dxa"/>
              <w:left w:w="110" w:type="dxa"/>
              <w:bottom w:w="70" w:type="dxa"/>
              <w:right w:w="110" w:type="dxa"/>
            </w:tcMar>
            <w:vAlign w:val="center"/>
          </w:tcPr>
          <w:p w:rsidR="00BC2100" w:rsidRDefault="00CC79F5">
            <w:pPr>
              <w:spacing w:line="276" w:lineRule="auto"/>
            </w:pPr>
            <w:r>
              <w:rPr>
                <w:sz w:val="20"/>
                <w:szCs w:val="20"/>
              </w:rPr>
              <w:t>4 families, all Apache-2.0</w:t>
            </w:r>
          </w:p>
        </w:tc>
      </w:tr>
      <w:tr w:rsidR="00BC2100">
        <w:tblPrEx>
          <w:tblCellMar>
            <w:top w:w="0" w:type="dxa"/>
            <w:bottom w:w="0" w:type="dxa"/>
          </w:tblCellMar>
        </w:tblPrEx>
        <w:tc>
          <w:tcPr>
            <w:tcW w:w="4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Release / dual-use position</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Done</w:t>
            </w:r>
          </w:p>
        </w:tc>
        <w:tc>
          <w:tcPr>
            <w:tcW w:w="2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DR-0011</w:t>
            </w:r>
          </w:p>
        </w:tc>
      </w:tr>
      <w:tr w:rsidR="00BC2100">
        <w:tblPrEx>
          <w:tblCellMar>
            <w:top w:w="0" w:type="dxa"/>
            <w:bottom w:w="0" w:type="dxa"/>
          </w:tblCellMar>
        </w:tblPrEx>
        <w:tc>
          <w:tcPr>
            <w:tcW w:w="4600" w:type="dxa"/>
            <w:tcMar>
              <w:top w:w="70" w:type="dxa"/>
              <w:left w:w="110" w:type="dxa"/>
              <w:bottom w:w="70" w:type="dxa"/>
              <w:right w:w="110" w:type="dxa"/>
            </w:tcMar>
            <w:vAlign w:val="center"/>
          </w:tcPr>
          <w:p w:rsidR="00BC2100" w:rsidRDefault="00CC79F5">
            <w:pPr>
              <w:spacing w:line="276" w:lineRule="auto"/>
            </w:pPr>
            <w:r>
              <w:rPr>
                <w:sz w:val="20"/>
                <w:szCs w:val="20"/>
              </w:rPr>
              <w:t>Simulation engine</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Next</w:t>
            </w:r>
          </w:p>
        </w:tc>
        <w:tc>
          <w:tcPr>
            <w:tcW w:w="2926" w:type="dxa"/>
            <w:tcMar>
              <w:top w:w="70" w:type="dxa"/>
              <w:left w:w="110" w:type="dxa"/>
              <w:bottom w:w="70" w:type="dxa"/>
              <w:right w:w="110" w:type="dxa"/>
            </w:tcMar>
            <w:vAlign w:val="center"/>
          </w:tcPr>
          <w:p w:rsidR="00BC2100" w:rsidRDefault="00CC79F5">
            <w:pPr>
              <w:spacing w:line="276" w:lineRule="auto"/>
            </w:pPr>
            <w:r>
              <w:rPr>
                <w:sz w:val="20"/>
                <w:szCs w:val="20"/>
              </w:rPr>
              <w:t>Buildable without GPU using a stub agent</w:t>
            </w:r>
          </w:p>
        </w:tc>
      </w:tr>
      <w:tr w:rsidR="00BC2100">
        <w:tblPrEx>
          <w:tblCellMar>
            <w:top w:w="0" w:type="dxa"/>
            <w:bottom w:w="0" w:type="dxa"/>
          </w:tblCellMar>
        </w:tblPrEx>
        <w:tc>
          <w:tcPr>
            <w:tcW w:w="4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Pilot experiment (EXP-000)</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Blocked on compute</w:t>
            </w:r>
          </w:p>
        </w:tc>
        <w:tc>
          <w:tcPr>
            <w:tcW w:w="2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Needs ~$5 of GPU time</w:t>
            </w:r>
          </w:p>
        </w:tc>
      </w:tr>
      <w:tr w:rsidR="00BC2100">
        <w:tblPrEx>
          <w:tblCellMar>
            <w:top w:w="0" w:type="dxa"/>
            <w:bottom w:w="0" w:type="dxa"/>
          </w:tblCellMar>
        </w:tblPrEx>
        <w:tc>
          <w:tcPr>
            <w:tcW w:w="4600" w:type="dxa"/>
            <w:tcMar>
              <w:top w:w="70" w:type="dxa"/>
              <w:left w:w="110" w:type="dxa"/>
              <w:bottom w:w="70" w:type="dxa"/>
              <w:right w:w="110" w:type="dxa"/>
            </w:tcMar>
            <w:vAlign w:val="center"/>
          </w:tcPr>
          <w:p w:rsidR="00BC2100" w:rsidRDefault="00CC79F5">
            <w:pPr>
              <w:spacing w:line="276" w:lineRule="auto"/>
            </w:pPr>
            <w:r>
              <w:rPr>
                <w:sz w:val="20"/>
                <w:szCs w:val="20"/>
              </w:rPr>
              <w:t>Main experiment</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Not started</w:t>
            </w:r>
          </w:p>
        </w:tc>
        <w:tc>
          <w:tcPr>
            <w:tcW w:w="2926" w:type="dxa"/>
            <w:tcMar>
              <w:top w:w="70" w:type="dxa"/>
              <w:left w:w="110" w:type="dxa"/>
              <w:bottom w:w="70" w:type="dxa"/>
              <w:right w:w="110" w:type="dxa"/>
            </w:tcMar>
            <w:vAlign w:val="center"/>
          </w:tcPr>
          <w:p w:rsidR="00BC2100" w:rsidRDefault="00CC79F5">
            <w:pPr>
              <w:spacing w:line="276" w:lineRule="auto"/>
            </w:pPr>
            <w:r>
              <w:rPr>
                <w:sz w:val="20"/>
                <w:szCs w:val="20"/>
              </w:rPr>
              <w:t>Gated on the pilot</w:t>
            </w:r>
          </w:p>
        </w:tc>
      </w:tr>
    </w:tbl>
    <w:p w:rsidR="00BC2100" w:rsidRDefault="00BC2100">
      <w:pPr>
        <w:spacing w:after="120" w:line="276" w:lineRule="auto"/>
      </w:pPr>
    </w:p>
    <w:p w:rsidR="00BC2100" w:rsidRDefault="00CC79F5">
      <w:pPr>
        <w:spacing w:after="120" w:line="276" w:lineRule="auto"/>
      </w:pPr>
      <w:r>
        <w:rPr>
          <w:b/>
          <w:bCs/>
        </w:rPr>
        <w:t xml:space="preserve">Design-freeze gate: 10 of 18 evidence requirements closed. </w:t>
      </w:r>
      <w:r>
        <w:t>Of the 8 remaining, 5 need GPU time — and all 5 are satisfied by a single pilot run estimated at four to six GPU-hours.</w:t>
      </w:r>
    </w:p>
    <w:p w:rsidR="00BC2100" w:rsidRDefault="00CC79F5">
      <w:pPr>
        <w:pStyle w:val="Heading1"/>
        <w:spacing w:before="340" w:after="160"/>
      </w:pPr>
      <w:r>
        <w:rPr>
          <w:b/>
          <w:bCs/>
          <w:color w:val="1F3864"/>
          <w:sz w:val="30"/>
          <w:szCs w:val="30"/>
        </w:rPr>
        <w:t>5.  Two results we already have</w:t>
      </w:r>
    </w:p>
    <w:p w:rsidR="00BC2100" w:rsidRDefault="00CC79F5">
      <w:pPr>
        <w:spacing w:after="120" w:line="276" w:lineRule="auto"/>
      </w:pPr>
      <w:r>
        <w:t>These are not about the research question — they are about whether our instruments work. Both cost nothing and both changed the design.</w:t>
      </w:r>
    </w:p>
    <w:p w:rsidR="00BC2100" w:rsidRDefault="00CC79F5">
      <w:pPr>
        <w:pStyle w:val="Heading2"/>
        <w:spacing w:before="240" w:after="110"/>
      </w:pPr>
      <w:r>
        <w:rPr>
          <w:b/>
          <w:bCs/>
          <w:color w:val="1F3864"/>
          <w:sz w:val="24"/>
          <w:szCs w:val="24"/>
        </w:rPr>
        <w:t>EXP-A01: the analysis pipeline does not invent findings</w:t>
      </w:r>
    </w:p>
    <w:p w:rsidR="00BC2100" w:rsidRDefault="00CC79F5">
      <w:pPr>
        <w:spacing w:after="120" w:line="276" w:lineRule="auto"/>
      </w:pPr>
      <w:r>
        <w:t>Before touching real data we generated synthetic data with a kno</w:t>
      </w:r>
      <w:r>
        <w:t>wn planted effect and checked that the pipeline recovers it — and, more importantly, that it finds nothing when nothing is there.</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4200"/>
        <w:gridCol w:w="2400"/>
        <w:gridCol w:w="2426"/>
      </w:tblGrid>
      <w:tr w:rsidR="00BC2100">
        <w:tblPrEx>
          <w:tblCellMar>
            <w:top w:w="0" w:type="dxa"/>
            <w:bottom w:w="0" w:type="dxa"/>
          </w:tblCellMar>
        </w:tblPrEx>
        <w:trPr>
          <w:tblHeader/>
        </w:trPr>
        <w:tc>
          <w:tcPr>
            <w:tcW w:w="42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Check</w:t>
            </w:r>
          </w:p>
        </w:tc>
        <w:tc>
          <w:tcPr>
            <w:tcW w:w="24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Result</w:t>
            </w:r>
          </w:p>
        </w:tc>
        <w:tc>
          <w:tcPr>
            <w:tcW w:w="24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Verdict</w:t>
            </w:r>
          </w:p>
        </w:tc>
      </w:tr>
      <w:tr w:rsidR="00BC2100">
        <w:tblPrEx>
          <w:tblCellMar>
            <w:top w:w="0" w:type="dxa"/>
            <w:bottom w:w="0" w:type="dxa"/>
          </w:tblCellMar>
        </w:tblPrEx>
        <w:tc>
          <w:tcPr>
            <w:tcW w:w="4200" w:type="dxa"/>
            <w:tcMar>
              <w:top w:w="70" w:type="dxa"/>
              <w:left w:w="110" w:type="dxa"/>
              <w:bottom w:w="70" w:type="dxa"/>
              <w:right w:w="110" w:type="dxa"/>
            </w:tcMar>
            <w:vAlign w:val="center"/>
          </w:tcPr>
          <w:p w:rsidR="00BC2100" w:rsidRDefault="00CC79F5">
            <w:pPr>
              <w:spacing w:line="276" w:lineRule="auto"/>
            </w:pPr>
            <w:r>
              <w:rPr>
                <w:sz w:val="20"/>
                <w:szCs w:val="20"/>
              </w:rPr>
              <w:t>Recovers a planted effect</w:t>
            </w:r>
          </w:p>
        </w:tc>
        <w:tc>
          <w:tcPr>
            <w:tcW w:w="2400" w:type="dxa"/>
            <w:tcMar>
              <w:top w:w="70" w:type="dxa"/>
              <w:left w:w="110" w:type="dxa"/>
              <w:bottom w:w="70" w:type="dxa"/>
              <w:right w:w="110" w:type="dxa"/>
            </w:tcMar>
            <w:vAlign w:val="center"/>
          </w:tcPr>
          <w:p w:rsidR="00BC2100" w:rsidRDefault="00CC79F5">
            <w:pPr>
              <w:spacing w:line="276" w:lineRule="auto"/>
            </w:pPr>
            <w:r>
              <w:rPr>
                <w:sz w:val="20"/>
                <w:szCs w:val="20"/>
              </w:rPr>
              <w:t>Bias under 3%</w:t>
            </w:r>
          </w:p>
        </w:tc>
        <w:tc>
          <w:tcPr>
            <w:tcW w:w="2426" w:type="dxa"/>
            <w:tcMar>
              <w:top w:w="70" w:type="dxa"/>
              <w:left w:w="110" w:type="dxa"/>
              <w:bottom w:w="70" w:type="dxa"/>
              <w:right w:w="110" w:type="dxa"/>
            </w:tcMar>
            <w:vAlign w:val="center"/>
          </w:tcPr>
          <w:p w:rsidR="00BC2100" w:rsidRDefault="00CC79F5">
            <w:pPr>
              <w:spacing w:line="276" w:lineRule="auto"/>
            </w:pPr>
            <w:r>
              <w:rPr>
                <w:sz w:val="20"/>
                <w:szCs w:val="20"/>
              </w:rPr>
              <w:t>Pass</w:t>
            </w:r>
          </w:p>
        </w:tc>
      </w:tr>
      <w:tr w:rsidR="00BC2100">
        <w:tblPrEx>
          <w:tblCellMar>
            <w:top w:w="0" w:type="dxa"/>
            <w:bottom w:w="0" w:type="dxa"/>
          </w:tblCellMar>
        </w:tblPrEx>
        <w:tc>
          <w:tcPr>
            <w:tcW w:w="42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lastRenderedPageBreak/>
              <w:t>Standard errors correctly sized</w:t>
            </w:r>
          </w:p>
        </w:tc>
        <w:tc>
          <w:tcPr>
            <w:tcW w:w="2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SE / observed SD = 0.94–1.07</w:t>
            </w:r>
          </w:p>
        </w:tc>
        <w:tc>
          <w:tcPr>
            <w:tcW w:w="24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Pass</w:t>
            </w:r>
          </w:p>
        </w:tc>
      </w:tr>
      <w:tr w:rsidR="00BC2100">
        <w:tblPrEx>
          <w:tblCellMar>
            <w:top w:w="0" w:type="dxa"/>
            <w:bottom w:w="0" w:type="dxa"/>
          </w:tblCellMar>
        </w:tblPrEx>
        <w:tc>
          <w:tcPr>
            <w:tcW w:w="4200" w:type="dxa"/>
            <w:tcMar>
              <w:top w:w="70" w:type="dxa"/>
              <w:left w:w="110" w:type="dxa"/>
              <w:bottom w:w="70" w:type="dxa"/>
              <w:right w:w="110" w:type="dxa"/>
            </w:tcMar>
            <w:vAlign w:val="center"/>
          </w:tcPr>
          <w:p w:rsidR="00BC2100" w:rsidRDefault="00CC79F5">
            <w:pPr>
              <w:spacing w:line="276" w:lineRule="auto"/>
            </w:pPr>
            <w:r>
              <w:rPr>
                <w:sz w:val="20"/>
                <w:szCs w:val="20"/>
              </w:rPr>
              <w:t>False positives on null data</w:t>
            </w:r>
          </w:p>
        </w:tc>
        <w:tc>
          <w:tcPr>
            <w:tcW w:w="2400" w:type="dxa"/>
            <w:tcMar>
              <w:top w:w="70" w:type="dxa"/>
              <w:left w:w="110" w:type="dxa"/>
              <w:bottom w:w="70" w:type="dxa"/>
              <w:right w:w="110" w:type="dxa"/>
            </w:tcMar>
            <w:vAlign w:val="center"/>
          </w:tcPr>
          <w:p w:rsidR="00BC2100" w:rsidRDefault="00CC79F5">
            <w:pPr>
              <w:spacing w:line="276" w:lineRule="auto"/>
            </w:pPr>
            <w:r>
              <w:rPr>
                <w:sz w:val="20"/>
                <w:szCs w:val="20"/>
              </w:rPr>
              <w:t>6.0–6.7% vs nominal 5%</w:t>
            </w:r>
          </w:p>
        </w:tc>
        <w:tc>
          <w:tcPr>
            <w:tcW w:w="2426" w:type="dxa"/>
            <w:tcMar>
              <w:top w:w="70" w:type="dxa"/>
              <w:left w:w="110" w:type="dxa"/>
              <w:bottom w:w="70" w:type="dxa"/>
              <w:right w:w="110" w:type="dxa"/>
            </w:tcMar>
            <w:vAlign w:val="center"/>
          </w:tcPr>
          <w:p w:rsidR="00BC2100" w:rsidRDefault="00CC79F5">
            <w:pPr>
              <w:spacing w:line="276" w:lineRule="auto"/>
            </w:pPr>
            <w:r>
              <w:rPr>
                <w:sz w:val="20"/>
                <w:szCs w:val="20"/>
              </w:rPr>
              <w:t>Pass</w:t>
            </w:r>
          </w:p>
        </w:tc>
      </w:tr>
      <w:tr w:rsidR="00BC2100">
        <w:tblPrEx>
          <w:tblCellMar>
            <w:top w:w="0" w:type="dxa"/>
            <w:bottom w:w="0" w:type="dxa"/>
          </w:tblCellMar>
        </w:tblPrEx>
        <w:tc>
          <w:tcPr>
            <w:tcW w:w="42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Same null data, naive standard errors</w:t>
            </w:r>
          </w:p>
        </w:tc>
        <w:tc>
          <w:tcPr>
            <w:tcW w:w="2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12.0%</w:t>
            </w:r>
          </w:p>
        </w:tc>
        <w:tc>
          <w:tcPr>
            <w:tcW w:w="24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Would have failed</w:t>
            </w:r>
          </w:p>
        </w:tc>
      </w:tr>
    </w:tbl>
    <w:p w:rsidR="00BC2100" w:rsidRDefault="00CC79F5">
      <w:pPr>
        <w:spacing w:after="120" w:line="276" w:lineRule="auto"/>
      </w:pPr>
      <w:r>
        <w:rPr>
          <w:b/>
          <w:bCs/>
        </w:rPr>
        <w:t xml:space="preserve">That last row is the point. </w:t>
      </w:r>
      <w:r>
        <w:t xml:space="preserve">Agents inside one run are not independent — they share a network, a fact and a seed, and they talk to each other. Treating them as independent doubles the false-positive rate. Roughly one in five of our “significant” findings would have been noise, and no </w:t>
      </w:r>
      <w:r>
        <w:t>amount of care later would have caught it.</w:t>
      </w:r>
    </w:p>
    <w:p w:rsidR="00BC2100" w:rsidRDefault="00CC79F5">
      <w:pPr>
        <w:pStyle w:val="Heading2"/>
        <w:spacing w:before="240" w:after="110"/>
      </w:pPr>
      <w:r>
        <w:rPr>
          <w:b/>
          <w:bCs/>
          <w:color w:val="1F3864"/>
          <w:sz w:val="24"/>
          <w:szCs w:val="24"/>
        </w:rPr>
        <w:t>EXP-A02: the sample size, and a smallest effect we can actually detect</w:t>
      </w:r>
    </w:p>
    <w:p w:rsidR="00BC2100" w:rsidRDefault="00CC79F5">
      <w:pPr>
        <w:spacing w:after="120" w:line="276" w:lineRule="auto"/>
      </w:pPr>
      <w:r>
        <w:t>We simulated statistical power using the same estimator that will analyse the real data. Three findings changed the design:</w:t>
      </w:r>
    </w:p>
    <w:p w:rsidR="00BC2100" w:rsidRDefault="00CC79F5">
      <w:pPr>
        <w:pStyle w:val="ListParagraph"/>
        <w:numPr>
          <w:ilvl w:val="0"/>
          <w:numId w:val="2"/>
        </w:numPr>
        <w:spacing w:after="90" w:line="276" w:lineRule="auto"/>
      </w:pPr>
      <w:r>
        <w:rPr>
          <w:b/>
          <w:bCs/>
        </w:rPr>
        <w:t xml:space="preserve">The effect size we originally proposed as “worth detecting” was unreachable. </w:t>
      </w:r>
      <w:r>
        <w:t xml:space="preserve">It would have needed roughly 600 runs. We revised it to a one-third reduction in capitulation hazard, which needs about 140 — and is below the effect sizes reported in comparable </w:t>
      </w:r>
      <w:r>
        <w:t>published work.</w:t>
      </w:r>
    </w:p>
    <w:p w:rsidR="00BC2100" w:rsidRDefault="00CC79F5">
      <w:pPr>
        <w:pStyle w:val="ListParagraph"/>
        <w:numPr>
          <w:ilvl w:val="0"/>
          <w:numId w:val="2"/>
        </w:numPr>
        <w:spacing w:after="90" w:line="276" w:lineRule="auto"/>
      </w:pPr>
      <w:r>
        <w:rPr>
          <w:b/>
          <w:bCs/>
        </w:rPr>
        <w:t xml:space="preserve">More rounds buy almost no statistical power. </w:t>
      </w:r>
      <w:r>
        <w:t>Going from 3 rounds to 10 multiplies observations by 2.4 but moves power from 0.92 to 0.97, because extra rounds add correlated observations within the same runs. So the number of rounds is set p</w:t>
      </w:r>
      <w:r>
        <w:t>urely by the science — how long cascades take — and not by statistics.</w:t>
      </w:r>
    </w:p>
    <w:p w:rsidR="00BC2100" w:rsidRDefault="00CC79F5">
      <w:pPr>
        <w:pStyle w:val="ListParagraph"/>
        <w:numPr>
          <w:ilvl w:val="0"/>
          <w:numId w:val="2"/>
        </w:numPr>
        <w:spacing w:after="90" w:line="276" w:lineRule="auto"/>
      </w:pPr>
      <w:r>
        <w:rPr>
          <w:b/>
          <w:bCs/>
        </w:rPr>
        <w:t xml:space="preserve">Runs matter more than agents, which matter more than rounds. </w:t>
      </w:r>
      <w:r>
        <w:t>When compute is tight, cut agents and rounds before cutting runs. Design settled at 200 runs, 20 agents.</w:t>
      </w:r>
    </w:p>
    <w:p w:rsidR="00BC2100" w:rsidRDefault="00CC79F5">
      <w:pPr>
        <w:pStyle w:val="Heading1"/>
        <w:spacing w:before="340" w:after="160"/>
      </w:pPr>
      <w:r>
        <w:rPr>
          <w:b/>
          <w:bCs/>
          <w:color w:val="1F3864"/>
          <w:sz w:val="30"/>
          <w:szCs w:val="30"/>
        </w:rPr>
        <w:t xml:space="preserve">6.  What is hard — </w:t>
      </w:r>
      <w:r>
        <w:rPr>
          <w:b/>
          <w:bCs/>
          <w:color w:val="1F3864"/>
          <w:sz w:val="30"/>
          <w:szCs w:val="30"/>
        </w:rPr>
        <w:t>stated plainly</w:t>
      </w:r>
    </w:p>
    <w:p w:rsidR="00BC2100" w:rsidRDefault="00CC79F5">
      <w:pPr>
        <w:spacing w:after="120" w:line="276" w:lineRule="auto"/>
      </w:pPr>
      <w:r>
        <w:t>You should know these before agreeing to anything.</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2400"/>
        <w:gridCol w:w="3400"/>
        <w:gridCol w:w="3226"/>
      </w:tblGrid>
      <w:tr w:rsidR="00BC2100">
        <w:tblPrEx>
          <w:tblCellMar>
            <w:top w:w="0" w:type="dxa"/>
            <w:bottom w:w="0" w:type="dxa"/>
          </w:tblCellMar>
        </w:tblPrEx>
        <w:trPr>
          <w:tblHeader/>
        </w:trPr>
        <w:tc>
          <w:tcPr>
            <w:tcW w:w="24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Risk</w:t>
            </w:r>
          </w:p>
        </w:tc>
        <w:tc>
          <w:tcPr>
            <w:tcW w:w="34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Reality</w:t>
            </w:r>
          </w:p>
        </w:tc>
        <w:tc>
          <w:tcPr>
            <w:tcW w:w="32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How we handle it</w:t>
            </w:r>
          </w:p>
        </w:tc>
      </w:tr>
      <w:tr w:rsidR="00BC2100">
        <w:tblPrEx>
          <w:tblCellMar>
            <w:top w:w="0" w:type="dxa"/>
            <w:bottom w:w="0" w:type="dxa"/>
          </w:tblCellMar>
        </w:tblPrEx>
        <w:tc>
          <w:tcPr>
            <w:tcW w:w="2400" w:type="dxa"/>
            <w:tcMar>
              <w:top w:w="70" w:type="dxa"/>
              <w:left w:w="110" w:type="dxa"/>
              <w:bottom w:w="70" w:type="dxa"/>
              <w:right w:w="110" w:type="dxa"/>
            </w:tcMar>
            <w:vAlign w:val="center"/>
          </w:tcPr>
          <w:p w:rsidR="00BC2100" w:rsidRDefault="00CC79F5">
            <w:pPr>
              <w:spacing w:line="276" w:lineRule="auto"/>
            </w:pPr>
            <w:r>
              <w:rPr>
                <w:sz w:val="20"/>
                <w:szCs w:val="20"/>
              </w:rPr>
              <w:t>We get scooped</w:t>
            </w:r>
          </w:p>
        </w:tc>
        <w:tc>
          <w:tcPr>
            <w:tcW w:w="3400" w:type="dxa"/>
            <w:tcMar>
              <w:top w:w="70" w:type="dxa"/>
              <w:left w:w="110" w:type="dxa"/>
              <w:bottom w:w="70" w:type="dxa"/>
              <w:right w:w="110" w:type="dxa"/>
            </w:tcMar>
            <w:vAlign w:val="center"/>
          </w:tcPr>
          <w:p w:rsidR="00BC2100" w:rsidRDefault="00CC79F5">
            <w:pPr>
              <w:spacing w:line="276" w:lineRule="auto"/>
            </w:pPr>
            <w:r>
              <w:rPr>
                <w:sz w:val="20"/>
                <w:szCs w:val="20"/>
              </w:rPr>
              <w:t>An established lab (</w:t>
            </w:r>
            <w:proofErr w:type="spellStart"/>
            <w:r>
              <w:rPr>
                <w:sz w:val="20"/>
                <w:szCs w:val="20"/>
              </w:rPr>
              <w:t>Göttingen</w:t>
            </w:r>
            <w:proofErr w:type="spellEnd"/>
            <w:r>
              <w:rPr>
                <w:sz w:val="20"/>
                <w:szCs w:val="20"/>
              </w:rPr>
              <w:t>) publicly named both of our axes as their next step in June 2026</w:t>
            </w:r>
          </w:p>
        </w:tc>
        <w:tc>
          <w:tcPr>
            <w:tcW w:w="3226" w:type="dxa"/>
            <w:tcMar>
              <w:top w:w="70" w:type="dxa"/>
              <w:left w:w="110" w:type="dxa"/>
              <w:bottom w:w="70" w:type="dxa"/>
              <w:right w:w="110" w:type="dxa"/>
            </w:tcMar>
            <w:vAlign w:val="center"/>
          </w:tcPr>
          <w:p w:rsidR="00BC2100" w:rsidRDefault="00CC79F5">
            <w:pPr>
              <w:spacing w:line="276" w:lineRule="auto"/>
            </w:pPr>
            <w:r>
              <w:rPr>
                <w:sz w:val="20"/>
                <w:szCs w:val="20"/>
              </w:rPr>
              <w:t>Compete on the capability-matched, multi-round version they cannot cheaply retrofit; post the preprint early; re-sweep the literature before submission</w:t>
            </w:r>
          </w:p>
        </w:tc>
      </w:tr>
      <w:tr w:rsidR="00BC2100">
        <w:tblPrEx>
          <w:tblCellMar>
            <w:top w:w="0" w:type="dxa"/>
            <w:bottom w:w="0" w:type="dxa"/>
          </w:tblCellMar>
        </w:tblPrEx>
        <w:tc>
          <w:tcPr>
            <w:tcW w:w="2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No GPU funding</w:t>
            </w:r>
          </w:p>
        </w:tc>
        <w:tc>
          <w:tcPr>
            <w:tcW w:w="3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The original $280 credit pool expired. Currently unfunded</w:t>
            </w:r>
          </w:p>
        </w:tc>
        <w:tc>
          <w:tcPr>
            <w:tcW w:w="32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All work so far is GPU-free. The pilot fits in a recurring free monthly credit. Institutional compute is the main ask (Section 10)</w:t>
            </w:r>
          </w:p>
        </w:tc>
      </w:tr>
      <w:tr w:rsidR="00BC2100">
        <w:tblPrEx>
          <w:tblCellMar>
            <w:top w:w="0" w:type="dxa"/>
            <w:bottom w:w="0" w:type="dxa"/>
          </w:tblCellMar>
        </w:tblPrEx>
        <w:tc>
          <w:tcPr>
            <w:tcW w:w="2400" w:type="dxa"/>
            <w:tcMar>
              <w:top w:w="70" w:type="dxa"/>
              <w:left w:w="110" w:type="dxa"/>
              <w:bottom w:w="70" w:type="dxa"/>
              <w:right w:w="110" w:type="dxa"/>
            </w:tcMar>
            <w:vAlign w:val="center"/>
          </w:tcPr>
          <w:p w:rsidR="00BC2100" w:rsidRDefault="00CC79F5">
            <w:pPr>
              <w:spacing w:line="276" w:lineRule="auto"/>
            </w:pPr>
            <w:r>
              <w:rPr>
                <w:sz w:val="20"/>
                <w:szCs w:val="20"/>
              </w:rPr>
              <w:t>The hypothesis is wrong</w:t>
            </w:r>
          </w:p>
        </w:tc>
        <w:tc>
          <w:tcPr>
            <w:tcW w:w="3400" w:type="dxa"/>
            <w:tcMar>
              <w:top w:w="70" w:type="dxa"/>
              <w:left w:w="110" w:type="dxa"/>
              <w:bottom w:w="70" w:type="dxa"/>
              <w:right w:w="110" w:type="dxa"/>
            </w:tcMar>
            <w:vAlign w:val="center"/>
          </w:tcPr>
          <w:p w:rsidR="00BC2100" w:rsidRDefault="00CC79F5">
            <w:pPr>
              <w:spacing w:line="276" w:lineRule="auto"/>
            </w:pPr>
            <w:r>
              <w:rPr>
                <w:sz w:val="20"/>
                <w:szCs w:val="20"/>
              </w:rPr>
              <w:t>Genuinely possible — one paper suggests heterogeneity does not help in accuracy-oriented settings</w:t>
            </w:r>
          </w:p>
        </w:tc>
        <w:tc>
          <w:tcPr>
            <w:tcW w:w="3226" w:type="dxa"/>
            <w:tcMar>
              <w:top w:w="70" w:type="dxa"/>
              <w:left w:w="110" w:type="dxa"/>
              <w:bottom w:w="70" w:type="dxa"/>
              <w:right w:w="110" w:type="dxa"/>
            </w:tcMar>
            <w:vAlign w:val="center"/>
          </w:tcPr>
          <w:p w:rsidR="00BC2100" w:rsidRDefault="00CC79F5">
            <w:pPr>
              <w:spacing w:line="276" w:lineRule="auto"/>
            </w:pPr>
            <w:r>
              <w:rPr>
                <w:sz w:val="20"/>
                <w:szCs w:val="20"/>
              </w:rPr>
              <w:t>We committed in writing, before any data, to publishing a null as a null. The framework, benchmark and measurement protocol are contributions either way</w:t>
            </w:r>
          </w:p>
        </w:tc>
      </w:tr>
      <w:tr w:rsidR="00BC2100">
        <w:tblPrEx>
          <w:tblCellMar>
            <w:top w:w="0" w:type="dxa"/>
            <w:bottom w:w="0" w:type="dxa"/>
          </w:tblCellMar>
        </w:tblPrEx>
        <w:tc>
          <w:tcPr>
            <w:tcW w:w="2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The measurement does not work</w:t>
            </w:r>
          </w:p>
        </w:tc>
        <w:tc>
          <w:tcPr>
            <w:tcW w:w="3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The whole study rests on being able to read an agent’s belief reliably</w:t>
            </w:r>
          </w:p>
        </w:tc>
        <w:tc>
          <w:tcPr>
            <w:tcW w:w="32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 xml:space="preserve">Stop-and-redesign criteria written in advance; the pilot tests them before </w:t>
            </w:r>
            <w:r>
              <w:rPr>
                <w:sz w:val="20"/>
                <w:szCs w:val="20"/>
              </w:rPr>
              <w:lastRenderedPageBreak/>
              <w:t>anything else is run</w:t>
            </w:r>
          </w:p>
        </w:tc>
      </w:tr>
      <w:tr w:rsidR="00BC2100">
        <w:tblPrEx>
          <w:tblCellMar>
            <w:top w:w="0" w:type="dxa"/>
            <w:bottom w:w="0" w:type="dxa"/>
          </w:tblCellMar>
        </w:tblPrEx>
        <w:tc>
          <w:tcPr>
            <w:tcW w:w="2400" w:type="dxa"/>
            <w:tcMar>
              <w:top w:w="70" w:type="dxa"/>
              <w:left w:w="110" w:type="dxa"/>
              <w:bottom w:w="70" w:type="dxa"/>
              <w:right w:w="110" w:type="dxa"/>
            </w:tcMar>
            <w:vAlign w:val="center"/>
          </w:tcPr>
          <w:p w:rsidR="00BC2100" w:rsidRDefault="00CC79F5">
            <w:pPr>
              <w:spacing w:line="276" w:lineRule="auto"/>
            </w:pPr>
            <w:r>
              <w:rPr>
                <w:sz w:val="20"/>
                <w:szCs w:val="20"/>
              </w:rPr>
              <w:lastRenderedPageBreak/>
              <w:t>Timeline slips</w:t>
            </w:r>
          </w:p>
        </w:tc>
        <w:tc>
          <w:tcPr>
            <w:tcW w:w="3400" w:type="dxa"/>
            <w:tcMar>
              <w:top w:w="70" w:type="dxa"/>
              <w:left w:w="110" w:type="dxa"/>
              <w:bottom w:w="70" w:type="dxa"/>
              <w:right w:w="110" w:type="dxa"/>
            </w:tcMar>
            <w:vAlign w:val="center"/>
          </w:tcPr>
          <w:p w:rsidR="00BC2100" w:rsidRDefault="00CC79F5">
            <w:pPr>
              <w:spacing w:line="276" w:lineRule="auto"/>
            </w:pPr>
            <w:r>
              <w:rPr>
                <w:sz w:val="20"/>
                <w:szCs w:val="20"/>
              </w:rPr>
              <w:t>The original 8-week plan did not survive contact with reality</w:t>
            </w:r>
          </w:p>
        </w:tc>
        <w:tc>
          <w:tcPr>
            <w:tcW w:w="3226" w:type="dxa"/>
            <w:tcMar>
              <w:top w:w="70" w:type="dxa"/>
              <w:left w:w="110" w:type="dxa"/>
              <w:bottom w:w="70" w:type="dxa"/>
              <w:right w:w="110" w:type="dxa"/>
            </w:tcMar>
            <w:vAlign w:val="center"/>
          </w:tcPr>
          <w:p w:rsidR="00BC2100" w:rsidRDefault="00CC79F5">
            <w:pPr>
              <w:spacing w:line="276" w:lineRule="auto"/>
            </w:pPr>
            <w:r>
              <w:rPr>
                <w:sz w:val="20"/>
                <w:szCs w:val="20"/>
              </w:rPr>
              <w:t xml:space="preserve">We hold the quality gate and let the date move. The </w:t>
            </w:r>
            <w:proofErr w:type="spellStart"/>
            <w:r>
              <w:rPr>
                <w:sz w:val="20"/>
                <w:szCs w:val="20"/>
              </w:rPr>
              <w:t>arXiv</w:t>
            </w:r>
            <w:proofErr w:type="spellEnd"/>
            <w:r>
              <w:rPr>
                <w:sz w:val="20"/>
                <w:szCs w:val="20"/>
              </w:rPr>
              <w:t xml:space="preserve"> preprint is deadline-independent</w:t>
            </w:r>
          </w:p>
        </w:tc>
      </w:tr>
    </w:tbl>
    <w:p w:rsidR="00BC2100" w:rsidRDefault="00CC79F5">
      <w:pPr>
        <w:pStyle w:val="Heading1"/>
        <w:spacing w:before="340" w:after="160"/>
      </w:pPr>
      <w:r>
        <w:rPr>
          <w:b/>
          <w:bCs/>
          <w:color w:val="1F3864"/>
          <w:sz w:val="30"/>
          <w:szCs w:val="30"/>
        </w:rPr>
        <w:t>7.  How we would work</w:t>
      </w:r>
    </w:p>
    <w:p w:rsidR="00BC2100" w:rsidRDefault="00CC79F5">
      <w:pPr>
        <w:spacing w:after="120" w:line="276" w:lineRule="auto"/>
      </w:pPr>
      <w:r>
        <w:t>The repository is not just code — it is the lab notebook. Four things are worth knowing because they will shape day-to-day work:</w:t>
      </w:r>
    </w:p>
    <w:p w:rsidR="00BC2100" w:rsidRDefault="00CC79F5">
      <w:pPr>
        <w:pStyle w:val="ListParagraph"/>
        <w:numPr>
          <w:ilvl w:val="0"/>
          <w:numId w:val="3"/>
        </w:numPr>
        <w:spacing w:after="90" w:line="276" w:lineRule="auto"/>
      </w:pPr>
      <w:r>
        <w:t>Append-only registers. Decisions, open questions and risks each have a numbered register. We never edit history; we supersede it. Anyone can see why the project looks the way it does.</w:t>
      </w:r>
    </w:p>
    <w:p w:rsidR="00BC2100" w:rsidRDefault="00CC79F5">
      <w:pPr>
        <w:pStyle w:val="ListParagraph"/>
        <w:numPr>
          <w:ilvl w:val="0"/>
          <w:numId w:val="3"/>
        </w:numPr>
        <w:spacing w:after="90" w:line="276" w:lineRule="auto"/>
      </w:pPr>
      <w:r>
        <w:t xml:space="preserve">Nothing enters the paper without provenance. Every number points to the </w:t>
      </w:r>
      <w:r>
        <w:t xml:space="preserve">script that produced it. Every citation must be verified against the actual source — we have already caught four </w:t>
      </w:r>
      <w:proofErr w:type="spellStart"/>
      <w:r>
        <w:t>mis</w:t>
      </w:r>
      <w:proofErr w:type="spellEnd"/>
      <w:r>
        <w:t>-citations, two of them from peer-reviewed bibliographies.</w:t>
      </w:r>
    </w:p>
    <w:p w:rsidR="00BC2100" w:rsidRDefault="00CC79F5">
      <w:pPr>
        <w:pStyle w:val="ListParagraph"/>
        <w:numPr>
          <w:ilvl w:val="0"/>
          <w:numId w:val="3"/>
        </w:numPr>
        <w:spacing w:after="90" w:line="276" w:lineRule="auto"/>
      </w:pPr>
      <w:r>
        <w:t>Preregistration. Hypotheses, metrics and analyses are frozen and hashed before th</w:t>
      </w:r>
      <w:r>
        <w:t>e main experiment runs. Anything not preregistered is labelled exploratory in the paper. This is the single strongest defence against accidentally fooling ourselves.</w:t>
      </w:r>
    </w:p>
    <w:p w:rsidR="00BC2100" w:rsidRDefault="00CC79F5">
      <w:pPr>
        <w:pStyle w:val="ListParagraph"/>
        <w:numPr>
          <w:ilvl w:val="0"/>
          <w:numId w:val="3"/>
        </w:numPr>
        <w:spacing w:after="90" w:line="276" w:lineRule="auto"/>
      </w:pPr>
      <w:r>
        <w:t xml:space="preserve">Phase gates. We do not advance until the evidence for the current gate exists. Under time </w:t>
      </w:r>
      <w:r>
        <w:t>pressure we cut scope, never method.</w:t>
      </w:r>
    </w:p>
    <w:p w:rsidR="00BC2100" w:rsidRDefault="00CC79F5">
      <w:pPr>
        <w:spacing w:after="120" w:line="276" w:lineRule="auto"/>
      </w:pPr>
      <w:r>
        <w:rPr>
          <w:i/>
          <w:iCs/>
        </w:rPr>
        <w:t>None of this is bureaucracy for its own sake. It is what makes a first paper survive a hostile reviewer — and, frankly, a public record of this quality is itself a strong signal to admissions committees and to any profe</w:t>
      </w:r>
      <w:r>
        <w:rPr>
          <w:i/>
          <w:iCs/>
        </w:rPr>
        <w:t>ssor deciding whether to back us.</w:t>
      </w:r>
    </w:p>
    <w:p w:rsidR="00BC2100" w:rsidRDefault="00BC2100"/>
    <w:p w:rsidR="00BC2100" w:rsidRDefault="00CC79F5">
      <w:pPr>
        <w:pStyle w:val="Heading1"/>
        <w:spacing w:before="340" w:after="160"/>
      </w:pPr>
      <w:r>
        <w:rPr>
          <w:b/>
          <w:bCs/>
          <w:color w:val="1F3864"/>
          <w:sz w:val="30"/>
          <w:szCs w:val="30"/>
        </w:rPr>
        <w:t>8.  Proposed division of work</w:t>
      </w:r>
    </w:p>
    <w:tbl>
      <w:tblPr>
        <w:tblW w:w="9026" w:type="dxa"/>
        <w:tblInd w:w="200" w:type="dxa"/>
        <w:tblBorders>
          <w:top w:val="single" w:sz="2" w:space="0" w:color="E0C9A6"/>
          <w:left w:val="single" w:sz="18" w:space="0" w:color="C9922E"/>
          <w:bottom w:val="single" w:sz="2" w:space="0" w:color="E0C9A6"/>
          <w:right w:val="single" w:sz="2" w:space="0" w:color="E0C9A6"/>
        </w:tblBorders>
        <w:tblCellMar>
          <w:left w:w="10" w:type="dxa"/>
          <w:right w:w="10" w:type="dxa"/>
        </w:tblCellMar>
        <w:tblLook w:val="0000" w:firstRow="0" w:lastRow="0" w:firstColumn="0" w:lastColumn="0" w:noHBand="0" w:noVBand="0"/>
      </w:tblPr>
      <w:tblGrid>
        <w:gridCol w:w="9026"/>
      </w:tblGrid>
      <w:tr w:rsidR="00BC2100">
        <w:tblPrEx>
          <w:tblCellMar>
            <w:top w:w="0" w:type="dxa"/>
            <w:bottom w:w="0" w:type="dxa"/>
          </w:tblCellMar>
        </w:tblPrEx>
        <w:tc>
          <w:tcPr>
            <w:tcW w:w="9026" w:type="dxa"/>
            <w:shd w:val="clear" w:color="auto" w:fill="FDF0E6"/>
            <w:tcMar>
              <w:top w:w="140" w:type="dxa"/>
              <w:left w:w="200" w:type="dxa"/>
              <w:bottom w:w="140" w:type="dxa"/>
              <w:right w:w="160" w:type="dxa"/>
            </w:tcMar>
          </w:tcPr>
          <w:p w:rsidR="00BC2100" w:rsidRDefault="00CC79F5">
            <w:pPr>
              <w:spacing w:after="60" w:line="276" w:lineRule="auto"/>
            </w:pPr>
            <w:r>
              <w:rPr>
                <w:b/>
                <w:bCs/>
                <w:color w:val="7A4E12"/>
              </w:rPr>
              <w:t>The principle</w:t>
            </w:r>
          </w:p>
          <w:p w:rsidR="00BC2100" w:rsidRDefault="00CC79F5">
            <w:pPr>
              <w:spacing w:after="60" w:line="276" w:lineRule="auto"/>
            </w:pPr>
            <w:r>
              <w:t>Not an even split by type of work — a fair split by opportunity. Both of us should end this project with code we own, results we own, and a section of the paper we wrote. Nobody should be doing only literature review, and nobody should be doing only engine</w:t>
            </w:r>
            <w:r>
              <w:t>ering.</w:t>
            </w:r>
          </w:p>
          <w:p w:rsidR="00BC2100" w:rsidRDefault="00CC79F5">
            <w:pPr>
              <w:spacing w:after="60" w:line="276" w:lineRule="auto"/>
            </w:pPr>
            <w:r>
              <w:t>Abhijit leans engineering and inference; [Co-researcher] leans experimental design, validation and the institutional track — but both of us hold real technical ownership and both of us hold real research ownership.</w:t>
            </w:r>
          </w:p>
        </w:tc>
      </w:tr>
    </w:tbl>
    <w:p w:rsidR="00BC2100" w:rsidRDefault="00CC79F5">
      <w:pPr>
        <w:pStyle w:val="Heading2"/>
        <w:spacing w:before="240" w:after="110"/>
      </w:pPr>
      <w:proofErr w:type="gramStart"/>
      <w:r>
        <w:rPr>
          <w:b/>
          <w:bCs/>
          <w:color w:val="1F3864"/>
          <w:sz w:val="24"/>
          <w:szCs w:val="24"/>
        </w:rPr>
        <w:t>8.1  Abhijit</w:t>
      </w:r>
      <w:proofErr w:type="gramEnd"/>
      <w:r>
        <w:rPr>
          <w:b/>
          <w:bCs/>
          <w:color w:val="1F3864"/>
          <w:sz w:val="24"/>
          <w:szCs w:val="24"/>
        </w:rPr>
        <w:t xml:space="preserve"> — Engineering &amp;</w:t>
      </w:r>
      <w:r>
        <w:rPr>
          <w:b/>
          <w:bCs/>
          <w:color w:val="1F3864"/>
          <w:sz w:val="24"/>
          <w:szCs w:val="24"/>
        </w:rPr>
        <w:t xml:space="preserve"> Inference Lead</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3100"/>
        <w:gridCol w:w="5926"/>
      </w:tblGrid>
      <w:tr w:rsidR="00BC2100">
        <w:tblPrEx>
          <w:tblCellMar>
            <w:top w:w="0" w:type="dxa"/>
            <w:bottom w:w="0" w:type="dxa"/>
          </w:tblCellMar>
        </w:tblPrEx>
        <w:trPr>
          <w:tblHeader/>
        </w:trPr>
        <w:tc>
          <w:tcPr>
            <w:tcW w:w="31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Area</w:t>
            </w:r>
          </w:p>
        </w:tc>
        <w:tc>
          <w:tcPr>
            <w:tcW w:w="59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Deliverable</w:t>
            </w:r>
          </w:p>
        </w:tc>
      </w:tr>
      <w:tr w:rsidR="00BC2100">
        <w:tblPrEx>
          <w:tblCellMar>
            <w:top w:w="0" w:type="dxa"/>
            <w:bottom w:w="0" w:type="dxa"/>
          </w:tblCellMar>
        </w:tblPrEx>
        <w:tc>
          <w:tcPr>
            <w:tcW w:w="3100" w:type="dxa"/>
            <w:tcMar>
              <w:top w:w="70" w:type="dxa"/>
              <w:left w:w="110" w:type="dxa"/>
              <w:bottom w:w="70" w:type="dxa"/>
              <w:right w:w="110" w:type="dxa"/>
            </w:tcMar>
            <w:vAlign w:val="center"/>
          </w:tcPr>
          <w:p w:rsidR="00BC2100" w:rsidRDefault="00CC79F5">
            <w:pPr>
              <w:spacing w:line="276" w:lineRule="auto"/>
            </w:pPr>
            <w:r>
              <w:rPr>
                <w:sz w:val="20"/>
                <w:szCs w:val="20"/>
              </w:rPr>
              <w:t>Simulation engine</w:t>
            </w:r>
          </w:p>
        </w:tc>
        <w:tc>
          <w:tcPr>
            <w:tcW w:w="5926" w:type="dxa"/>
            <w:tcMar>
              <w:top w:w="70" w:type="dxa"/>
              <w:left w:w="110" w:type="dxa"/>
              <w:bottom w:w="70" w:type="dxa"/>
              <w:right w:w="110" w:type="dxa"/>
            </w:tcMar>
            <w:vAlign w:val="center"/>
          </w:tcPr>
          <w:p w:rsidR="00BC2100" w:rsidRDefault="00CC79F5">
            <w:pPr>
              <w:spacing w:line="276" w:lineRule="auto"/>
            </w:pPr>
            <w:r>
              <w:rPr>
                <w:sz w:val="20"/>
                <w:szCs w:val="20"/>
              </w:rPr>
              <w:t>Agent orchestration, memory operator, message scheduling, structured logging</w:t>
            </w:r>
          </w:p>
        </w:tc>
      </w:tr>
      <w:tr w:rsidR="00BC2100">
        <w:tblPrEx>
          <w:tblCellMar>
            <w:top w:w="0" w:type="dxa"/>
            <w:bottom w:w="0" w:type="dxa"/>
          </w:tblCellMar>
        </w:tblPrEx>
        <w:tc>
          <w:tcPr>
            <w:tcW w:w="31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Inference infrastructure</w:t>
            </w:r>
          </w:p>
        </w:tc>
        <w:tc>
          <w:tcPr>
            <w:tcW w:w="5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Self-hosted model serving (</w:t>
            </w:r>
            <w:proofErr w:type="spellStart"/>
            <w:r>
              <w:rPr>
                <w:sz w:val="20"/>
                <w:szCs w:val="20"/>
              </w:rPr>
              <w:t>vLLM</w:t>
            </w:r>
            <w:proofErr w:type="spellEnd"/>
            <w:r>
              <w:rPr>
                <w:sz w:val="20"/>
                <w:szCs w:val="20"/>
              </w:rPr>
              <w:t>), deployment, batching, cost control</w:t>
            </w:r>
          </w:p>
        </w:tc>
      </w:tr>
      <w:tr w:rsidR="00BC2100">
        <w:tblPrEx>
          <w:tblCellMar>
            <w:top w:w="0" w:type="dxa"/>
            <w:bottom w:w="0" w:type="dxa"/>
          </w:tblCellMar>
        </w:tblPrEx>
        <w:tc>
          <w:tcPr>
            <w:tcW w:w="3100" w:type="dxa"/>
            <w:tcMar>
              <w:top w:w="70" w:type="dxa"/>
              <w:left w:w="110" w:type="dxa"/>
              <w:bottom w:w="70" w:type="dxa"/>
              <w:right w:w="110" w:type="dxa"/>
            </w:tcMar>
            <w:vAlign w:val="center"/>
          </w:tcPr>
          <w:p w:rsidR="00BC2100" w:rsidRDefault="00CC79F5">
            <w:pPr>
              <w:spacing w:line="276" w:lineRule="auto"/>
            </w:pPr>
            <w:r>
              <w:rPr>
                <w:sz w:val="20"/>
                <w:szCs w:val="20"/>
              </w:rPr>
              <w:t>Belief instrument</w:t>
            </w:r>
          </w:p>
        </w:tc>
        <w:tc>
          <w:tcPr>
            <w:tcW w:w="5926" w:type="dxa"/>
            <w:tcMar>
              <w:top w:w="70" w:type="dxa"/>
              <w:left w:w="110" w:type="dxa"/>
              <w:bottom w:w="70" w:type="dxa"/>
              <w:right w:w="110" w:type="dxa"/>
            </w:tcMar>
            <w:vAlign w:val="center"/>
          </w:tcPr>
          <w:p w:rsidR="00BC2100" w:rsidRDefault="00CC79F5">
            <w:pPr>
              <w:spacing w:line="276" w:lineRule="auto"/>
            </w:pPr>
            <w:r>
              <w:rPr>
                <w:sz w:val="20"/>
                <w:szCs w:val="20"/>
              </w:rPr>
              <w:t>Probe implementation and the validation runs behind it</w:t>
            </w:r>
          </w:p>
        </w:tc>
      </w:tr>
      <w:tr w:rsidR="00BC2100">
        <w:tblPrEx>
          <w:tblCellMar>
            <w:top w:w="0" w:type="dxa"/>
            <w:bottom w:w="0" w:type="dxa"/>
          </w:tblCellMar>
        </w:tblPrEx>
        <w:tc>
          <w:tcPr>
            <w:tcW w:w="31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lastRenderedPageBreak/>
              <w:t>Survival analysis</w:t>
            </w:r>
          </w:p>
        </w:tc>
        <w:tc>
          <w:tcPr>
            <w:tcW w:w="5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Primary statistical models (built and validated already)</w:t>
            </w:r>
          </w:p>
        </w:tc>
      </w:tr>
      <w:tr w:rsidR="00BC2100">
        <w:tblPrEx>
          <w:tblCellMar>
            <w:top w:w="0" w:type="dxa"/>
            <w:bottom w:w="0" w:type="dxa"/>
          </w:tblCellMar>
        </w:tblPrEx>
        <w:tc>
          <w:tcPr>
            <w:tcW w:w="3100" w:type="dxa"/>
            <w:tcMar>
              <w:top w:w="70" w:type="dxa"/>
              <w:left w:w="110" w:type="dxa"/>
              <w:bottom w:w="70" w:type="dxa"/>
              <w:right w:w="110" w:type="dxa"/>
            </w:tcMar>
            <w:vAlign w:val="center"/>
          </w:tcPr>
          <w:p w:rsidR="00BC2100" w:rsidRDefault="00CC79F5">
            <w:pPr>
              <w:spacing w:line="276" w:lineRule="auto"/>
            </w:pPr>
            <w:r>
              <w:rPr>
                <w:sz w:val="20"/>
                <w:szCs w:val="20"/>
              </w:rPr>
              <w:t>Theory</w:t>
            </w:r>
          </w:p>
        </w:tc>
        <w:tc>
          <w:tcPr>
            <w:tcW w:w="5926" w:type="dxa"/>
            <w:tcMar>
              <w:top w:w="70" w:type="dxa"/>
              <w:left w:w="110" w:type="dxa"/>
              <w:bottom w:w="70" w:type="dxa"/>
              <w:right w:w="110" w:type="dxa"/>
            </w:tcMar>
            <w:vAlign w:val="center"/>
          </w:tcPr>
          <w:p w:rsidR="00BC2100" w:rsidRDefault="00CC79F5">
            <w:pPr>
              <w:spacing w:line="276" w:lineRule="auto"/>
            </w:pPr>
            <w:r>
              <w:rPr>
                <w:sz w:val="20"/>
                <w:szCs w:val="20"/>
              </w:rPr>
              <w:t>The martingale framing and hypothesis formalisation</w:t>
            </w:r>
          </w:p>
        </w:tc>
      </w:tr>
      <w:tr w:rsidR="00BC2100">
        <w:tblPrEx>
          <w:tblCellMar>
            <w:top w:w="0" w:type="dxa"/>
            <w:bottom w:w="0" w:type="dxa"/>
          </w:tblCellMar>
        </w:tblPrEx>
        <w:tc>
          <w:tcPr>
            <w:tcW w:w="31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Preregistration</w:t>
            </w:r>
          </w:p>
        </w:tc>
        <w:tc>
          <w:tcPr>
            <w:tcW w:w="5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Primary author (co-signed)</w:t>
            </w:r>
          </w:p>
        </w:tc>
      </w:tr>
      <w:tr w:rsidR="00BC2100">
        <w:tblPrEx>
          <w:tblCellMar>
            <w:top w:w="0" w:type="dxa"/>
            <w:bottom w:w="0" w:type="dxa"/>
          </w:tblCellMar>
        </w:tblPrEx>
        <w:tc>
          <w:tcPr>
            <w:tcW w:w="3100" w:type="dxa"/>
            <w:tcMar>
              <w:top w:w="70" w:type="dxa"/>
              <w:left w:w="110" w:type="dxa"/>
              <w:bottom w:w="70" w:type="dxa"/>
              <w:right w:w="110" w:type="dxa"/>
            </w:tcMar>
            <w:vAlign w:val="center"/>
          </w:tcPr>
          <w:p w:rsidR="00BC2100" w:rsidRDefault="00CC79F5">
            <w:pPr>
              <w:spacing w:line="276" w:lineRule="auto"/>
            </w:pPr>
            <w:r>
              <w:rPr>
                <w:sz w:val="20"/>
                <w:szCs w:val="20"/>
              </w:rPr>
              <w:t>Paper</w:t>
            </w:r>
          </w:p>
        </w:tc>
        <w:tc>
          <w:tcPr>
            <w:tcW w:w="5926" w:type="dxa"/>
            <w:tcMar>
              <w:top w:w="70" w:type="dxa"/>
              <w:left w:w="110" w:type="dxa"/>
              <w:bottom w:w="70" w:type="dxa"/>
              <w:right w:w="110" w:type="dxa"/>
            </w:tcMar>
            <w:vAlign w:val="center"/>
          </w:tcPr>
          <w:p w:rsidR="00BC2100" w:rsidRDefault="00CC79F5">
            <w:pPr>
              <w:spacing w:line="276" w:lineRule="auto"/>
            </w:pPr>
            <w:r>
              <w:rPr>
                <w:sz w:val="20"/>
                <w:szCs w:val="20"/>
              </w:rPr>
              <w:t>Method and Results sections</w:t>
            </w:r>
          </w:p>
        </w:tc>
      </w:tr>
    </w:tbl>
    <w:p w:rsidR="00BC2100" w:rsidRDefault="00CC79F5">
      <w:pPr>
        <w:pStyle w:val="Heading2"/>
        <w:spacing w:before="240" w:after="110"/>
      </w:pPr>
      <w:proofErr w:type="gramStart"/>
      <w:r>
        <w:rPr>
          <w:b/>
          <w:bCs/>
          <w:color w:val="1F3864"/>
          <w:sz w:val="24"/>
          <w:szCs w:val="24"/>
        </w:rPr>
        <w:t xml:space="preserve">8.2  </w:t>
      </w:r>
      <w:proofErr w:type="spellStart"/>
      <w:r>
        <w:rPr>
          <w:b/>
          <w:bCs/>
          <w:color w:val="1F3864"/>
          <w:sz w:val="24"/>
          <w:szCs w:val="24"/>
        </w:rPr>
        <w:t>Divyesh</w:t>
      </w:r>
      <w:proofErr w:type="spellEnd"/>
      <w:proofErr w:type="gramEnd"/>
      <w:r>
        <w:rPr>
          <w:b/>
          <w:bCs/>
          <w:color w:val="1F3864"/>
          <w:sz w:val="24"/>
          <w:szCs w:val="24"/>
        </w:rPr>
        <w:t xml:space="preserve"> </w:t>
      </w:r>
      <w:r>
        <w:rPr>
          <w:b/>
          <w:bCs/>
          <w:color w:val="1F3864"/>
          <w:sz w:val="24"/>
          <w:szCs w:val="24"/>
        </w:rPr>
        <w:t>— Experimental &amp; Validation Lead</w:t>
      </w:r>
    </w:p>
    <w:p w:rsidR="00BC2100" w:rsidRDefault="00CC79F5">
      <w:pPr>
        <w:spacing w:after="120" w:line="276" w:lineRule="auto"/>
      </w:pPr>
      <w:r>
        <w:rPr>
          <w:i/>
          <w:iCs/>
        </w:rPr>
        <w:t>Three of these are genuine technical ownership with code and a results section attached, not support work.</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3100"/>
        <w:gridCol w:w="5926"/>
      </w:tblGrid>
      <w:tr w:rsidR="00BC2100">
        <w:tblPrEx>
          <w:tblCellMar>
            <w:top w:w="0" w:type="dxa"/>
            <w:bottom w:w="0" w:type="dxa"/>
          </w:tblCellMar>
        </w:tblPrEx>
        <w:trPr>
          <w:tblHeader/>
        </w:trPr>
        <w:tc>
          <w:tcPr>
            <w:tcW w:w="31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Area</w:t>
            </w:r>
          </w:p>
        </w:tc>
        <w:tc>
          <w:tcPr>
            <w:tcW w:w="59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Deliverable</w:t>
            </w:r>
          </w:p>
        </w:tc>
      </w:tr>
      <w:tr w:rsidR="00BC2100">
        <w:tblPrEx>
          <w:tblCellMar>
            <w:top w:w="0" w:type="dxa"/>
            <w:bottom w:w="0" w:type="dxa"/>
          </w:tblCellMar>
        </w:tblPrEx>
        <w:tc>
          <w:tcPr>
            <w:tcW w:w="3100" w:type="dxa"/>
            <w:tcMar>
              <w:top w:w="70" w:type="dxa"/>
              <w:left w:w="110" w:type="dxa"/>
              <w:bottom w:w="70" w:type="dxa"/>
              <w:right w:w="110" w:type="dxa"/>
            </w:tcMar>
            <w:vAlign w:val="center"/>
          </w:tcPr>
          <w:p w:rsidR="00BC2100" w:rsidRDefault="00CC79F5">
            <w:pPr>
              <w:spacing w:line="276" w:lineRule="auto"/>
            </w:pPr>
            <w:r>
              <w:rPr>
                <w:b/>
                <w:bCs/>
                <w:sz w:val="20"/>
                <w:szCs w:val="20"/>
              </w:rPr>
              <w:t>Network topology module</w:t>
            </w:r>
          </w:p>
        </w:tc>
        <w:tc>
          <w:tcPr>
            <w:tcW w:w="5926" w:type="dxa"/>
            <w:tcMar>
              <w:top w:w="70" w:type="dxa"/>
              <w:left w:w="110" w:type="dxa"/>
              <w:bottom w:w="70" w:type="dxa"/>
              <w:right w:w="110" w:type="dxa"/>
            </w:tcMar>
            <w:vAlign w:val="center"/>
          </w:tcPr>
          <w:p w:rsidR="00BC2100" w:rsidRDefault="00CC79F5">
            <w:pPr>
              <w:spacing w:line="276" w:lineRule="auto"/>
            </w:pPr>
            <w:r>
              <w:rPr>
                <w:sz w:val="20"/>
                <w:szCs w:val="20"/>
              </w:rPr>
              <w:t>Graph builders, per-receiver message-budget sampling, density matching. Self-contained, testable, and it is what makes the topology comparison valid at all</w:t>
            </w:r>
          </w:p>
        </w:tc>
      </w:tr>
      <w:tr w:rsidR="00BC2100">
        <w:tblPrEx>
          <w:tblCellMar>
            <w:top w:w="0" w:type="dxa"/>
            <w:bottom w:w="0" w:type="dxa"/>
          </w:tblCellMar>
        </w:tblPrEx>
        <w:tc>
          <w:tcPr>
            <w:tcW w:w="3100" w:type="dxa"/>
            <w:shd w:val="clear" w:color="auto" w:fill="F5F7FA"/>
            <w:tcMar>
              <w:top w:w="70" w:type="dxa"/>
              <w:left w:w="110" w:type="dxa"/>
              <w:bottom w:w="70" w:type="dxa"/>
              <w:right w:w="110" w:type="dxa"/>
            </w:tcMar>
            <w:vAlign w:val="center"/>
          </w:tcPr>
          <w:p w:rsidR="00BC2100" w:rsidRDefault="00CC79F5">
            <w:pPr>
              <w:spacing w:line="276" w:lineRule="auto"/>
            </w:pPr>
            <w:r>
              <w:rPr>
                <w:b/>
                <w:bCs/>
                <w:sz w:val="20"/>
                <w:szCs w:val="20"/>
              </w:rPr>
              <w:t>Classical contagion baseline</w:t>
            </w:r>
          </w:p>
        </w:tc>
        <w:tc>
          <w:tcPr>
            <w:tcW w:w="5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Implement SIR / threshold / bounded-confidence models on the same grap</w:t>
            </w:r>
            <w:r>
              <w:rPr>
                <w:sz w:val="20"/>
                <w:szCs w:val="20"/>
              </w:rPr>
              <w:t>hs and show where LLM dynamics diverge. No GPU needed. This is very likely its own results section and it directly substantiates the paper’s central claim about why LLM societies need studying separately</w:t>
            </w:r>
          </w:p>
        </w:tc>
      </w:tr>
      <w:tr w:rsidR="00BC2100">
        <w:tblPrEx>
          <w:tblCellMar>
            <w:top w:w="0" w:type="dxa"/>
            <w:bottom w:w="0" w:type="dxa"/>
          </w:tblCellMar>
        </w:tblPrEx>
        <w:tc>
          <w:tcPr>
            <w:tcW w:w="3100" w:type="dxa"/>
            <w:tcMar>
              <w:top w:w="70" w:type="dxa"/>
              <w:left w:w="110" w:type="dxa"/>
              <w:bottom w:w="70" w:type="dxa"/>
              <w:right w:w="110" w:type="dxa"/>
            </w:tcMar>
            <w:vAlign w:val="center"/>
          </w:tcPr>
          <w:p w:rsidR="00BC2100" w:rsidRDefault="00CC79F5">
            <w:pPr>
              <w:spacing w:line="276" w:lineRule="auto"/>
            </w:pPr>
            <w:r>
              <w:rPr>
                <w:b/>
                <w:bCs/>
                <w:sz w:val="20"/>
                <w:szCs w:val="20"/>
              </w:rPr>
              <w:t>Cascade &amp; network analysis</w:t>
            </w:r>
          </w:p>
        </w:tc>
        <w:tc>
          <w:tcPr>
            <w:tcW w:w="5926" w:type="dxa"/>
            <w:tcMar>
              <w:top w:w="70" w:type="dxa"/>
              <w:left w:w="110" w:type="dxa"/>
              <w:bottom w:w="70" w:type="dxa"/>
              <w:right w:w="110" w:type="dxa"/>
            </w:tcMar>
            <w:vAlign w:val="center"/>
          </w:tcPr>
          <w:p w:rsidR="00BC2100" w:rsidRDefault="00CC79F5">
            <w:pPr>
              <w:spacing w:line="276" w:lineRule="auto"/>
            </w:pPr>
            <w:r>
              <w:rPr>
                <w:sz w:val="20"/>
                <w:szCs w:val="20"/>
              </w:rPr>
              <w:t>Run-level cascade outcomes and echo-chamber (</w:t>
            </w:r>
            <w:proofErr w:type="spellStart"/>
            <w:r>
              <w:rPr>
                <w:sz w:val="20"/>
                <w:szCs w:val="20"/>
              </w:rPr>
              <w:t>assortativity</w:t>
            </w:r>
            <w:proofErr w:type="spellEnd"/>
            <w:r>
              <w:rPr>
                <w:sz w:val="20"/>
                <w:szCs w:val="20"/>
              </w:rPr>
              <w:t>) analysis — the complement to Abhijit’s survival models</w:t>
            </w:r>
          </w:p>
        </w:tc>
      </w:tr>
      <w:tr w:rsidR="00BC2100">
        <w:tblPrEx>
          <w:tblCellMar>
            <w:top w:w="0" w:type="dxa"/>
            <w:bottom w:w="0" w:type="dxa"/>
          </w:tblCellMar>
        </w:tblPrEx>
        <w:tc>
          <w:tcPr>
            <w:tcW w:w="31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Systematic prior-art coverage</w:t>
            </w:r>
          </w:p>
        </w:tc>
        <w:tc>
          <w:tcPr>
            <w:tcW w:w="5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 xml:space="preserve">Forward and backward citation traversal, </w:t>
            </w:r>
            <w:proofErr w:type="spellStart"/>
            <w:r>
              <w:rPr>
                <w:sz w:val="20"/>
                <w:szCs w:val="20"/>
              </w:rPr>
              <w:t>OpenReview</w:t>
            </w:r>
            <w:proofErr w:type="spellEnd"/>
            <w:r>
              <w:rPr>
                <w:sz w:val="20"/>
                <w:szCs w:val="20"/>
              </w:rPr>
              <w:t xml:space="preserve"> reviews, AAMAS/WWW/ICWSM. Currently a blocking gate requir</w:t>
            </w:r>
            <w:r>
              <w:rPr>
                <w:sz w:val="20"/>
                <w:szCs w:val="20"/>
              </w:rPr>
              <w:t>ement — institutional library access helps here</w:t>
            </w:r>
          </w:p>
        </w:tc>
      </w:tr>
      <w:tr w:rsidR="00BC2100">
        <w:tblPrEx>
          <w:tblCellMar>
            <w:top w:w="0" w:type="dxa"/>
            <w:bottom w:w="0" w:type="dxa"/>
          </w:tblCellMar>
        </w:tblPrEx>
        <w:tc>
          <w:tcPr>
            <w:tcW w:w="3100" w:type="dxa"/>
            <w:tcMar>
              <w:top w:w="70" w:type="dxa"/>
              <w:left w:w="110" w:type="dxa"/>
              <w:bottom w:w="70" w:type="dxa"/>
              <w:right w:w="110" w:type="dxa"/>
            </w:tcMar>
            <w:vAlign w:val="center"/>
          </w:tcPr>
          <w:p w:rsidR="00BC2100" w:rsidRDefault="00CC79F5">
            <w:pPr>
              <w:spacing w:line="276" w:lineRule="auto"/>
            </w:pPr>
            <w:r>
              <w:rPr>
                <w:sz w:val="20"/>
                <w:szCs w:val="20"/>
              </w:rPr>
              <w:t>Fact suite validation</w:t>
            </w:r>
          </w:p>
        </w:tc>
        <w:tc>
          <w:tcPr>
            <w:tcW w:w="5926" w:type="dxa"/>
            <w:tcMar>
              <w:top w:w="70" w:type="dxa"/>
              <w:left w:w="110" w:type="dxa"/>
              <w:bottom w:w="70" w:type="dxa"/>
              <w:right w:w="110" w:type="dxa"/>
            </w:tcMar>
            <w:vAlign w:val="center"/>
          </w:tcPr>
          <w:p w:rsidR="00BC2100" w:rsidRDefault="00CC79F5">
            <w:pPr>
              <w:spacing w:line="276" w:lineRule="auto"/>
            </w:pPr>
            <w:r>
              <w:rPr>
                <w:sz w:val="20"/>
                <w:szCs w:val="20"/>
              </w:rPr>
              <w:t>Independently verify ground truth for all 31 candidate items; design the paraphrase probe templates</w:t>
            </w:r>
          </w:p>
        </w:tc>
      </w:tr>
      <w:tr w:rsidR="00BC2100">
        <w:tblPrEx>
          <w:tblCellMar>
            <w:top w:w="0" w:type="dxa"/>
            <w:bottom w:w="0" w:type="dxa"/>
          </w:tblCellMar>
        </w:tblPrEx>
        <w:tc>
          <w:tcPr>
            <w:tcW w:w="31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Human validation study</w:t>
            </w:r>
          </w:p>
        </w:tc>
        <w:tc>
          <w:tcPr>
            <w:tcW w:w="5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Design the annotation protocol, run the ethics route, manage the platform, compute inter-annotator agreement</w:t>
            </w:r>
          </w:p>
        </w:tc>
      </w:tr>
      <w:tr w:rsidR="00BC2100">
        <w:tblPrEx>
          <w:tblCellMar>
            <w:top w:w="0" w:type="dxa"/>
            <w:bottom w:w="0" w:type="dxa"/>
          </w:tblCellMar>
        </w:tblPrEx>
        <w:tc>
          <w:tcPr>
            <w:tcW w:w="3100" w:type="dxa"/>
            <w:tcMar>
              <w:top w:w="70" w:type="dxa"/>
              <w:left w:w="110" w:type="dxa"/>
              <w:bottom w:w="70" w:type="dxa"/>
              <w:right w:w="110" w:type="dxa"/>
            </w:tcMar>
            <w:vAlign w:val="center"/>
          </w:tcPr>
          <w:p w:rsidR="00BC2100" w:rsidRDefault="00CC79F5">
            <w:pPr>
              <w:spacing w:line="276" w:lineRule="auto"/>
            </w:pPr>
            <w:r>
              <w:rPr>
                <w:sz w:val="20"/>
                <w:szCs w:val="20"/>
              </w:rPr>
              <w:t>Paper</w:t>
            </w:r>
          </w:p>
        </w:tc>
        <w:tc>
          <w:tcPr>
            <w:tcW w:w="5926" w:type="dxa"/>
            <w:tcMar>
              <w:top w:w="70" w:type="dxa"/>
              <w:left w:w="110" w:type="dxa"/>
              <w:bottom w:w="70" w:type="dxa"/>
              <w:right w:w="110" w:type="dxa"/>
            </w:tcMar>
            <w:vAlign w:val="center"/>
          </w:tcPr>
          <w:p w:rsidR="00BC2100" w:rsidRDefault="00CC79F5">
            <w:pPr>
              <w:spacing w:line="276" w:lineRule="auto"/>
            </w:pPr>
            <w:r>
              <w:rPr>
                <w:sz w:val="20"/>
                <w:szCs w:val="20"/>
              </w:rPr>
              <w:t>Related Work and Limitations sections</w:t>
            </w:r>
          </w:p>
        </w:tc>
      </w:tr>
    </w:tbl>
    <w:p w:rsidR="00BC2100" w:rsidRDefault="00CC79F5">
      <w:pPr>
        <w:pStyle w:val="Heading2"/>
        <w:spacing w:before="240" w:after="110"/>
      </w:pPr>
      <w:proofErr w:type="gramStart"/>
      <w:r>
        <w:rPr>
          <w:b/>
          <w:bCs/>
          <w:color w:val="1F3864"/>
          <w:sz w:val="24"/>
          <w:szCs w:val="24"/>
        </w:rPr>
        <w:t>8.3  Shared</w:t>
      </w:r>
      <w:proofErr w:type="gramEnd"/>
    </w:p>
    <w:p w:rsidR="00BC2100" w:rsidRDefault="00CC79F5">
      <w:pPr>
        <w:pStyle w:val="ListParagraph"/>
        <w:numPr>
          <w:ilvl w:val="0"/>
          <w:numId w:val="2"/>
        </w:numPr>
        <w:spacing w:after="90" w:line="276" w:lineRule="auto"/>
      </w:pPr>
      <w:r>
        <w:t>Weekly written check-in in the research log — 15 minutes, non-negotiable, it is what keeps the registers honest.</w:t>
      </w:r>
    </w:p>
    <w:p w:rsidR="00BC2100" w:rsidRDefault="00CC79F5">
      <w:pPr>
        <w:pStyle w:val="ListParagraph"/>
        <w:numPr>
          <w:ilvl w:val="0"/>
          <w:numId w:val="2"/>
        </w:numPr>
        <w:spacing w:after="90" w:line="276" w:lineRule="auto"/>
      </w:pPr>
      <w:r>
        <w:t>Both sign the preregistration before it is frozen.</w:t>
      </w:r>
    </w:p>
    <w:p w:rsidR="00BC2100" w:rsidRDefault="00CC79F5">
      <w:pPr>
        <w:pStyle w:val="ListParagraph"/>
        <w:numPr>
          <w:ilvl w:val="0"/>
          <w:numId w:val="2"/>
        </w:numPr>
        <w:spacing w:after="90" w:line="276" w:lineRule="auto"/>
      </w:pPr>
      <w:r>
        <w:t>Claims audit before submission: every claim in the abstract and introduction traced to a fig</w:t>
      </w:r>
      <w:r>
        <w:t>ure or a test. Two hours, highest-return two hours in the project.</w:t>
      </w:r>
    </w:p>
    <w:p w:rsidR="00BC2100" w:rsidRDefault="00CC79F5">
      <w:pPr>
        <w:pStyle w:val="ListParagraph"/>
        <w:numPr>
          <w:ilvl w:val="0"/>
          <w:numId w:val="2"/>
        </w:numPr>
        <w:spacing w:after="90" w:line="276" w:lineRule="auto"/>
      </w:pPr>
      <w:r>
        <w:t>Either of us can block a phase gate on a quality concern, without needing to justify it as anything more than a concern.</w:t>
      </w:r>
    </w:p>
    <w:p w:rsidR="00BC2100" w:rsidRDefault="00CC79F5">
      <w:pPr>
        <w:pStyle w:val="Heading2"/>
        <w:spacing w:before="240" w:after="110"/>
      </w:pPr>
      <w:proofErr w:type="gramStart"/>
      <w:r>
        <w:rPr>
          <w:b/>
          <w:bCs/>
          <w:color w:val="1F3864"/>
          <w:sz w:val="24"/>
          <w:szCs w:val="24"/>
        </w:rPr>
        <w:t>8.4  Why</w:t>
      </w:r>
      <w:proofErr w:type="gramEnd"/>
      <w:r>
        <w:rPr>
          <w:b/>
          <w:bCs/>
          <w:color w:val="1F3864"/>
          <w:sz w:val="24"/>
          <w:szCs w:val="24"/>
        </w:rPr>
        <w:t xml:space="preserve"> this split</w:t>
      </w:r>
    </w:p>
    <w:p w:rsidR="00BC2100" w:rsidRDefault="00CC79F5">
      <w:pPr>
        <w:pStyle w:val="ListParagraph"/>
        <w:numPr>
          <w:ilvl w:val="0"/>
          <w:numId w:val="2"/>
        </w:numPr>
        <w:spacing w:after="90" w:line="276" w:lineRule="auto"/>
      </w:pPr>
      <w:r>
        <w:rPr>
          <w:b/>
          <w:bCs/>
        </w:rPr>
        <w:t xml:space="preserve">It plays to structural advantage. </w:t>
      </w:r>
      <w:r>
        <w:t>Being inside a</w:t>
      </w:r>
      <w:r>
        <w:t xml:space="preserve">n institute unlocks things that are simply unavailable otherwise — an advisor, compute grants, an ethics route, </w:t>
      </w:r>
      <w:proofErr w:type="spellStart"/>
      <w:r>
        <w:t>paywalled</w:t>
      </w:r>
      <w:proofErr w:type="spellEnd"/>
      <w:r>
        <w:t xml:space="preserve"> literature, and a credible path </w:t>
      </w:r>
      <w:r>
        <w:lastRenderedPageBreak/>
        <w:t>into a workshop. That is not admin; it is the difference between this being a hobby project and a publ</w:t>
      </w:r>
      <w:r>
        <w:t>ishable one.</w:t>
      </w:r>
    </w:p>
    <w:p w:rsidR="00BC2100" w:rsidRDefault="00CC79F5">
      <w:pPr>
        <w:pStyle w:val="ListParagraph"/>
        <w:numPr>
          <w:ilvl w:val="0"/>
          <w:numId w:val="2"/>
        </w:numPr>
        <w:spacing w:after="90" w:line="276" w:lineRule="auto"/>
      </w:pPr>
      <w:r>
        <w:rPr>
          <w:b/>
          <w:bCs/>
        </w:rPr>
        <w:t xml:space="preserve">It is not coding versus reading. </w:t>
      </w:r>
      <w:r>
        <w:t>The topology module and the contagion baseline are real engineering. The martingale framing and the preregistration are real research. Both of us do both.</w:t>
      </w:r>
    </w:p>
    <w:p w:rsidR="00BC2100" w:rsidRDefault="00CC79F5">
      <w:pPr>
        <w:pStyle w:val="ListParagraph"/>
        <w:numPr>
          <w:ilvl w:val="0"/>
          <w:numId w:val="2"/>
        </w:numPr>
        <w:spacing w:after="90" w:line="276" w:lineRule="auto"/>
      </w:pPr>
      <w:r>
        <w:rPr>
          <w:b/>
          <w:bCs/>
        </w:rPr>
        <w:t xml:space="preserve">Everything has exactly one owner. </w:t>
      </w:r>
      <w:r>
        <w:t>Shared responsibility</w:t>
      </w:r>
      <w:r>
        <w:t xml:space="preserve"> for a deliverable reliably means nobody does it.</w:t>
      </w:r>
    </w:p>
    <w:p w:rsidR="00BC2100" w:rsidRDefault="00CC79F5">
      <w:pPr>
        <w:pStyle w:val="ListParagraph"/>
        <w:numPr>
          <w:ilvl w:val="0"/>
          <w:numId w:val="2"/>
        </w:numPr>
        <w:spacing w:after="90" w:line="276" w:lineRule="auto"/>
      </w:pPr>
      <w:r>
        <w:rPr>
          <w:b/>
          <w:bCs/>
        </w:rPr>
        <w:t xml:space="preserve">It is negotiable. </w:t>
      </w:r>
      <w:r>
        <w:t>This is a proposal, not an allocation. If you want the survival analysis or the engine, say so — the point is that we both grow, and I would rather rebalance now than discover in week five</w:t>
      </w:r>
      <w:r>
        <w:t xml:space="preserve"> that you are bored.</w:t>
      </w:r>
    </w:p>
    <w:p w:rsidR="00BC2100" w:rsidRDefault="00CC79F5">
      <w:pPr>
        <w:pStyle w:val="Heading1"/>
        <w:spacing w:before="340" w:after="160"/>
      </w:pPr>
      <w:r>
        <w:rPr>
          <w:b/>
          <w:bCs/>
          <w:color w:val="1F3864"/>
          <w:sz w:val="30"/>
          <w:szCs w:val="30"/>
        </w:rPr>
        <w:t>9.  What we would need from the institute</w:t>
      </w:r>
    </w:p>
    <w:p w:rsidR="00BC2100" w:rsidRDefault="00CC79F5">
      <w:pPr>
        <w:spacing w:after="120" w:line="276" w:lineRule="auto"/>
      </w:pPr>
      <w:r>
        <w:t>Ranked by how much it unblocks.</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600"/>
        <w:gridCol w:w="2900"/>
        <w:gridCol w:w="5526"/>
      </w:tblGrid>
      <w:tr w:rsidR="00BC2100">
        <w:tblPrEx>
          <w:tblCellMar>
            <w:top w:w="0" w:type="dxa"/>
            <w:bottom w:w="0" w:type="dxa"/>
          </w:tblCellMar>
        </w:tblPrEx>
        <w:trPr>
          <w:tblHeader/>
        </w:trPr>
        <w:tc>
          <w:tcPr>
            <w:tcW w:w="6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w:t>
            </w:r>
          </w:p>
        </w:tc>
        <w:tc>
          <w:tcPr>
            <w:tcW w:w="29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Ask</w:t>
            </w:r>
          </w:p>
        </w:tc>
        <w:tc>
          <w:tcPr>
            <w:tcW w:w="55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Why it matters</w:t>
            </w:r>
          </w:p>
        </w:tc>
      </w:tr>
      <w:tr w:rsidR="00BC2100">
        <w:tblPrEx>
          <w:tblCellMar>
            <w:top w:w="0" w:type="dxa"/>
            <w:bottom w:w="0" w:type="dxa"/>
          </w:tblCellMar>
        </w:tblPrEx>
        <w:tc>
          <w:tcPr>
            <w:tcW w:w="600" w:type="dxa"/>
            <w:tcMar>
              <w:top w:w="70" w:type="dxa"/>
              <w:left w:w="110" w:type="dxa"/>
              <w:bottom w:w="70" w:type="dxa"/>
              <w:right w:w="110" w:type="dxa"/>
            </w:tcMar>
            <w:vAlign w:val="center"/>
          </w:tcPr>
          <w:p w:rsidR="00BC2100" w:rsidRDefault="00CC79F5">
            <w:pPr>
              <w:spacing w:line="276" w:lineRule="auto"/>
            </w:pPr>
            <w:r>
              <w:rPr>
                <w:sz w:val="20"/>
                <w:szCs w:val="20"/>
              </w:rPr>
              <w:t>1</w:t>
            </w:r>
          </w:p>
        </w:tc>
        <w:tc>
          <w:tcPr>
            <w:tcW w:w="2900" w:type="dxa"/>
            <w:tcMar>
              <w:top w:w="70" w:type="dxa"/>
              <w:left w:w="110" w:type="dxa"/>
              <w:bottom w:w="70" w:type="dxa"/>
              <w:right w:w="110" w:type="dxa"/>
            </w:tcMar>
            <w:vAlign w:val="center"/>
          </w:tcPr>
          <w:p w:rsidR="00BC2100" w:rsidRDefault="00CC79F5">
            <w:pPr>
              <w:spacing w:line="276" w:lineRule="auto"/>
            </w:pPr>
            <w:r>
              <w:rPr>
                <w:sz w:val="20"/>
                <w:szCs w:val="20"/>
              </w:rPr>
              <w:t>A faculty advisor willing to back the project</w:t>
            </w:r>
          </w:p>
        </w:tc>
        <w:tc>
          <w:tcPr>
            <w:tcW w:w="5526" w:type="dxa"/>
            <w:tcMar>
              <w:top w:w="70" w:type="dxa"/>
              <w:left w:w="110" w:type="dxa"/>
              <w:bottom w:w="70" w:type="dxa"/>
              <w:right w:w="110" w:type="dxa"/>
            </w:tcMar>
            <w:vAlign w:val="center"/>
          </w:tcPr>
          <w:p w:rsidR="00BC2100" w:rsidRDefault="00CC79F5">
            <w:pPr>
              <w:spacing w:line="276" w:lineRule="auto"/>
            </w:pPr>
            <w:r>
              <w:rPr>
                <w:sz w:val="20"/>
                <w:szCs w:val="20"/>
              </w:rPr>
              <w:t>Unlocks almost everything else: compute, ethics, and a credible affiliation on the submission. Even light-touch supervision changes how a workshop reads the paper</w:t>
            </w:r>
          </w:p>
        </w:tc>
      </w:tr>
      <w:tr w:rsidR="00BC2100">
        <w:tblPrEx>
          <w:tblCellMar>
            <w:top w:w="0" w:type="dxa"/>
            <w:bottom w:w="0" w:type="dxa"/>
          </w:tblCellMar>
        </w:tblPrEx>
        <w:tc>
          <w:tcPr>
            <w:tcW w:w="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2</w:t>
            </w:r>
          </w:p>
        </w:tc>
        <w:tc>
          <w:tcPr>
            <w:tcW w:w="29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GPU access — institute cluster or a grant</w:t>
            </w:r>
          </w:p>
        </w:tc>
        <w:tc>
          <w:tcPr>
            <w:tcW w:w="55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The single hard blocker. We need roughly 4–6 GPU-hours for the pilot and perhaps 50–150 for the full study, on 7–9B models. This is a small ask by cluster standards</w:t>
            </w:r>
          </w:p>
        </w:tc>
      </w:tr>
      <w:tr w:rsidR="00BC2100">
        <w:tblPrEx>
          <w:tblCellMar>
            <w:top w:w="0" w:type="dxa"/>
            <w:bottom w:w="0" w:type="dxa"/>
          </w:tblCellMar>
        </w:tblPrEx>
        <w:tc>
          <w:tcPr>
            <w:tcW w:w="600" w:type="dxa"/>
            <w:tcMar>
              <w:top w:w="70" w:type="dxa"/>
              <w:left w:w="110" w:type="dxa"/>
              <w:bottom w:w="70" w:type="dxa"/>
              <w:right w:w="110" w:type="dxa"/>
            </w:tcMar>
            <w:vAlign w:val="center"/>
          </w:tcPr>
          <w:p w:rsidR="00BC2100" w:rsidRDefault="00CC79F5">
            <w:pPr>
              <w:spacing w:line="276" w:lineRule="auto"/>
            </w:pPr>
            <w:r>
              <w:rPr>
                <w:sz w:val="20"/>
                <w:szCs w:val="20"/>
              </w:rPr>
              <w:t>3</w:t>
            </w:r>
          </w:p>
        </w:tc>
        <w:tc>
          <w:tcPr>
            <w:tcW w:w="2900" w:type="dxa"/>
            <w:tcMar>
              <w:top w:w="70" w:type="dxa"/>
              <w:left w:w="110" w:type="dxa"/>
              <w:bottom w:w="70" w:type="dxa"/>
              <w:right w:w="110" w:type="dxa"/>
            </w:tcMar>
            <w:vAlign w:val="center"/>
          </w:tcPr>
          <w:p w:rsidR="00BC2100" w:rsidRDefault="00CC79F5">
            <w:pPr>
              <w:spacing w:line="276" w:lineRule="auto"/>
            </w:pPr>
            <w:r>
              <w:rPr>
                <w:sz w:val="20"/>
                <w:szCs w:val="20"/>
              </w:rPr>
              <w:t>Ethics / IRB determination for the annotation study</w:t>
            </w:r>
          </w:p>
        </w:tc>
        <w:tc>
          <w:tcPr>
            <w:tcW w:w="5526" w:type="dxa"/>
            <w:tcMar>
              <w:top w:w="70" w:type="dxa"/>
              <w:left w:w="110" w:type="dxa"/>
              <w:bottom w:w="70" w:type="dxa"/>
              <w:right w:w="110" w:type="dxa"/>
            </w:tcMar>
            <w:vAlign w:val="center"/>
          </w:tcPr>
          <w:p w:rsidR="00BC2100" w:rsidRDefault="00CC79F5">
            <w:pPr>
              <w:spacing w:line="276" w:lineRule="auto"/>
            </w:pPr>
            <w:r>
              <w:rPr>
                <w:sz w:val="20"/>
                <w:szCs w:val="20"/>
              </w:rPr>
              <w:t>We plan to pay human annotators. This cannot be obtained retroactively, and some venues ask</w:t>
            </w:r>
          </w:p>
        </w:tc>
      </w:tr>
      <w:tr w:rsidR="00BC2100">
        <w:tblPrEx>
          <w:tblCellMar>
            <w:top w:w="0" w:type="dxa"/>
            <w:bottom w:w="0" w:type="dxa"/>
          </w:tblCellMar>
        </w:tblPrEx>
        <w:tc>
          <w:tcPr>
            <w:tcW w:w="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4</w:t>
            </w:r>
          </w:p>
        </w:tc>
        <w:tc>
          <w:tcPr>
            <w:tcW w:w="29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Library access</w:t>
            </w:r>
          </w:p>
        </w:tc>
        <w:tc>
          <w:tcPr>
            <w:tcW w:w="55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Several relevant papers sit behind paywalls</w:t>
            </w:r>
          </w:p>
        </w:tc>
      </w:tr>
      <w:tr w:rsidR="00BC2100">
        <w:tblPrEx>
          <w:tblCellMar>
            <w:top w:w="0" w:type="dxa"/>
            <w:bottom w:w="0" w:type="dxa"/>
          </w:tblCellMar>
        </w:tblPrEx>
        <w:tc>
          <w:tcPr>
            <w:tcW w:w="600" w:type="dxa"/>
            <w:tcMar>
              <w:top w:w="70" w:type="dxa"/>
              <w:left w:w="110" w:type="dxa"/>
              <w:bottom w:w="70" w:type="dxa"/>
              <w:right w:w="110" w:type="dxa"/>
            </w:tcMar>
            <w:vAlign w:val="center"/>
          </w:tcPr>
          <w:p w:rsidR="00BC2100" w:rsidRDefault="00CC79F5">
            <w:pPr>
              <w:spacing w:line="276" w:lineRule="auto"/>
            </w:pPr>
            <w:r>
              <w:rPr>
                <w:sz w:val="20"/>
                <w:szCs w:val="20"/>
              </w:rPr>
              <w:t>5</w:t>
            </w:r>
          </w:p>
        </w:tc>
        <w:tc>
          <w:tcPr>
            <w:tcW w:w="2900" w:type="dxa"/>
            <w:tcMar>
              <w:top w:w="70" w:type="dxa"/>
              <w:left w:w="110" w:type="dxa"/>
              <w:bottom w:w="70" w:type="dxa"/>
              <w:right w:w="110" w:type="dxa"/>
            </w:tcMar>
            <w:vAlign w:val="center"/>
          </w:tcPr>
          <w:p w:rsidR="00BC2100" w:rsidRDefault="00CC79F5">
            <w:pPr>
              <w:spacing w:line="276" w:lineRule="auto"/>
            </w:pPr>
            <w:r>
              <w:rPr>
                <w:sz w:val="20"/>
                <w:szCs w:val="20"/>
              </w:rPr>
              <w:t>Advice on venue and timing</w:t>
            </w:r>
          </w:p>
        </w:tc>
        <w:tc>
          <w:tcPr>
            <w:tcW w:w="5526" w:type="dxa"/>
            <w:tcMar>
              <w:top w:w="70" w:type="dxa"/>
              <w:left w:w="110" w:type="dxa"/>
              <w:bottom w:w="70" w:type="dxa"/>
              <w:right w:w="110" w:type="dxa"/>
            </w:tcMar>
            <w:vAlign w:val="center"/>
          </w:tcPr>
          <w:p w:rsidR="00BC2100" w:rsidRDefault="00CC79F5">
            <w:pPr>
              <w:spacing w:line="276" w:lineRule="auto"/>
            </w:pPr>
            <w:r>
              <w:rPr>
                <w:sz w:val="20"/>
                <w:szCs w:val="20"/>
              </w:rPr>
              <w:t>Which workshop, which deadline, and whether an advisor would co-author</w:t>
            </w:r>
          </w:p>
        </w:tc>
      </w:tr>
    </w:tbl>
    <w:p w:rsidR="00BC2100" w:rsidRDefault="00BC2100">
      <w:pPr>
        <w:spacing w:after="100" w:line="276" w:lineRule="auto"/>
      </w:pPr>
    </w:p>
    <w:p w:rsidR="00BC2100" w:rsidRDefault="00CC79F5">
      <w:pPr>
        <w:spacing w:after="120" w:line="276" w:lineRule="auto"/>
      </w:pPr>
      <w:r>
        <w:rPr>
          <w:i/>
          <w:iCs/>
        </w:rPr>
        <w:t>Worth emphasising when you approach a professor: this is not a request to supervise from scratch. The design is done, the analysis pipeline is built and validated, the literature position is written, and the whole thing is publicly auditable. The ask is c</w:t>
      </w:r>
      <w:r>
        <w:rPr>
          <w:i/>
          <w:iCs/>
        </w:rPr>
        <w:t>ompute, an ethics route, and guidance — not rescue.</w:t>
      </w:r>
    </w:p>
    <w:p w:rsidR="00BC2100" w:rsidRDefault="00CC79F5">
      <w:pPr>
        <w:pStyle w:val="Heading1"/>
        <w:spacing w:before="340" w:after="160"/>
      </w:pPr>
      <w:r>
        <w:rPr>
          <w:b/>
          <w:bCs/>
          <w:color w:val="1F3864"/>
          <w:sz w:val="30"/>
          <w:szCs w:val="30"/>
        </w:rPr>
        <w:t>10.  Agenda — what to decide today</w:t>
      </w:r>
    </w:p>
    <w:p w:rsidR="00BC2100" w:rsidRDefault="00CC79F5">
      <w:pPr>
        <w:spacing w:after="120" w:line="276" w:lineRule="auto"/>
      </w:pPr>
      <w:r>
        <w:t>If we get through nothing else, get through this.</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600"/>
        <w:gridCol w:w="4200"/>
        <w:gridCol w:w="4226"/>
      </w:tblGrid>
      <w:tr w:rsidR="00BC2100">
        <w:tblPrEx>
          <w:tblCellMar>
            <w:top w:w="0" w:type="dxa"/>
            <w:bottom w:w="0" w:type="dxa"/>
          </w:tblCellMar>
        </w:tblPrEx>
        <w:trPr>
          <w:tblHeader/>
        </w:trPr>
        <w:tc>
          <w:tcPr>
            <w:tcW w:w="6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w:t>
            </w:r>
          </w:p>
        </w:tc>
        <w:tc>
          <w:tcPr>
            <w:tcW w:w="42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Decision</w:t>
            </w:r>
          </w:p>
        </w:tc>
        <w:tc>
          <w:tcPr>
            <w:tcW w:w="42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Notes</w:t>
            </w:r>
          </w:p>
        </w:tc>
      </w:tr>
      <w:tr w:rsidR="00BC2100">
        <w:tblPrEx>
          <w:tblCellMar>
            <w:top w:w="0" w:type="dxa"/>
            <w:bottom w:w="0" w:type="dxa"/>
          </w:tblCellMar>
        </w:tblPrEx>
        <w:tc>
          <w:tcPr>
            <w:tcW w:w="600" w:type="dxa"/>
            <w:tcMar>
              <w:top w:w="70" w:type="dxa"/>
              <w:left w:w="110" w:type="dxa"/>
              <w:bottom w:w="70" w:type="dxa"/>
              <w:right w:w="110" w:type="dxa"/>
            </w:tcMar>
            <w:vAlign w:val="center"/>
          </w:tcPr>
          <w:p w:rsidR="00BC2100" w:rsidRDefault="00CC79F5">
            <w:pPr>
              <w:spacing w:line="276" w:lineRule="auto"/>
            </w:pPr>
            <w:r>
              <w:rPr>
                <w:sz w:val="20"/>
                <w:szCs w:val="20"/>
              </w:rPr>
              <w:t>1</w:t>
            </w:r>
          </w:p>
        </w:tc>
        <w:tc>
          <w:tcPr>
            <w:tcW w:w="4200" w:type="dxa"/>
            <w:tcMar>
              <w:top w:w="70" w:type="dxa"/>
              <w:left w:w="110" w:type="dxa"/>
              <w:bottom w:w="70" w:type="dxa"/>
              <w:right w:w="110" w:type="dxa"/>
            </w:tcMar>
            <w:vAlign w:val="center"/>
          </w:tcPr>
          <w:p w:rsidR="00BC2100" w:rsidRDefault="00CC79F5">
            <w:pPr>
              <w:spacing w:line="276" w:lineRule="auto"/>
            </w:pPr>
            <w:r>
              <w:rPr>
                <w:sz w:val="20"/>
                <w:szCs w:val="20"/>
              </w:rPr>
              <w:t>Are you in, and at what intensity?</w:t>
            </w:r>
          </w:p>
        </w:tc>
        <w:tc>
          <w:tcPr>
            <w:tcW w:w="4226" w:type="dxa"/>
            <w:tcMar>
              <w:top w:w="70" w:type="dxa"/>
              <w:left w:w="110" w:type="dxa"/>
              <w:bottom w:w="70" w:type="dxa"/>
              <w:right w:w="110" w:type="dxa"/>
            </w:tcMar>
            <w:vAlign w:val="center"/>
          </w:tcPr>
          <w:p w:rsidR="00BC2100" w:rsidRDefault="00CC79F5">
            <w:pPr>
              <w:spacing w:line="276" w:lineRule="auto"/>
            </w:pPr>
            <w:r>
              <w:rPr>
                <w:sz w:val="20"/>
                <w:szCs w:val="20"/>
              </w:rPr>
              <w:t>Realistic hours per week matters more than enthusiasm</w:t>
            </w:r>
          </w:p>
        </w:tc>
      </w:tr>
      <w:tr w:rsidR="00BC2100">
        <w:tblPrEx>
          <w:tblCellMar>
            <w:top w:w="0" w:type="dxa"/>
            <w:bottom w:w="0" w:type="dxa"/>
          </w:tblCellMar>
        </w:tblPrEx>
        <w:tc>
          <w:tcPr>
            <w:tcW w:w="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2</w:t>
            </w:r>
          </w:p>
        </w:tc>
        <w:tc>
          <w:tcPr>
            <w:tcW w:w="42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Authorship order and contribution roles</w:t>
            </w:r>
          </w:p>
        </w:tc>
        <w:tc>
          <w:tcPr>
            <w:tcW w:w="42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Agreed in writing now, before any results exist. This is standard practice and it prevents the single most common way collaborations break</w:t>
            </w:r>
          </w:p>
        </w:tc>
      </w:tr>
      <w:tr w:rsidR="00BC2100">
        <w:tblPrEx>
          <w:tblCellMar>
            <w:top w:w="0" w:type="dxa"/>
            <w:bottom w:w="0" w:type="dxa"/>
          </w:tblCellMar>
        </w:tblPrEx>
        <w:tc>
          <w:tcPr>
            <w:tcW w:w="600" w:type="dxa"/>
            <w:tcMar>
              <w:top w:w="70" w:type="dxa"/>
              <w:left w:w="110" w:type="dxa"/>
              <w:bottom w:w="70" w:type="dxa"/>
              <w:right w:w="110" w:type="dxa"/>
            </w:tcMar>
            <w:vAlign w:val="center"/>
          </w:tcPr>
          <w:p w:rsidR="00BC2100" w:rsidRDefault="00CC79F5">
            <w:pPr>
              <w:spacing w:line="276" w:lineRule="auto"/>
            </w:pPr>
            <w:r>
              <w:rPr>
                <w:sz w:val="20"/>
                <w:szCs w:val="20"/>
              </w:rPr>
              <w:t>3</w:t>
            </w:r>
          </w:p>
        </w:tc>
        <w:tc>
          <w:tcPr>
            <w:tcW w:w="4200" w:type="dxa"/>
            <w:tcMar>
              <w:top w:w="70" w:type="dxa"/>
              <w:left w:w="110" w:type="dxa"/>
              <w:bottom w:w="70" w:type="dxa"/>
              <w:right w:w="110" w:type="dxa"/>
            </w:tcMar>
            <w:vAlign w:val="center"/>
          </w:tcPr>
          <w:p w:rsidR="00BC2100" w:rsidRDefault="00CC79F5">
            <w:pPr>
              <w:spacing w:line="276" w:lineRule="auto"/>
            </w:pPr>
            <w:r>
              <w:rPr>
                <w:sz w:val="20"/>
                <w:szCs w:val="20"/>
              </w:rPr>
              <w:t>Does the work split in Section 8 look fair to you?</w:t>
            </w:r>
          </w:p>
        </w:tc>
        <w:tc>
          <w:tcPr>
            <w:tcW w:w="4226" w:type="dxa"/>
            <w:tcMar>
              <w:top w:w="70" w:type="dxa"/>
              <w:left w:w="110" w:type="dxa"/>
              <w:bottom w:w="70" w:type="dxa"/>
              <w:right w:w="110" w:type="dxa"/>
            </w:tcMar>
            <w:vAlign w:val="center"/>
          </w:tcPr>
          <w:p w:rsidR="00BC2100" w:rsidRDefault="00CC79F5">
            <w:pPr>
              <w:spacing w:line="276" w:lineRule="auto"/>
            </w:pPr>
            <w:r>
              <w:rPr>
                <w:sz w:val="20"/>
                <w:szCs w:val="20"/>
              </w:rPr>
              <w:t>Say now if you want a different piece</w:t>
            </w:r>
          </w:p>
        </w:tc>
      </w:tr>
      <w:tr w:rsidR="00BC2100">
        <w:tblPrEx>
          <w:tblCellMar>
            <w:top w:w="0" w:type="dxa"/>
            <w:bottom w:w="0" w:type="dxa"/>
          </w:tblCellMar>
        </w:tblPrEx>
        <w:tc>
          <w:tcPr>
            <w:tcW w:w="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4</w:t>
            </w:r>
          </w:p>
        </w:tc>
        <w:tc>
          <w:tcPr>
            <w:tcW w:w="42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Advisor — who, and who approaches them?</w:t>
            </w:r>
          </w:p>
        </w:tc>
        <w:tc>
          <w:tcPr>
            <w:tcW w:w="42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Ideally within two weeks</w:t>
            </w:r>
          </w:p>
        </w:tc>
      </w:tr>
      <w:tr w:rsidR="00BC2100">
        <w:tblPrEx>
          <w:tblCellMar>
            <w:top w:w="0" w:type="dxa"/>
            <w:bottom w:w="0" w:type="dxa"/>
          </w:tblCellMar>
        </w:tblPrEx>
        <w:tc>
          <w:tcPr>
            <w:tcW w:w="600" w:type="dxa"/>
            <w:tcMar>
              <w:top w:w="70" w:type="dxa"/>
              <w:left w:w="110" w:type="dxa"/>
              <w:bottom w:w="70" w:type="dxa"/>
              <w:right w:w="110" w:type="dxa"/>
            </w:tcMar>
            <w:vAlign w:val="center"/>
          </w:tcPr>
          <w:p w:rsidR="00BC2100" w:rsidRDefault="00CC79F5">
            <w:pPr>
              <w:spacing w:line="276" w:lineRule="auto"/>
            </w:pPr>
            <w:r>
              <w:rPr>
                <w:sz w:val="20"/>
                <w:szCs w:val="20"/>
              </w:rPr>
              <w:lastRenderedPageBreak/>
              <w:t>5</w:t>
            </w:r>
          </w:p>
        </w:tc>
        <w:tc>
          <w:tcPr>
            <w:tcW w:w="4200" w:type="dxa"/>
            <w:tcMar>
              <w:top w:w="70" w:type="dxa"/>
              <w:left w:w="110" w:type="dxa"/>
              <w:bottom w:w="70" w:type="dxa"/>
              <w:right w:w="110" w:type="dxa"/>
            </w:tcMar>
            <w:vAlign w:val="center"/>
          </w:tcPr>
          <w:p w:rsidR="00BC2100" w:rsidRDefault="00CC79F5">
            <w:pPr>
              <w:spacing w:line="276" w:lineRule="auto"/>
            </w:pPr>
            <w:r>
              <w:rPr>
                <w:sz w:val="20"/>
                <w:szCs w:val="20"/>
              </w:rPr>
              <w:t>Compute route</w:t>
            </w:r>
          </w:p>
        </w:tc>
        <w:tc>
          <w:tcPr>
            <w:tcW w:w="4226" w:type="dxa"/>
            <w:tcMar>
              <w:top w:w="70" w:type="dxa"/>
              <w:left w:w="110" w:type="dxa"/>
              <w:bottom w:w="70" w:type="dxa"/>
              <w:right w:w="110" w:type="dxa"/>
            </w:tcMar>
            <w:vAlign w:val="center"/>
          </w:tcPr>
          <w:p w:rsidR="00BC2100" w:rsidRDefault="00CC79F5">
            <w:pPr>
              <w:spacing w:line="276" w:lineRule="auto"/>
            </w:pPr>
            <w:r>
              <w:rPr>
                <w:sz w:val="20"/>
                <w:szCs w:val="20"/>
              </w:rPr>
              <w:t>Institute cluster, grant, or self-funded pilot first</w:t>
            </w:r>
          </w:p>
        </w:tc>
      </w:tr>
      <w:tr w:rsidR="00BC2100">
        <w:tblPrEx>
          <w:tblCellMar>
            <w:top w:w="0" w:type="dxa"/>
            <w:bottom w:w="0" w:type="dxa"/>
          </w:tblCellMar>
        </w:tblPrEx>
        <w:tc>
          <w:tcPr>
            <w:tcW w:w="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6</w:t>
            </w:r>
          </w:p>
        </w:tc>
        <w:tc>
          <w:tcPr>
            <w:tcW w:w="42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Whether an advisor joins as an author</w:t>
            </w:r>
          </w:p>
        </w:tc>
        <w:tc>
          <w:tcPr>
            <w:tcW w:w="42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Affects venue strategy</w:t>
            </w:r>
          </w:p>
        </w:tc>
      </w:tr>
      <w:tr w:rsidR="00BC2100">
        <w:tblPrEx>
          <w:tblCellMar>
            <w:top w:w="0" w:type="dxa"/>
            <w:bottom w:w="0" w:type="dxa"/>
          </w:tblCellMar>
        </w:tblPrEx>
        <w:tc>
          <w:tcPr>
            <w:tcW w:w="600" w:type="dxa"/>
            <w:tcMar>
              <w:top w:w="70" w:type="dxa"/>
              <w:left w:w="110" w:type="dxa"/>
              <w:bottom w:w="70" w:type="dxa"/>
              <w:right w:w="110" w:type="dxa"/>
            </w:tcMar>
            <w:vAlign w:val="center"/>
          </w:tcPr>
          <w:p w:rsidR="00BC2100" w:rsidRDefault="00CC79F5">
            <w:pPr>
              <w:spacing w:line="276" w:lineRule="auto"/>
            </w:pPr>
            <w:r>
              <w:rPr>
                <w:sz w:val="20"/>
                <w:szCs w:val="20"/>
              </w:rPr>
              <w:t>7</w:t>
            </w:r>
          </w:p>
        </w:tc>
        <w:tc>
          <w:tcPr>
            <w:tcW w:w="4200" w:type="dxa"/>
            <w:tcMar>
              <w:top w:w="70" w:type="dxa"/>
              <w:left w:w="110" w:type="dxa"/>
              <w:bottom w:w="70" w:type="dxa"/>
              <w:right w:w="110" w:type="dxa"/>
            </w:tcMar>
            <w:vAlign w:val="center"/>
          </w:tcPr>
          <w:p w:rsidR="00BC2100" w:rsidRDefault="00CC79F5">
            <w:pPr>
              <w:spacing w:line="276" w:lineRule="auto"/>
            </w:pPr>
            <w:r>
              <w:rPr>
                <w:sz w:val="20"/>
                <w:szCs w:val="20"/>
              </w:rPr>
              <w:t>Weekly cadence</w:t>
            </w:r>
          </w:p>
        </w:tc>
        <w:tc>
          <w:tcPr>
            <w:tcW w:w="4226" w:type="dxa"/>
            <w:tcMar>
              <w:top w:w="70" w:type="dxa"/>
              <w:left w:w="110" w:type="dxa"/>
              <w:bottom w:w="70" w:type="dxa"/>
              <w:right w:w="110" w:type="dxa"/>
            </w:tcMar>
            <w:vAlign w:val="center"/>
          </w:tcPr>
          <w:p w:rsidR="00BC2100" w:rsidRDefault="00CC79F5">
            <w:pPr>
              <w:spacing w:line="276" w:lineRule="auto"/>
            </w:pPr>
            <w:r>
              <w:rPr>
                <w:sz w:val="20"/>
                <w:szCs w:val="20"/>
              </w:rPr>
              <w:t>Proposal: one 30-minute call, plus written log entries</w:t>
            </w:r>
          </w:p>
        </w:tc>
      </w:tr>
      <w:tr w:rsidR="00BC2100">
        <w:tblPrEx>
          <w:tblCellMar>
            <w:top w:w="0" w:type="dxa"/>
            <w:bottom w:w="0" w:type="dxa"/>
          </w:tblCellMar>
        </w:tblPrEx>
        <w:tc>
          <w:tcPr>
            <w:tcW w:w="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8</w:t>
            </w:r>
          </w:p>
        </w:tc>
        <w:tc>
          <w:tcPr>
            <w:tcW w:w="42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Anything in Section 6 that worries you</w:t>
            </w:r>
          </w:p>
        </w:tc>
        <w:tc>
          <w:tcPr>
            <w:tcW w:w="42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Better raised now than in week six</w:t>
            </w:r>
          </w:p>
        </w:tc>
      </w:tr>
    </w:tbl>
    <w:p w:rsidR="00BC2100" w:rsidRDefault="00CC79F5">
      <w:pPr>
        <w:pStyle w:val="Heading1"/>
        <w:spacing w:before="340" w:after="160"/>
      </w:pPr>
      <w:r>
        <w:rPr>
          <w:b/>
          <w:bCs/>
          <w:color w:val="1F3864"/>
          <w:sz w:val="30"/>
          <w:szCs w:val="30"/>
        </w:rPr>
        <w:t>11.  Indicative sequence</w:t>
      </w:r>
    </w:p>
    <w:p w:rsidR="00BC2100" w:rsidRDefault="00CC79F5">
      <w:pPr>
        <w:spacing w:after="120" w:line="276" w:lineRule="auto"/>
      </w:pPr>
      <w:r>
        <w:t>Deliberately not dated — we hold the quality gate, not a calendar. Rough ordering:</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1500"/>
        <w:gridCol w:w="3600"/>
        <w:gridCol w:w="3926"/>
      </w:tblGrid>
      <w:tr w:rsidR="00BC2100">
        <w:tblPrEx>
          <w:tblCellMar>
            <w:top w:w="0" w:type="dxa"/>
            <w:bottom w:w="0" w:type="dxa"/>
          </w:tblCellMar>
        </w:tblPrEx>
        <w:trPr>
          <w:tblHeader/>
        </w:trPr>
        <w:tc>
          <w:tcPr>
            <w:tcW w:w="15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Stage</w:t>
            </w:r>
          </w:p>
        </w:tc>
        <w:tc>
          <w:tcPr>
            <w:tcW w:w="36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Work</w:t>
            </w:r>
          </w:p>
        </w:tc>
        <w:tc>
          <w:tcPr>
            <w:tcW w:w="39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Gated on</w:t>
            </w:r>
          </w:p>
        </w:tc>
      </w:tr>
      <w:tr w:rsidR="00BC2100">
        <w:tblPrEx>
          <w:tblCellMar>
            <w:top w:w="0" w:type="dxa"/>
            <w:bottom w:w="0" w:type="dxa"/>
          </w:tblCellMar>
        </w:tblPrEx>
        <w:tc>
          <w:tcPr>
            <w:tcW w:w="1500" w:type="dxa"/>
            <w:tcMar>
              <w:top w:w="70" w:type="dxa"/>
              <w:left w:w="110" w:type="dxa"/>
              <w:bottom w:w="70" w:type="dxa"/>
              <w:right w:w="110" w:type="dxa"/>
            </w:tcMar>
            <w:vAlign w:val="center"/>
          </w:tcPr>
          <w:p w:rsidR="00BC2100" w:rsidRDefault="00CC79F5">
            <w:pPr>
              <w:spacing w:line="276" w:lineRule="auto"/>
            </w:pPr>
            <w:r>
              <w:rPr>
                <w:sz w:val="20"/>
                <w:szCs w:val="20"/>
              </w:rPr>
              <w:t>Now</w:t>
            </w:r>
          </w:p>
        </w:tc>
        <w:tc>
          <w:tcPr>
            <w:tcW w:w="3600" w:type="dxa"/>
            <w:tcMar>
              <w:top w:w="70" w:type="dxa"/>
              <w:left w:w="110" w:type="dxa"/>
              <w:bottom w:w="70" w:type="dxa"/>
              <w:right w:w="110" w:type="dxa"/>
            </w:tcMar>
            <w:vAlign w:val="center"/>
          </w:tcPr>
          <w:p w:rsidR="00BC2100" w:rsidRDefault="00CC79F5">
            <w:pPr>
              <w:spacing w:line="276" w:lineRule="auto"/>
            </w:pPr>
            <w:r>
              <w:rPr>
                <w:sz w:val="20"/>
                <w:szCs w:val="20"/>
              </w:rPr>
              <w:t>Simulation engine (stub agents, no GPU); topology module; prior-art coverage; fact-suite verification</w:t>
            </w:r>
          </w:p>
        </w:tc>
        <w:tc>
          <w:tcPr>
            <w:tcW w:w="3926" w:type="dxa"/>
            <w:tcMar>
              <w:top w:w="70" w:type="dxa"/>
              <w:left w:w="110" w:type="dxa"/>
              <w:bottom w:w="70" w:type="dxa"/>
              <w:right w:w="110" w:type="dxa"/>
            </w:tcMar>
            <w:vAlign w:val="center"/>
          </w:tcPr>
          <w:p w:rsidR="00BC2100" w:rsidRDefault="00CC79F5">
            <w:pPr>
              <w:spacing w:line="276" w:lineRule="auto"/>
            </w:pPr>
            <w:r>
              <w:rPr>
                <w:sz w:val="20"/>
                <w:szCs w:val="20"/>
              </w:rPr>
              <w:t>Nothing — all GPU-free</w:t>
            </w:r>
          </w:p>
        </w:tc>
      </w:tr>
      <w:tr w:rsidR="00BC2100">
        <w:tblPrEx>
          <w:tblCellMar>
            <w:top w:w="0" w:type="dxa"/>
            <w:bottom w:w="0" w:type="dxa"/>
          </w:tblCellMar>
        </w:tblPrEx>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Next</w:t>
            </w:r>
          </w:p>
        </w:tc>
        <w:tc>
          <w:tcPr>
            <w:tcW w:w="3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Pilot: model accuracy, fact validation, belief-instrument checks, cost measurement</w:t>
            </w:r>
          </w:p>
        </w:tc>
        <w:tc>
          <w:tcPr>
            <w:tcW w:w="3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A few GPU-hours</w:t>
            </w:r>
          </w:p>
        </w:tc>
      </w:tr>
      <w:tr w:rsidR="00BC2100">
        <w:tblPrEx>
          <w:tblCellMar>
            <w:top w:w="0" w:type="dxa"/>
            <w:bottom w:w="0" w:type="dxa"/>
          </w:tblCellMar>
        </w:tblPrEx>
        <w:tc>
          <w:tcPr>
            <w:tcW w:w="1500" w:type="dxa"/>
            <w:tcMar>
              <w:top w:w="70" w:type="dxa"/>
              <w:left w:w="110" w:type="dxa"/>
              <w:bottom w:w="70" w:type="dxa"/>
              <w:right w:w="110" w:type="dxa"/>
            </w:tcMar>
            <w:vAlign w:val="center"/>
          </w:tcPr>
          <w:p w:rsidR="00BC2100" w:rsidRDefault="00CC79F5">
            <w:pPr>
              <w:spacing w:line="276" w:lineRule="auto"/>
            </w:pPr>
            <w:r>
              <w:rPr>
                <w:sz w:val="20"/>
                <w:szCs w:val="20"/>
              </w:rPr>
              <w:t>Then</w:t>
            </w:r>
          </w:p>
        </w:tc>
        <w:tc>
          <w:tcPr>
            <w:tcW w:w="3600" w:type="dxa"/>
            <w:tcMar>
              <w:top w:w="70" w:type="dxa"/>
              <w:left w:w="110" w:type="dxa"/>
              <w:bottom w:w="70" w:type="dxa"/>
              <w:right w:w="110" w:type="dxa"/>
            </w:tcMar>
            <w:vAlign w:val="center"/>
          </w:tcPr>
          <w:p w:rsidR="00BC2100" w:rsidRDefault="00CC79F5">
            <w:pPr>
              <w:spacing w:line="276" w:lineRule="auto"/>
            </w:pPr>
            <w:r>
              <w:rPr>
                <w:sz w:val="20"/>
                <w:szCs w:val="20"/>
              </w:rPr>
              <w:t>Freeze and hash the preregistration</w:t>
            </w:r>
          </w:p>
        </w:tc>
        <w:tc>
          <w:tcPr>
            <w:tcW w:w="3926" w:type="dxa"/>
            <w:tcMar>
              <w:top w:w="70" w:type="dxa"/>
              <w:left w:w="110" w:type="dxa"/>
              <w:bottom w:w="70" w:type="dxa"/>
              <w:right w:w="110" w:type="dxa"/>
            </w:tcMar>
            <w:vAlign w:val="center"/>
          </w:tcPr>
          <w:p w:rsidR="00BC2100" w:rsidRDefault="00CC79F5">
            <w:pPr>
              <w:spacing w:line="276" w:lineRule="auto"/>
            </w:pPr>
            <w:r>
              <w:rPr>
                <w:sz w:val="20"/>
                <w:szCs w:val="20"/>
              </w:rPr>
              <w:t>Pilot results + power re-run</w:t>
            </w:r>
          </w:p>
        </w:tc>
      </w:tr>
      <w:tr w:rsidR="00BC2100">
        <w:tblPrEx>
          <w:tblCellMar>
            <w:top w:w="0" w:type="dxa"/>
            <w:bottom w:w="0" w:type="dxa"/>
          </w:tblCellMar>
        </w:tblPrEx>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Then</w:t>
            </w:r>
          </w:p>
        </w:tc>
        <w:tc>
          <w:tcPr>
            <w:tcW w:w="3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Main experiment</w:t>
            </w:r>
          </w:p>
        </w:tc>
        <w:tc>
          <w:tcPr>
            <w:tcW w:w="3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Compute</w:t>
            </w:r>
          </w:p>
        </w:tc>
      </w:tr>
      <w:tr w:rsidR="00BC2100">
        <w:tblPrEx>
          <w:tblCellMar>
            <w:top w:w="0" w:type="dxa"/>
            <w:bottom w:w="0" w:type="dxa"/>
          </w:tblCellMar>
        </w:tblPrEx>
        <w:tc>
          <w:tcPr>
            <w:tcW w:w="1500" w:type="dxa"/>
            <w:tcMar>
              <w:top w:w="70" w:type="dxa"/>
              <w:left w:w="110" w:type="dxa"/>
              <w:bottom w:w="70" w:type="dxa"/>
              <w:right w:w="110" w:type="dxa"/>
            </w:tcMar>
            <w:vAlign w:val="center"/>
          </w:tcPr>
          <w:p w:rsidR="00BC2100" w:rsidRDefault="00CC79F5">
            <w:pPr>
              <w:spacing w:line="276" w:lineRule="auto"/>
            </w:pPr>
            <w:r>
              <w:rPr>
                <w:sz w:val="20"/>
                <w:szCs w:val="20"/>
              </w:rPr>
              <w:t>Then</w:t>
            </w:r>
          </w:p>
        </w:tc>
        <w:tc>
          <w:tcPr>
            <w:tcW w:w="3600" w:type="dxa"/>
            <w:tcMar>
              <w:top w:w="70" w:type="dxa"/>
              <w:left w:w="110" w:type="dxa"/>
              <w:bottom w:w="70" w:type="dxa"/>
              <w:right w:w="110" w:type="dxa"/>
            </w:tcMar>
            <w:vAlign w:val="center"/>
          </w:tcPr>
          <w:p w:rsidR="00BC2100" w:rsidRDefault="00CC79F5">
            <w:pPr>
              <w:spacing w:line="276" w:lineRule="auto"/>
            </w:pPr>
            <w:r>
              <w:rPr>
                <w:sz w:val="20"/>
                <w:szCs w:val="20"/>
              </w:rPr>
              <w:t>Analysis, human validation, dashboard</w:t>
            </w:r>
          </w:p>
        </w:tc>
        <w:tc>
          <w:tcPr>
            <w:tcW w:w="3926" w:type="dxa"/>
            <w:tcMar>
              <w:top w:w="70" w:type="dxa"/>
              <w:left w:w="110" w:type="dxa"/>
              <w:bottom w:w="70" w:type="dxa"/>
              <w:right w:w="110" w:type="dxa"/>
            </w:tcMar>
            <w:vAlign w:val="center"/>
          </w:tcPr>
          <w:p w:rsidR="00BC2100" w:rsidRDefault="00CC79F5">
            <w:pPr>
              <w:spacing w:line="276" w:lineRule="auto"/>
            </w:pPr>
            <w:r>
              <w:rPr>
                <w:sz w:val="20"/>
                <w:szCs w:val="20"/>
              </w:rPr>
              <w:t>Data</w:t>
            </w:r>
          </w:p>
        </w:tc>
      </w:tr>
      <w:tr w:rsidR="00BC2100">
        <w:tblPrEx>
          <w:tblCellMar>
            <w:top w:w="0" w:type="dxa"/>
            <w:bottom w:w="0" w:type="dxa"/>
          </w:tblCellMar>
        </w:tblPrEx>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Finally</w:t>
            </w:r>
          </w:p>
        </w:tc>
        <w:tc>
          <w:tcPr>
            <w:tcW w:w="36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 xml:space="preserve">Paper, </w:t>
            </w:r>
            <w:proofErr w:type="spellStart"/>
            <w:r>
              <w:rPr>
                <w:sz w:val="20"/>
                <w:szCs w:val="20"/>
              </w:rPr>
              <w:t>arXiv</w:t>
            </w:r>
            <w:proofErr w:type="spellEnd"/>
            <w:r>
              <w:rPr>
                <w:sz w:val="20"/>
                <w:szCs w:val="20"/>
              </w:rPr>
              <w:t>, workshop submission</w:t>
            </w:r>
          </w:p>
        </w:tc>
        <w:tc>
          <w:tcPr>
            <w:tcW w:w="39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Results</w:t>
            </w:r>
          </w:p>
        </w:tc>
      </w:tr>
    </w:tbl>
    <w:p w:rsidR="00BC2100" w:rsidRDefault="00CC79F5">
      <w:r>
        <w:br w:type="page"/>
      </w:r>
    </w:p>
    <w:p w:rsidR="00BC2100" w:rsidRDefault="00CC79F5">
      <w:pPr>
        <w:pStyle w:val="Heading1"/>
        <w:spacing w:before="340" w:after="160"/>
      </w:pPr>
      <w:r>
        <w:rPr>
          <w:b/>
          <w:bCs/>
          <w:color w:val="1F3864"/>
          <w:sz w:val="30"/>
          <w:szCs w:val="30"/>
        </w:rPr>
        <w:lastRenderedPageBreak/>
        <w:t>Appendix — key papers</w:t>
      </w:r>
    </w:p>
    <w:p w:rsidR="00BC2100" w:rsidRDefault="00CC79F5">
      <w:pPr>
        <w:spacing w:after="120" w:line="276" w:lineRule="auto"/>
      </w:pPr>
      <w:r>
        <w:rPr>
          <w:i/>
          <w:iCs/>
          <w:color w:val="595959"/>
        </w:rPr>
        <w:t>Full notes, threat ratings and the corrected citations are in the repository under docs/02-literature/.</w:t>
      </w:r>
    </w:p>
    <w:tbl>
      <w:tblPr>
        <w:tblW w:w="9026" w:type="dxa"/>
        <w:tblInd w:w="110" w:type="dxa"/>
        <w:tblBorders>
          <w:top w:val="single" w:sz="2" w:space="0" w:color="BFC9D9"/>
          <w:left w:val="single" w:sz="2" w:space="0" w:color="BFC9D9"/>
          <w:bottom w:val="single" w:sz="2" w:space="0" w:color="BFC9D9"/>
          <w:right w:val="single" w:sz="2" w:space="0" w:color="BFC9D9"/>
          <w:insideH w:val="single" w:sz="2" w:space="0" w:color="D6DCE7"/>
          <w:insideV w:val="single" w:sz="2" w:space="0" w:color="D6DCE7"/>
        </w:tblBorders>
        <w:tblCellMar>
          <w:left w:w="10" w:type="dxa"/>
          <w:right w:w="10" w:type="dxa"/>
        </w:tblCellMar>
        <w:tblLook w:val="0000" w:firstRow="0" w:lastRow="0" w:firstColumn="0" w:lastColumn="0" w:noHBand="0" w:noVBand="0"/>
      </w:tblPr>
      <w:tblGrid>
        <w:gridCol w:w="3400"/>
        <w:gridCol w:w="1500"/>
        <w:gridCol w:w="4126"/>
      </w:tblGrid>
      <w:tr w:rsidR="00BC2100">
        <w:tblPrEx>
          <w:tblCellMar>
            <w:top w:w="0" w:type="dxa"/>
            <w:bottom w:w="0" w:type="dxa"/>
          </w:tblCellMar>
        </w:tblPrEx>
        <w:trPr>
          <w:tblHeader/>
        </w:trPr>
        <w:tc>
          <w:tcPr>
            <w:tcW w:w="3400"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Paper</w:t>
            </w:r>
          </w:p>
        </w:tc>
        <w:tc>
          <w:tcPr>
            <w:tcW w:w="1500" w:type="dxa"/>
            <w:shd w:val="clear" w:color="auto" w:fill="E8EDF5"/>
            <w:tcMar>
              <w:top w:w="70" w:type="dxa"/>
              <w:left w:w="110" w:type="dxa"/>
              <w:bottom w:w="70" w:type="dxa"/>
              <w:right w:w="110" w:type="dxa"/>
            </w:tcMar>
            <w:vAlign w:val="center"/>
          </w:tcPr>
          <w:p w:rsidR="00BC2100" w:rsidRDefault="00CC79F5">
            <w:pPr>
              <w:spacing w:line="276" w:lineRule="auto"/>
            </w:pPr>
            <w:proofErr w:type="spellStart"/>
            <w:r>
              <w:rPr>
                <w:b/>
                <w:bCs/>
                <w:sz w:val="20"/>
                <w:szCs w:val="20"/>
              </w:rPr>
              <w:t>arXiv</w:t>
            </w:r>
            <w:proofErr w:type="spellEnd"/>
            <w:r>
              <w:rPr>
                <w:b/>
                <w:bCs/>
                <w:sz w:val="20"/>
                <w:szCs w:val="20"/>
              </w:rPr>
              <w:t xml:space="preserve"> / venue</w:t>
            </w:r>
          </w:p>
        </w:tc>
        <w:tc>
          <w:tcPr>
            <w:tcW w:w="4126" w:type="dxa"/>
            <w:shd w:val="clear" w:color="auto" w:fill="E8EDF5"/>
            <w:tcMar>
              <w:top w:w="70" w:type="dxa"/>
              <w:left w:w="110" w:type="dxa"/>
              <w:bottom w:w="70" w:type="dxa"/>
              <w:right w:w="110" w:type="dxa"/>
            </w:tcMar>
            <w:vAlign w:val="center"/>
          </w:tcPr>
          <w:p w:rsidR="00BC2100" w:rsidRDefault="00CC79F5">
            <w:pPr>
              <w:spacing w:line="276" w:lineRule="auto"/>
            </w:pPr>
            <w:r>
              <w:rPr>
                <w:b/>
                <w:bCs/>
                <w:sz w:val="20"/>
                <w:szCs w:val="20"/>
              </w:rPr>
              <w:t>Why it matters to us</w:t>
            </w:r>
          </w:p>
        </w:tc>
      </w:tr>
      <w:tr w:rsidR="00BC2100">
        <w:tblPrEx>
          <w:tblCellMar>
            <w:top w:w="0" w:type="dxa"/>
            <w:bottom w:w="0" w:type="dxa"/>
          </w:tblCellMar>
        </w:tblPrEx>
        <w:tc>
          <w:tcPr>
            <w:tcW w:w="3400" w:type="dxa"/>
            <w:tcMar>
              <w:top w:w="70" w:type="dxa"/>
              <w:left w:w="110" w:type="dxa"/>
              <w:bottom w:w="70" w:type="dxa"/>
              <w:right w:w="110" w:type="dxa"/>
            </w:tcMar>
            <w:vAlign w:val="center"/>
          </w:tcPr>
          <w:p w:rsidR="00BC2100" w:rsidRDefault="00CC79F5">
            <w:pPr>
              <w:spacing w:line="276" w:lineRule="auto"/>
            </w:pPr>
            <w:proofErr w:type="spellStart"/>
            <w:r>
              <w:rPr>
                <w:sz w:val="20"/>
                <w:szCs w:val="20"/>
              </w:rPr>
              <w:t>Nilayam</w:t>
            </w:r>
            <w:proofErr w:type="spellEnd"/>
            <w:r>
              <w:rPr>
                <w:sz w:val="20"/>
                <w:szCs w:val="20"/>
              </w:rPr>
              <w:t xml:space="preserve"> et al., Heterogeneous LLM Debate Under Adversarial Peers</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2606.19826</w:t>
            </w:r>
          </w:p>
        </w:tc>
        <w:tc>
          <w:tcPr>
            <w:tcW w:w="4126" w:type="dxa"/>
            <w:tcMar>
              <w:top w:w="70" w:type="dxa"/>
              <w:left w:w="110" w:type="dxa"/>
              <w:bottom w:w="70" w:type="dxa"/>
              <w:right w:w="110" w:type="dxa"/>
            </w:tcMar>
            <w:vAlign w:val="center"/>
          </w:tcPr>
          <w:p w:rsidR="00BC2100" w:rsidRDefault="00CC79F5">
            <w:pPr>
              <w:spacing w:line="276" w:lineRule="auto"/>
            </w:pPr>
            <w:r>
              <w:rPr>
                <w:sz w:val="20"/>
                <w:szCs w:val="20"/>
              </w:rPr>
              <w:t>Closest result. Heterogeneity protects under attack — but at one revision step only</w:t>
            </w:r>
          </w:p>
        </w:tc>
      </w:tr>
      <w:tr w:rsidR="00BC2100">
        <w:tblPrEx>
          <w:tblCellMar>
            <w:top w:w="0" w:type="dxa"/>
            <w:bottom w:w="0" w:type="dxa"/>
          </w:tblCellMar>
        </w:tblPrEx>
        <w:tc>
          <w:tcPr>
            <w:tcW w:w="3400" w:type="dxa"/>
            <w:shd w:val="clear" w:color="auto" w:fill="F5F7FA"/>
            <w:tcMar>
              <w:top w:w="70" w:type="dxa"/>
              <w:left w:w="110" w:type="dxa"/>
              <w:bottom w:w="70" w:type="dxa"/>
              <w:right w:w="110" w:type="dxa"/>
            </w:tcMar>
            <w:vAlign w:val="center"/>
          </w:tcPr>
          <w:p w:rsidR="00BC2100" w:rsidRDefault="00CC79F5">
            <w:pPr>
              <w:spacing w:line="276" w:lineRule="auto"/>
            </w:pPr>
            <w:proofErr w:type="spellStart"/>
            <w:r>
              <w:rPr>
                <w:sz w:val="20"/>
                <w:szCs w:val="20"/>
              </w:rPr>
              <w:t>Sela</w:t>
            </w:r>
            <w:proofErr w:type="spellEnd"/>
            <w:r>
              <w:rPr>
                <w:sz w:val="20"/>
                <w:szCs w:val="20"/>
              </w:rPr>
              <w:t>, Preserving Disagreement</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2604.26561</w:t>
            </w:r>
          </w:p>
        </w:tc>
        <w:tc>
          <w:tcPr>
            <w:tcW w:w="41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Scale-matched architectural heterogeneity with real effect sizes. Also the source of the finding that small models flip rather than shade</w:t>
            </w:r>
          </w:p>
        </w:tc>
      </w:tr>
      <w:tr w:rsidR="00BC2100">
        <w:tblPrEx>
          <w:tblCellMar>
            <w:top w:w="0" w:type="dxa"/>
            <w:bottom w:w="0" w:type="dxa"/>
          </w:tblCellMar>
        </w:tblPrEx>
        <w:tc>
          <w:tcPr>
            <w:tcW w:w="3400" w:type="dxa"/>
            <w:tcMar>
              <w:top w:w="70" w:type="dxa"/>
              <w:left w:w="110" w:type="dxa"/>
              <w:bottom w:w="70" w:type="dxa"/>
              <w:right w:w="110" w:type="dxa"/>
            </w:tcMar>
            <w:vAlign w:val="center"/>
          </w:tcPr>
          <w:p w:rsidR="00BC2100" w:rsidRDefault="00CC79F5">
            <w:pPr>
              <w:spacing w:line="276" w:lineRule="auto"/>
            </w:pPr>
            <w:r>
              <w:rPr>
                <w:sz w:val="20"/>
                <w:szCs w:val="20"/>
              </w:rPr>
              <w:t>Choi, Zhu &amp; Li, Debate or Vote</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2508.17536</w:t>
            </w:r>
          </w:p>
        </w:tc>
        <w:tc>
          <w:tcPr>
            <w:tcW w:w="4126" w:type="dxa"/>
            <w:tcMar>
              <w:top w:w="70" w:type="dxa"/>
              <w:left w:w="110" w:type="dxa"/>
              <w:bottom w:w="70" w:type="dxa"/>
              <w:right w:w="110" w:type="dxa"/>
            </w:tcMar>
            <w:vAlign w:val="center"/>
          </w:tcPr>
          <w:p w:rsidR="00BC2100" w:rsidRDefault="00CC79F5">
            <w:pPr>
              <w:spacing w:line="276" w:lineRule="auto"/>
            </w:pPr>
            <w:r>
              <w:rPr>
                <w:sz w:val="20"/>
                <w:szCs w:val="20"/>
              </w:rPr>
              <w:t>Proves debate is a martingale on correct-answer belief. Gives our control arm a theoretical prediction</w:t>
            </w:r>
          </w:p>
        </w:tc>
      </w:tr>
      <w:tr w:rsidR="00BC2100">
        <w:tblPrEx>
          <w:tblCellMar>
            <w:top w:w="0" w:type="dxa"/>
            <w:bottom w:w="0" w:type="dxa"/>
          </w:tblCellMar>
        </w:tblPrEx>
        <w:tc>
          <w:tcPr>
            <w:tcW w:w="3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Zhu et al., Demystifying Multi-Agent Debate</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2601.19921</w:t>
            </w:r>
          </w:p>
        </w:tc>
        <w:tc>
          <w:tcPr>
            <w:tcW w:w="41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States the martingale holds under homogeneous agents — which is the hook our whole framing hangs on</w:t>
            </w:r>
          </w:p>
        </w:tc>
      </w:tr>
      <w:tr w:rsidR="00BC2100">
        <w:tblPrEx>
          <w:tblCellMar>
            <w:top w:w="0" w:type="dxa"/>
            <w:bottom w:w="0" w:type="dxa"/>
          </w:tblCellMar>
        </w:tblPrEx>
        <w:tc>
          <w:tcPr>
            <w:tcW w:w="3400" w:type="dxa"/>
            <w:tcMar>
              <w:top w:w="70" w:type="dxa"/>
              <w:left w:w="110" w:type="dxa"/>
              <w:bottom w:w="70" w:type="dxa"/>
              <w:right w:w="110" w:type="dxa"/>
            </w:tcMar>
            <w:vAlign w:val="center"/>
          </w:tcPr>
          <w:p w:rsidR="00BC2100" w:rsidRDefault="00CC79F5">
            <w:pPr>
              <w:spacing w:line="276" w:lineRule="auto"/>
            </w:pPr>
            <w:r>
              <w:rPr>
                <w:sz w:val="20"/>
                <w:szCs w:val="20"/>
              </w:rPr>
              <w:t>Wan et al., The Deliberative Illusion</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2606.03032</w:t>
            </w:r>
          </w:p>
        </w:tc>
        <w:tc>
          <w:tcPr>
            <w:tcW w:w="4126" w:type="dxa"/>
            <w:tcMar>
              <w:top w:w="70" w:type="dxa"/>
              <w:left w:w="110" w:type="dxa"/>
              <w:bottom w:w="70" w:type="dxa"/>
              <w:right w:w="110" w:type="dxa"/>
            </w:tcMar>
            <w:vAlign w:val="center"/>
          </w:tcPr>
          <w:p w:rsidR="00BC2100" w:rsidRDefault="00CC79F5">
            <w:pPr>
              <w:spacing w:line="276" w:lineRule="auto"/>
            </w:pPr>
            <w:r>
              <w:rPr>
                <w:sz w:val="20"/>
                <w:szCs w:val="20"/>
              </w:rPr>
              <w:t>Mixed-family groups retain more facts, but capability-confounded</w:t>
            </w:r>
          </w:p>
        </w:tc>
      </w:tr>
      <w:tr w:rsidR="00BC2100">
        <w:tblPrEx>
          <w:tblCellMar>
            <w:top w:w="0" w:type="dxa"/>
            <w:bottom w:w="0" w:type="dxa"/>
          </w:tblCellMar>
        </w:tblPrEx>
        <w:tc>
          <w:tcPr>
            <w:tcW w:w="3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Han et al., Conformity Dynamics</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2601.05606</w:t>
            </w:r>
          </w:p>
        </w:tc>
        <w:tc>
          <w:tcPr>
            <w:tcW w:w="41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Varies topology and heterogeneity together; concludes the strongest model dominates</w:t>
            </w:r>
          </w:p>
        </w:tc>
      </w:tr>
      <w:tr w:rsidR="00BC2100">
        <w:tblPrEx>
          <w:tblCellMar>
            <w:top w:w="0" w:type="dxa"/>
            <w:bottom w:w="0" w:type="dxa"/>
          </w:tblCellMar>
        </w:tblPrEx>
        <w:tc>
          <w:tcPr>
            <w:tcW w:w="3400" w:type="dxa"/>
            <w:tcMar>
              <w:top w:w="70" w:type="dxa"/>
              <w:left w:w="110" w:type="dxa"/>
              <w:bottom w:w="70" w:type="dxa"/>
              <w:right w:w="110" w:type="dxa"/>
            </w:tcMar>
            <w:vAlign w:val="center"/>
          </w:tcPr>
          <w:p w:rsidR="00BC2100" w:rsidRDefault="00CC79F5">
            <w:pPr>
              <w:spacing w:line="276" w:lineRule="auto"/>
            </w:pPr>
            <w:r>
              <w:rPr>
                <w:sz w:val="20"/>
                <w:szCs w:val="20"/>
              </w:rPr>
              <w:t>Becker et al., Misinformation Propagation in Benign MAS</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2606.16710</w:t>
            </w:r>
          </w:p>
        </w:tc>
        <w:tc>
          <w:tcPr>
            <w:tcW w:w="4126" w:type="dxa"/>
            <w:tcMar>
              <w:top w:w="70" w:type="dxa"/>
              <w:left w:w="110" w:type="dxa"/>
              <w:bottom w:w="70" w:type="dxa"/>
              <w:right w:w="110" w:type="dxa"/>
            </w:tcMar>
            <w:vAlign w:val="center"/>
          </w:tcPr>
          <w:p w:rsidR="00BC2100" w:rsidRDefault="00CC79F5">
            <w:pPr>
              <w:spacing w:line="276" w:lineRule="auto"/>
            </w:pPr>
            <w:r>
              <w:rPr>
                <w:sz w:val="20"/>
                <w:szCs w:val="20"/>
              </w:rPr>
              <w:t>Closest on the phenomenon; named our two axes as their future work</w:t>
            </w:r>
          </w:p>
        </w:tc>
      </w:tr>
      <w:tr w:rsidR="00BC2100">
        <w:tblPrEx>
          <w:tblCellMar>
            <w:top w:w="0" w:type="dxa"/>
            <w:bottom w:w="0" w:type="dxa"/>
          </w:tblCellMar>
        </w:tblPrEx>
        <w:tc>
          <w:tcPr>
            <w:tcW w:w="34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Shen et al., Information Propagation Effects of Communication Topologies</w:t>
            </w:r>
          </w:p>
        </w:tc>
        <w:tc>
          <w:tcPr>
            <w:tcW w:w="1500"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EMNLP 2025</w:t>
            </w:r>
          </w:p>
        </w:tc>
        <w:tc>
          <w:tcPr>
            <w:tcW w:w="4126" w:type="dxa"/>
            <w:shd w:val="clear" w:color="auto" w:fill="F5F7FA"/>
            <w:tcMar>
              <w:top w:w="70" w:type="dxa"/>
              <w:left w:w="110" w:type="dxa"/>
              <w:bottom w:w="70" w:type="dxa"/>
              <w:right w:w="110" w:type="dxa"/>
            </w:tcMar>
            <w:vAlign w:val="center"/>
          </w:tcPr>
          <w:p w:rsidR="00BC2100" w:rsidRDefault="00CC79F5">
            <w:pPr>
              <w:spacing w:line="276" w:lineRule="auto"/>
            </w:pPr>
            <w:r>
              <w:rPr>
                <w:sz w:val="20"/>
                <w:szCs w:val="20"/>
              </w:rPr>
              <w:t>Sparse networks suppress true information too — why we measure both directions</w:t>
            </w:r>
          </w:p>
        </w:tc>
      </w:tr>
      <w:tr w:rsidR="00BC2100">
        <w:tblPrEx>
          <w:tblCellMar>
            <w:top w:w="0" w:type="dxa"/>
            <w:bottom w:w="0" w:type="dxa"/>
          </w:tblCellMar>
        </w:tblPrEx>
        <w:tc>
          <w:tcPr>
            <w:tcW w:w="3400" w:type="dxa"/>
            <w:tcMar>
              <w:top w:w="70" w:type="dxa"/>
              <w:left w:w="110" w:type="dxa"/>
              <w:bottom w:w="70" w:type="dxa"/>
              <w:right w:w="110" w:type="dxa"/>
            </w:tcMar>
            <w:vAlign w:val="center"/>
          </w:tcPr>
          <w:p w:rsidR="00BC2100" w:rsidRDefault="00CC79F5">
            <w:pPr>
              <w:spacing w:line="276" w:lineRule="auto"/>
            </w:pPr>
            <w:r>
              <w:rPr>
                <w:sz w:val="20"/>
                <w:szCs w:val="20"/>
              </w:rPr>
              <w:t>Chuang et al., Simulating Opinion Dynamics</w:t>
            </w:r>
          </w:p>
        </w:tc>
        <w:tc>
          <w:tcPr>
            <w:tcW w:w="1500" w:type="dxa"/>
            <w:tcMar>
              <w:top w:w="70" w:type="dxa"/>
              <w:left w:w="110" w:type="dxa"/>
              <w:bottom w:w="70" w:type="dxa"/>
              <w:right w:w="110" w:type="dxa"/>
            </w:tcMar>
            <w:vAlign w:val="center"/>
          </w:tcPr>
          <w:p w:rsidR="00BC2100" w:rsidRDefault="00CC79F5">
            <w:pPr>
              <w:spacing w:line="276" w:lineRule="auto"/>
            </w:pPr>
            <w:r>
              <w:rPr>
                <w:sz w:val="20"/>
                <w:szCs w:val="20"/>
              </w:rPr>
              <w:t>NAACL 2024</w:t>
            </w:r>
          </w:p>
        </w:tc>
        <w:tc>
          <w:tcPr>
            <w:tcW w:w="4126" w:type="dxa"/>
            <w:tcMar>
              <w:top w:w="70" w:type="dxa"/>
              <w:left w:w="110" w:type="dxa"/>
              <w:bottom w:w="70" w:type="dxa"/>
              <w:right w:w="110" w:type="dxa"/>
            </w:tcMar>
            <w:vAlign w:val="center"/>
          </w:tcPr>
          <w:p w:rsidR="00BC2100" w:rsidRDefault="00CC79F5">
            <w:pPr>
              <w:spacing w:line="276" w:lineRule="auto"/>
            </w:pPr>
            <w:r>
              <w:rPr>
                <w:sz w:val="20"/>
                <w:szCs w:val="20"/>
              </w:rPr>
              <w:t>Validated protocol for measuring agent belief without model internals</w:t>
            </w:r>
          </w:p>
        </w:tc>
      </w:tr>
    </w:tbl>
    <w:p w:rsidR="00BC2100" w:rsidRDefault="00BC2100">
      <w:pPr>
        <w:spacing w:after="200" w:line="276" w:lineRule="auto"/>
      </w:pPr>
    </w:p>
    <w:p w:rsidR="00BC2100" w:rsidRDefault="00BC2100">
      <w:pPr>
        <w:pBdr>
          <w:bottom w:val="single" w:sz="6" w:space="0" w:color="1F3864"/>
        </w:pBdr>
        <w:spacing w:before="60" w:after="160"/>
      </w:pPr>
    </w:p>
    <w:p w:rsidR="00CC79F5" w:rsidRDefault="00CC79F5">
      <w:pPr>
        <w:pBdr>
          <w:bottom w:val="single" w:sz="6" w:space="0" w:color="1F3864"/>
        </w:pBdr>
        <w:spacing w:before="60" w:after="160"/>
      </w:pPr>
    </w:p>
    <w:p w:rsidR="00CC79F5" w:rsidRDefault="00CC79F5">
      <w:pPr>
        <w:pBdr>
          <w:bottom w:val="single" w:sz="6" w:space="0" w:color="1F3864"/>
        </w:pBdr>
        <w:spacing w:before="60" w:after="160"/>
      </w:pPr>
    </w:p>
    <w:p w:rsidR="00CC79F5" w:rsidRDefault="00CC79F5">
      <w:pPr>
        <w:pBdr>
          <w:bottom w:val="single" w:sz="6" w:space="0" w:color="1F3864"/>
        </w:pBdr>
        <w:spacing w:before="60" w:after="160"/>
      </w:pPr>
    </w:p>
    <w:p w:rsidR="00CC79F5" w:rsidRDefault="00CC79F5">
      <w:pPr>
        <w:pBdr>
          <w:bottom w:val="single" w:sz="6" w:space="0" w:color="1F3864"/>
        </w:pBdr>
        <w:spacing w:before="60" w:after="160"/>
      </w:pPr>
    </w:p>
    <w:p w:rsidR="00CC79F5" w:rsidRDefault="00CC79F5">
      <w:pPr>
        <w:pBdr>
          <w:bottom w:val="single" w:sz="6" w:space="0" w:color="1F3864"/>
        </w:pBdr>
        <w:spacing w:before="60" w:after="160"/>
      </w:pPr>
    </w:p>
    <w:p w:rsidR="00CC79F5" w:rsidRDefault="00CC79F5">
      <w:pPr>
        <w:pBdr>
          <w:bottom w:val="single" w:sz="6" w:space="0" w:color="1F3864"/>
        </w:pBdr>
        <w:spacing w:before="60" w:after="160"/>
      </w:pPr>
    </w:p>
    <w:p w:rsidR="00CC79F5" w:rsidRDefault="00CC79F5">
      <w:pPr>
        <w:pBdr>
          <w:bottom w:val="single" w:sz="6" w:space="0" w:color="1F3864"/>
        </w:pBdr>
        <w:spacing w:before="60" w:after="160"/>
      </w:pPr>
    </w:p>
    <w:p w:rsidR="00CC79F5" w:rsidRDefault="00CC79F5">
      <w:pPr>
        <w:pBdr>
          <w:bottom w:val="single" w:sz="6" w:space="0" w:color="1F3864"/>
        </w:pBdr>
        <w:spacing w:before="60" w:after="160"/>
      </w:pPr>
    </w:p>
    <w:p w:rsidR="00CC79F5" w:rsidRDefault="00CC79F5">
      <w:pPr>
        <w:pBdr>
          <w:bottom w:val="single" w:sz="6" w:space="0" w:color="1F3864"/>
        </w:pBdr>
        <w:spacing w:before="60" w:after="160"/>
      </w:pPr>
    </w:p>
    <w:p w:rsidR="00CC79F5" w:rsidRDefault="00CC79F5">
      <w:pPr>
        <w:pBdr>
          <w:bottom w:val="single" w:sz="6" w:space="0" w:color="1F3864"/>
        </w:pBdr>
        <w:spacing w:before="60" w:after="160"/>
      </w:pPr>
      <w:bookmarkStart w:id="0" w:name="_GoBack"/>
      <w:bookmarkEnd w:id="0"/>
    </w:p>
    <w:p w:rsidR="00BC2100" w:rsidRDefault="00CC79F5">
      <w:pPr>
        <w:spacing w:after="120" w:line="276" w:lineRule="auto"/>
      </w:pPr>
      <w:r>
        <w:rPr>
          <w:i/>
          <w:iCs/>
          <w:color w:val="595959"/>
          <w:sz w:val="19"/>
          <w:szCs w:val="19"/>
        </w:rPr>
        <w:t>This document reflects the repository as of 8 August 2026. The registers, decision records and experiment reports referenced throughout are public and current.</w:t>
      </w:r>
    </w:p>
    <w:sectPr w:rsidR="00BC2100">
      <w:pgSz w:w="11906" w:h="16838"/>
      <w:pgMar w:top="13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0F4094"/>
    <w:multiLevelType w:val="hybridMultilevel"/>
    <w:tmpl w:val="684240BA"/>
    <w:lvl w:ilvl="0" w:tplc="A41E8F2E">
      <w:start w:val="1"/>
      <w:numFmt w:val="decimal"/>
      <w:lvlText w:val="%1."/>
      <w:lvlJc w:val="left"/>
      <w:pPr>
        <w:ind w:left="360" w:hanging="220"/>
      </w:pPr>
    </w:lvl>
    <w:lvl w:ilvl="1" w:tplc="7C4A936A">
      <w:numFmt w:val="decimal"/>
      <w:lvlText w:val=""/>
      <w:lvlJc w:val="left"/>
    </w:lvl>
    <w:lvl w:ilvl="2" w:tplc="C2A01494">
      <w:numFmt w:val="decimal"/>
      <w:lvlText w:val=""/>
      <w:lvlJc w:val="left"/>
    </w:lvl>
    <w:lvl w:ilvl="3" w:tplc="BBA067A6">
      <w:numFmt w:val="decimal"/>
      <w:lvlText w:val=""/>
      <w:lvlJc w:val="left"/>
    </w:lvl>
    <w:lvl w:ilvl="4" w:tplc="E6644F76">
      <w:numFmt w:val="decimal"/>
      <w:lvlText w:val=""/>
      <w:lvlJc w:val="left"/>
    </w:lvl>
    <w:lvl w:ilvl="5" w:tplc="FC107B78">
      <w:numFmt w:val="decimal"/>
      <w:lvlText w:val=""/>
      <w:lvlJc w:val="left"/>
    </w:lvl>
    <w:lvl w:ilvl="6" w:tplc="2FCE5CBE">
      <w:numFmt w:val="decimal"/>
      <w:lvlText w:val=""/>
      <w:lvlJc w:val="left"/>
    </w:lvl>
    <w:lvl w:ilvl="7" w:tplc="4134E168">
      <w:numFmt w:val="decimal"/>
      <w:lvlText w:val=""/>
      <w:lvlJc w:val="left"/>
    </w:lvl>
    <w:lvl w:ilvl="8" w:tplc="166EE4FE">
      <w:numFmt w:val="decimal"/>
      <w:lvlText w:val=""/>
      <w:lvlJc w:val="left"/>
    </w:lvl>
  </w:abstractNum>
  <w:abstractNum w:abstractNumId="1">
    <w:nsid w:val="23995A18"/>
    <w:multiLevelType w:val="hybridMultilevel"/>
    <w:tmpl w:val="0A1AC264"/>
    <w:lvl w:ilvl="0" w:tplc="01764854">
      <w:start w:val="1"/>
      <w:numFmt w:val="bullet"/>
      <w:lvlText w:val="•"/>
      <w:lvlJc w:val="left"/>
      <w:pPr>
        <w:ind w:left="340" w:hanging="200"/>
      </w:pPr>
    </w:lvl>
    <w:lvl w:ilvl="1" w:tplc="36BAD38A">
      <w:start w:val="1"/>
      <w:numFmt w:val="bullet"/>
      <w:lvlText w:val="–"/>
      <w:lvlJc w:val="left"/>
      <w:pPr>
        <w:ind w:left="680" w:hanging="200"/>
      </w:pPr>
    </w:lvl>
    <w:lvl w:ilvl="2" w:tplc="F9F82988">
      <w:numFmt w:val="decimal"/>
      <w:lvlText w:val=""/>
      <w:lvlJc w:val="left"/>
    </w:lvl>
    <w:lvl w:ilvl="3" w:tplc="D45ECE40">
      <w:numFmt w:val="decimal"/>
      <w:lvlText w:val=""/>
      <w:lvlJc w:val="left"/>
    </w:lvl>
    <w:lvl w:ilvl="4" w:tplc="021AE906">
      <w:numFmt w:val="decimal"/>
      <w:lvlText w:val=""/>
      <w:lvlJc w:val="left"/>
    </w:lvl>
    <w:lvl w:ilvl="5" w:tplc="121AB9C0">
      <w:numFmt w:val="decimal"/>
      <w:lvlText w:val=""/>
      <w:lvlJc w:val="left"/>
    </w:lvl>
    <w:lvl w:ilvl="6" w:tplc="9336EC6E">
      <w:numFmt w:val="decimal"/>
      <w:lvlText w:val=""/>
      <w:lvlJc w:val="left"/>
    </w:lvl>
    <w:lvl w:ilvl="7" w:tplc="DD9088F0">
      <w:numFmt w:val="decimal"/>
      <w:lvlText w:val=""/>
      <w:lvlJc w:val="left"/>
    </w:lvl>
    <w:lvl w:ilvl="8" w:tplc="CA2EDEAE">
      <w:numFmt w:val="decimal"/>
      <w:lvlText w:val=""/>
      <w:lvlJc w:val="left"/>
    </w:lvl>
  </w:abstractNum>
  <w:abstractNum w:abstractNumId="2">
    <w:nsid w:val="7BAF3C76"/>
    <w:multiLevelType w:val="hybridMultilevel"/>
    <w:tmpl w:val="566CE08C"/>
    <w:lvl w:ilvl="0" w:tplc="F7669AD2">
      <w:start w:val="1"/>
      <w:numFmt w:val="bullet"/>
      <w:lvlText w:val="●"/>
      <w:lvlJc w:val="left"/>
      <w:pPr>
        <w:ind w:left="720" w:hanging="360"/>
      </w:pPr>
    </w:lvl>
    <w:lvl w:ilvl="1" w:tplc="0EB69D10">
      <w:start w:val="1"/>
      <w:numFmt w:val="bullet"/>
      <w:lvlText w:val="○"/>
      <w:lvlJc w:val="left"/>
      <w:pPr>
        <w:ind w:left="1440" w:hanging="360"/>
      </w:pPr>
    </w:lvl>
    <w:lvl w:ilvl="2" w:tplc="E5464CC0">
      <w:start w:val="1"/>
      <w:numFmt w:val="bullet"/>
      <w:lvlText w:val="■"/>
      <w:lvlJc w:val="left"/>
      <w:pPr>
        <w:ind w:left="2160" w:hanging="360"/>
      </w:pPr>
    </w:lvl>
    <w:lvl w:ilvl="3" w:tplc="BFA83E3A">
      <w:start w:val="1"/>
      <w:numFmt w:val="bullet"/>
      <w:lvlText w:val="●"/>
      <w:lvlJc w:val="left"/>
      <w:pPr>
        <w:ind w:left="2880" w:hanging="360"/>
      </w:pPr>
    </w:lvl>
    <w:lvl w:ilvl="4" w:tplc="90DA790A">
      <w:start w:val="1"/>
      <w:numFmt w:val="bullet"/>
      <w:lvlText w:val="○"/>
      <w:lvlJc w:val="left"/>
      <w:pPr>
        <w:ind w:left="3600" w:hanging="360"/>
      </w:pPr>
    </w:lvl>
    <w:lvl w:ilvl="5" w:tplc="DAEE8C6E">
      <w:start w:val="1"/>
      <w:numFmt w:val="bullet"/>
      <w:lvlText w:val="■"/>
      <w:lvlJc w:val="left"/>
      <w:pPr>
        <w:ind w:left="4320" w:hanging="360"/>
      </w:pPr>
    </w:lvl>
    <w:lvl w:ilvl="6" w:tplc="EA986756">
      <w:start w:val="1"/>
      <w:numFmt w:val="bullet"/>
      <w:lvlText w:val="●"/>
      <w:lvlJc w:val="left"/>
      <w:pPr>
        <w:ind w:left="5040" w:hanging="360"/>
      </w:pPr>
    </w:lvl>
    <w:lvl w:ilvl="7" w:tplc="D788FC90">
      <w:start w:val="1"/>
      <w:numFmt w:val="bullet"/>
      <w:lvlText w:val="●"/>
      <w:lvlJc w:val="left"/>
      <w:pPr>
        <w:ind w:left="5760" w:hanging="360"/>
      </w:pPr>
    </w:lvl>
    <w:lvl w:ilvl="8" w:tplc="CD3AA1D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BC2100"/>
    <w:rsid w:val="00BC2100"/>
    <w:rsid w:val="00CC7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3259</Words>
  <Characters>18581</Characters>
  <Application>Microsoft Office Word</Application>
  <DocSecurity>0</DocSecurity>
  <Lines>154</Lines>
  <Paragraphs>43</Paragraphs>
  <ScaleCrop>false</ScaleCrop>
  <Company/>
  <LinksUpToDate>false</LinksUpToDate>
  <CharactersWithSpaces>21797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 as a Defense Against Misinformation in LLM Societies - Project Briefing</dc:title>
  <dc:creator>Abhijit Kumar</dc:creator>
  <dc:description>Collaboration briefing and work-split proposal</dc:description>
  <cp:lastModifiedBy>DELL</cp:lastModifiedBy>
  <cp:revision>2</cp:revision>
  <dcterms:created xsi:type="dcterms:W3CDTF">2026-08-08T14:20:00Z</dcterms:created>
  <dcterms:modified xsi:type="dcterms:W3CDTF">2026-08-08T14:41:00Z</dcterms:modified>
</cp:coreProperties>
</file>