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D2167" w14:textId="77777777" w:rsidR="004D4640" w:rsidRDefault="00000000">
      <w:pPr>
        <w:spacing w:after="0" w:line="259" w:lineRule="auto"/>
        <w:ind w:right="0" w:firstLine="0"/>
        <w:jc w:val="center"/>
      </w:pPr>
      <w:r>
        <w:rPr>
          <w:rFonts w:ascii="Calibri" w:eastAsia="Calibri" w:hAnsi="Calibri" w:cs="Calibri"/>
          <w:sz w:val="48"/>
        </w:rPr>
        <w:t>Improving Question Answering Systems with Advanced Natural Language Processing Techniques</w:t>
      </w:r>
      <w:r>
        <w:rPr>
          <w:rFonts w:ascii="Calibri" w:eastAsia="Calibri" w:hAnsi="Calibri" w:cs="Calibri"/>
        </w:rPr>
        <w:t xml:space="preserve"> </w:t>
      </w:r>
    </w:p>
    <w:tbl>
      <w:tblPr>
        <w:tblStyle w:val="TableGrid"/>
        <w:tblW w:w="6752" w:type="dxa"/>
        <w:tblInd w:w="1594" w:type="dxa"/>
        <w:tblCellMar>
          <w:top w:w="1" w:type="dxa"/>
          <w:left w:w="0" w:type="dxa"/>
          <w:bottom w:w="0" w:type="dxa"/>
          <w:right w:w="0" w:type="dxa"/>
        </w:tblCellMar>
        <w:tblLook w:val="04A0" w:firstRow="1" w:lastRow="0" w:firstColumn="1" w:lastColumn="0" w:noHBand="0" w:noVBand="1"/>
      </w:tblPr>
      <w:tblGrid>
        <w:gridCol w:w="3459"/>
        <w:gridCol w:w="3293"/>
      </w:tblGrid>
      <w:tr w:rsidR="004D4640" w14:paraId="4610C93A" w14:textId="77777777">
        <w:trPr>
          <w:trHeight w:val="258"/>
        </w:trPr>
        <w:tc>
          <w:tcPr>
            <w:tcW w:w="3459" w:type="dxa"/>
            <w:tcBorders>
              <w:top w:val="nil"/>
              <w:left w:val="nil"/>
              <w:bottom w:val="nil"/>
              <w:right w:val="nil"/>
            </w:tcBorders>
          </w:tcPr>
          <w:p w14:paraId="73075670" w14:textId="77777777" w:rsidR="004D4640" w:rsidRDefault="00000000">
            <w:pPr>
              <w:spacing w:after="0" w:line="259" w:lineRule="auto"/>
              <w:ind w:left="751" w:right="0" w:firstLine="0"/>
              <w:jc w:val="left"/>
            </w:pPr>
            <w:r>
              <w:rPr>
                <w:rFonts w:ascii="Calibri" w:eastAsia="Calibri" w:hAnsi="Calibri" w:cs="Calibri"/>
                <w:sz w:val="22"/>
              </w:rPr>
              <w:t>Abhijith M</w:t>
            </w:r>
            <w:r>
              <w:rPr>
                <w:rFonts w:ascii="Calibri" w:eastAsia="Calibri" w:hAnsi="Calibri" w:cs="Calibri"/>
              </w:rPr>
              <w:t xml:space="preserve"> </w:t>
            </w:r>
          </w:p>
        </w:tc>
        <w:tc>
          <w:tcPr>
            <w:tcW w:w="3293" w:type="dxa"/>
            <w:tcBorders>
              <w:top w:val="nil"/>
              <w:left w:val="nil"/>
              <w:bottom w:val="nil"/>
              <w:right w:val="nil"/>
            </w:tcBorders>
          </w:tcPr>
          <w:p w14:paraId="7B8C07B6" w14:textId="77777777" w:rsidR="004D4640" w:rsidRDefault="00000000">
            <w:pPr>
              <w:spacing w:after="0" w:line="259" w:lineRule="auto"/>
              <w:ind w:left="1340" w:right="0" w:firstLine="0"/>
              <w:jc w:val="left"/>
            </w:pPr>
            <w:r>
              <w:rPr>
                <w:rFonts w:ascii="Calibri" w:eastAsia="Calibri" w:hAnsi="Calibri" w:cs="Calibri"/>
                <w:sz w:val="22"/>
              </w:rPr>
              <w:t>Dr.Sunil Kumar</w:t>
            </w:r>
            <w:r>
              <w:rPr>
                <w:rFonts w:ascii="Calibri" w:eastAsia="Calibri" w:hAnsi="Calibri" w:cs="Calibri"/>
              </w:rPr>
              <w:t xml:space="preserve"> </w:t>
            </w:r>
          </w:p>
        </w:tc>
      </w:tr>
      <w:tr w:rsidR="004D4640" w14:paraId="40B3F632" w14:textId="77777777">
        <w:trPr>
          <w:trHeight w:val="290"/>
        </w:trPr>
        <w:tc>
          <w:tcPr>
            <w:tcW w:w="3459" w:type="dxa"/>
            <w:tcBorders>
              <w:top w:val="nil"/>
              <w:left w:val="nil"/>
              <w:bottom w:val="nil"/>
              <w:right w:val="nil"/>
            </w:tcBorders>
          </w:tcPr>
          <w:p w14:paraId="0D049682" w14:textId="77777777" w:rsidR="004D4640" w:rsidRDefault="00000000">
            <w:pPr>
              <w:spacing w:after="0" w:line="259" w:lineRule="auto"/>
              <w:ind w:right="0" w:firstLine="0"/>
              <w:jc w:val="left"/>
            </w:pPr>
            <w:r>
              <w:rPr>
                <w:rFonts w:ascii="Calibri" w:eastAsia="Calibri" w:hAnsi="Calibri" w:cs="Calibri"/>
                <w:i/>
                <w:sz w:val="22"/>
              </w:rPr>
              <w:t>Department of Mathematics</w:t>
            </w:r>
            <w:r>
              <w:rPr>
                <w:rFonts w:ascii="Calibri" w:eastAsia="Calibri" w:hAnsi="Calibri" w:cs="Calibri"/>
              </w:rPr>
              <w:t xml:space="preserve"> </w:t>
            </w:r>
          </w:p>
        </w:tc>
        <w:tc>
          <w:tcPr>
            <w:tcW w:w="3293" w:type="dxa"/>
            <w:tcBorders>
              <w:top w:val="nil"/>
              <w:left w:val="nil"/>
              <w:bottom w:val="nil"/>
              <w:right w:val="nil"/>
            </w:tcBorders>
          </w:tcPr>
          <w:p w14:paraId="040EA3F1" w14:textId="77777777" w:rsidR="004D4640" w:rsidRDefault="00000000">
            <w:pPr>
              <w:spacing w:after="0" w:line="259" w:lineRule="auto"/>
              <w:ind w:right="47" w:firstLine="0"/>
              <w:jc w:val="right"/>
            </w:pPr>
            <w:r>
              <w:rPr>
                <w:rFonts w:ascii="Calibri" w:eastAsia="Calibri" w:hAnsi="Calibri" w:cs="Calibri"/>
                <w:i/>
                <w:sz w:val="22"/>
              </w:rPr>
              <w:t>Department of Mathematics</w:t>
            </w:r>
            <w:r>
              <w:rPr>
                <w:rFonts w:ascii="Calibri" w:eastAsia="Calibri" w:hAnsi="Calibri" w:cs="Calibri"/>
              </w:rPr>
              <w:t xml:space="preserve"> </w:t>
            </w:r>
          </w:p>
        </w:tc>
      </w:tr>
      <w:tr w:rsidR="004D4640" w14:paraId="20C94B7B" w14:textId="77777777">
        <w:trPr>
          <w:trHeight w:val="290"/>
        </w:trPr>
        <w:tc>
          <w:tcPr>
            <w:tcW w:w="3459" w:type="dxa"/>
            <w:tcBorders>
              <w:top w:val="nil"/>
              <w:left w:val="nil"/>
              <w:bottom w:val="nil"/>
              <w:right w:val="nil"/>
            </w:tcBorders>
          </w:tcPr>
          <w:p w14:paraId="52F8A4FE" w14:textId="77777777" w:rsidR="004D4640" w:rsidRDefault="00000000">
            <w:pPr>
              <w:spacing w:after="0" w:line="259" w:lineRule="auto"/>
              <w:ind w:left="228" w:right="0" w:firstLine="0"/>
              <w:jc w:val="left"/>
            </w:pPr>
            <w:r>
              <w:rPr>
                <w:rFonts w:ascii="Calibri" w:eastAsia="Calibri" w:hAnsi="Calibri" w:cs="Calibri"/>
                <w:i/>
                <w:sz w:val="22"/>
              </w:rPr>
              <w:t>Chandigarh University</w:t>
            </w:r>
            <w:r>
              <w:rPr>
                <w:rFonts w:ascii="Calibri" w:eastAsia="Calibri" w:hAnsi="Calibri" w:cs="Calibri"/>
              </w:rPr>
              <w:t xml:space="preserve"> </w:t>
            </w:r>
          </w:p>
        </w:tc>
        <w:tc>
          <w:tcPr>
            <w:tcW w:w="3293" w:type="dxa"/>
            <w:tcBorders>
              <w:top w:val="nil"/>
              <w:left w:val="nil"/>
              <w:bottom w:val="nil"/>
              <w:right w:val="nil"/>
            </w:tcBorders>
          </w:tcPr>
          <w:p w14:paraId="27DE9365" w14:textId="77777777" w:rsidR="004D4640" w:rsidRDefault="00000000">
            <w:pPr>
              <w:spacing w:after="0" w:line="259" w:lineRule="auto"/>
              <w:ind w:left="975" w:right="0" w:firstLine="0"/>
              <w:jc w:val="left"/>
            </w:pPr>
            <w:r>
              <w:rPr>
                <w:rFonts w:ascii="Calibri" w:eastAsia="Calibri" w:hAnsi="Calibri" w:cs="Calibri"/>
                <w:i/>
                <w:sz w:val="22"/>
              </w:rPr>
              <w:t>Chandigarh University</w:t>
            </w:r>
            <w:r>
              <w:rPr>
                <w:rFonts w:ascii="Calibri" w:eastAsia="Calibri" w:hAnsi="Calibri" w:cs="Calibri"/>
              </w:rPr>
              <w:t xml:space="preserve"> </w:t>
            </w:r>
          </w:p>
        </w:tc>
      </w:tr>
      <w:tr w:rsidR="004D4640" w14:paraId="1645DC2C" w14:textId="77777777">
        <w:trPr>
          <w:trHeight w:val="289"/>
        </w:trPr>
        <w:tc>
          <w:tcPr>
            <w:tcW w:w="3459" w:type="dxa"/>
            <w:tcBorders>
              <w:top w:val="nil"/>
              <w:left w:val="nil"/>
              <w:bottom w:val="nil"/>
              <w:right w:val="nil"/>
            </w:tcBorders>
          </w:tcPr>
          <w:p w14:paraId="65617397" w14:textId="77777777" w:rsidR="004D4640" w:rsidRDefault="00000000">
            <w:pPr>
              <w:spacing w:after="0" w:line="259" w:lineRule="auto"/>
              <w:ind w:left="583" w:right="0" w:firstLine="0"/>
              <w:jc w:val="left"/>
            </w:pPr>
            <w:r>
              <w:rPr>
                <w:rFonts w:ascii="Calibri" w:eastAsia="Calibri" w:hAnsi="Calibri" w:cs="Calibri"/>
                <w:sz w:val="22"/>
              </w:rPr>
              <w:t>Gharuan, India</w:t>
            </w:r>
            <w:r>
              <w:rPr>
                <w:rFonts w:ascii="Calibri" w:eastAsia="Calibri" w:hAnsi="Calibri" w:cs="Calibri"/>
              </w:rPr>
              <w:t xml:space="preserve"> </w:t>
            </w:r>
          </w:p>
        </w:tc>
        <w:tc>
          <w:tcPr>
            <w:tcW w:w="3293" w:type="dxa"/>
            <w:tcBorders>
              <w:top w:val="nil"/>
              <w:left w:val="nil"/>
              <w:bottom w:val="nil"/>
              <w:right w:val="nil"/>
            </w:tcBorders>
          </w:tcPr>
          <w:p w14:paraId="669C53C0" w14:textId="77777777" w:rsidR="004D4640" w:rsidRDefault="00000000">
            <w:pPr>
              <w:spacing w:after="0" w:line="259" w:lineRule="auto"/>
              <w:ind w:left="1328" w:right="0" w:firstLine="0"/>
              <w:jc w:val="left"/>
            </w:pPr>
            <w:r>
              <w:rPr>
                <w:rFonts w:ascii="Calibri" w:eastAsia="Calibri" w:hAnsi="Calibri" w:cs="Calibri"/>
                <w:sz w:val="22"/>
              </w:rPr>
              <w:t>Gharuan, India</w:t>
            </w:r>
            <w:r>
              <w:rPr>
                <w:rFonts w:ascii="Calibri" w:eastAsia="Calibri" w:hAnsi="Calibri" w:cs="Calibri"/>
              </w:rPr>
              <w:t xml:space="preserve"> </w:t>
            </w:r>
          </w:p>
        </w:tc>
      </w:tr>
      <w:tr w:rsidR="004D4640" w14:paraId="40FF4EF2" w14:textId="77777777">
        <w:trPr>
          <w:trHeight w:val="256"/>
        </w:trPr>
        <w:tc>
          <w:tcPr>
            <w:tcW w:w="3459" w:type="dxa"/>
            <w:tcBorders>
              <w:top w:val="nil"/>
              <w:left w:val="nil"/>
              <w:bottom w:val="nil"/>
              <w:right w:val="nil"/>
            </w:tcBorders>
          </w:tcPr>
          <w:p w14:paraId="111C3B49" w14:textId="21D7EB83" w:rsidR="004D4640" w:rsidRDefault="007C3990">
            <w:pPr>
              <w:spacing w:after="0" w:line="259" w:lineRule="auto"/>
              <w:ind w:left="180" w:right="0" w:firstLine="0"/>
              <w:jc w:val="left"/>
            </w:pPr>
            <w:r>
              <w:t>abhijithm7711@gmail.com</w:t>
            </w:r>
          </w:p>
        </w:tc>
        <w:tc>
          <w:tcPr>
            <w:tcW w:w="3293" w:type="dxa"/>
            <w:tcBorders>
              <w:top w:val="nil"/>
              <w:left w:val="nil"/>
              <w:bottom w:val="nil"/>
              <w:right w:val="nil"/>
            </w:tcBorders>
          </w:tcPr>
          <w:p w14:paraId="031B14F3" w14:textId="77777777" w:rsidR="004D4640" w:rsidRDefault="00000000">
            <w:pPr>
              <w:spacing w:after="0" w:line="259" w:lineRule="auto"/>
              <w:ind w:left="702" w:right="0" w:firstLine="0"/>
              <w:jc w:val="center"/>
            </w:pPr>
            <w:r>
              <w:rPr>
                <w:rFonts w:ascii="Calibri" w:eastAsia="Calibri" w:hAnsi="Calibri" w:cs="Calibri"/>
                <w:sz w:val="22"/>
              </w:rPr>
              <w:t>cumail.in</w:t>
            </w:r>
            <w:r>
              <w:rPr>
                <w:rFonts w:ascii="Calibri" w:eastAsia="Calibri" w:hAnsi="Calibri" w:cs="Calibri"/>
              </w:rPr>
              <w:t xml:space="preserve"> </w:t>
            </w:r>
          </w:p>
        </w:tc>
      </w:tr>
    </w:tbl>
    <w:p w14:paraId="1D847B40" w14:textId="77777777" w:rsidR="004D4640" w:rsidRDefault="004D4640">
      <w:pPr>
        <w:sectPr w:rsidR="004D4640">
          <w:pgSz w:w="12240" w:h="15840"/>
          <w:pgMar w:top="1195" w:right="1173" w:bottom="1534" w:left="1174" w:header="720" w:footer="720" w:gutter="0"/>
          <w:cols w:space="720"/>
        </w:sectPr>
      </w:pPr>
    </w:p>
    <w:p w14:paraId="7E790EDA" w14:textId="77777777" w:rsidR="004D4640" w:rsidRDefault="00000000">
      <w:pPr>
        <w:spacing w:after="0" w:line="219" w:lineRule="auto"/>
        <w:ind w:left="-15" w:right="26" w:firstLine="187"/>
      </w:pPr>
      <w:r>
        <w:rPr>
          <w:rFonts w:ascii="Calibri" w:eastAsia="Calibri" w:hAnsi="Calibri" w:cs="Calibri"/>
          <w:i/>
          <w:sz w:val="18"/>
        </w:rPr>
        <w:t>Abstract</w:t>
      </w:r>
      <w:r>
        <w:rPr>
          <w:rFonts w:ascii="Calibri" w:eastAsia="Calibri" w:hAnsi="Calibri" w:cs="Calibri"/>
          <w:sz w:val="18"/>
        </w:rPr>
        <w:t>—</w:t>
      </w:r>
      <w:r>
        <w:rPr>
          <w:b/>
          <w:sz w:val="18"/>
        </w:rPr>
        <w:t>Question-answering (QA) systems represent a crucial area of research in natural language processing (NLP) aiming to provide precise and accurate answers to user queries. This paper explores advanced NLP techniques to enhance the performance and accuracy of QA systems. We investigate integrating transformer-based models such as BERT, GPT, and T5 with traditional QA frameworks to address the complexities and nuances of natural language queries. The study begins with an overview of QA systems, detailing their evolution from rule-based approaches to modern deep learning models. We highlight the challenges inherent in QA tasks, including handling ambiguous questions, the need for context-aware answers, and extracting relevant information from large corpora. Furthermore, we discuss the practical applications of enhanced QA systems in various domains, including customer support, educational tools, and digital assistants. Real-world case studies illustrate how our improved QA models can provide more reliable and contextually accurate answers, enhancing user experience. The paper concludes by outlining future research directions, emphasizing the need for continuous innovation in QA methodologies to address emerging challenges in NLP. By presenting a thorough investigation of advanced techniques for improving QA systems, this study aims to contribute valuable insights and methods to the field of natural language processing.</w:t>
      </w:r>
      <w:r>
        <w:rPr>
          <w:b/>
        </w:rPr>
        <w:t xml:space="preserve"> </w:t>
      </w:r>
    </w:p>
    <w:p w14:paraId="053BC1C7" w14:textId="77777777" w:rsidR="004D4640" w:rsidRDefault="00000000">
      <w:pPr>
        <w:spacing w:after="21" w:line="259" w:lineRule="auto"/>
        <w:ind w:right="46" w:firstLine="0"/>
        <w:jc w:val="right"/>
      </w:pPr>
      <w:r>
        <w:rPr>
          <w:b/>
          <w:i/>
          <w:sz w:val="18"/>
        </w:rPr>
        <w:t>Keywords</w:t>
      </w:r>
      <w:r>
        <w:rPr>
          <w:b/>
          <w:sz w:val="18"/>
        </w:rPr>
        <w:t xml:space="preserve">—Natural Language Processing, Transformer Models, </w:t>
      </w:r>
    </w:p>
    <w:p w14:paraId="60859714" w14:textId="77777777" w:rsidR="004D4640" w:rsidRDefault="00000000">
      <w:pPr>
        <w:spacing w:after="431" w:line="219" w:lineRule="auto"/>
        <w:ind w:left="-5" w:right="26" w:hanging="10"/>
      </w:pPr>
      <w:r>
        <w:rPr>
          <w:b/>
          <w:sz w:val="18"/>
        </w:rPr>
        <w:t>Question Answering Systems, BERT, T5</w:t>
      </w:r>
      <w:r>
        <w:rPr>
          <w:b/>
        </w:rPr>
        <w:t xml:space="preserve"> </w:t>
      </w:r>
    </w:p>
    <w:p w14:paraId="0001C56B" w14:textId="77777777" w:rsidR="004D4640" w:rsidRDefault="00000000">
      <w:pPr>
        <w:pStyle w:val="Heading1"/>
      </w:pPr>
      <w:r>
        <w:rPr>
          <w:sz w:val="20"/>
        </w:rPr>
        <w:t>I. I</w:t>
      </w:r>
      <w:r>
        <w:t xml:space="preserve">NTRODUCTION </w:t>
      </w:r>
    </w:p>
    <w:p w14:paraId="5EFF439B" w14:textId="77777777" w:rsidR="004D4640" w:rsidRDefault="00000000">
      <w:pPr>
        <w:spacing w:after="185"/>
        <w:ind w:left="-15" w:right="24"/>
      </w:pPr>
      <w:r>
        <w:t xml:space="preserve">The rapid advancements in natural language processing (NLP) have significantly transformed the landscape of question-answering (QA) systems, positioning them as vital tools in various applications ranging from customer support to educational tools and digital assistants. QA systems are designed to interpret and respond to user queries in natural language, providing accurate and contextually relevant answers. The evolution of QA systems, from rule-based methods to sophisticated deep learning models, reflects the growing complexity and expectations of these systems in realworld applications [1]. One of the most significant breakthroughs in NLP has been the development of transformer-based models, such as BERT, GPT, and T5. These models have revolutionized the field by enabling machines to understand and generate human-like text with unprecedented accuracy. BERT </w:t>
      </w:r>
      <w:r>
        <w:t xml:space="preserve">(Bidirectional Encoder Representations from Transformers) has been particularly influential in improving QA systems, as it captures bidirectional context, allowing for a deeper understanding of the nuances in language [2]. GPT (Generative Pre-trained Transformer) and its successors have further pushed the boundaries by excelling in generating coherent and contextually appropriate responses, thereby enhancing the interactive capabilities of QA systems [3]. Despite these advancements, QA systems still face significant challenges. Handling ambiguous questions, providing contextaware answers, and efficiently extracting relevant information from vast corpora remain complex tasks. Traditional QA frameworks often struggle with these issues, particularly when dealing with open-domain questions that require a broad understanding of diverse topics [4]. The integration of advanced NLP techniques, particularly those based on transformer models, offers promising solutions to these challenges. By leveraging the contextual understanding and generative capabilities of these models, QA systems can be made more robust and reliable. This paper aims to explore the integration of transformerbased models with traditional QA systems, addressing the key challenges and enhancing the overall performance of QA systems. We begin with a review of the evolution of QA systems, followed by an in-depth analysis of how advanced NLP techniques can be applied to improve their functionality. The paper also examines real-world applications of enhanced QA systems, demonstrating their impact across various domains. Through this study, we seek to contribute to the ongoing efforts to develop more effective and accurate QA systems, ultimately advancing the field of natural language processing. </w:t>
      </w:r>
    </w:p>
    <w:p w14:paraId="01D171D2" w14:textId="77777777" w:rsidR="004D4640" w:rsidRDefault="00000000">
      <w:pPr>
        <w:pStyle w:val="Heading2"/>
      </w:pPr>
      <w:r>
        <w:rPr>
          <w:sz w:val="20"/>
        </w:rPr>
        <w:t>II. L</w:t>
      </w:r>
      <w:r>
        <w:t xml:space="preserve">ITERATURE </w:t>
      </w:r>
      <w:r>
        <w:rPr>
          <w:sz w:val="20"/>
        </w:rPr>
        <w:t>R</w:t>
      </w:r>
      <w:r>
        <w:t xml:space="preserve">EVIEW </w:t>
      </w:r>
    </w:p>
    <w:p w14:paraId="5B0844D4" w14:textId="77777777" w:rsidR="004D4640" w:rsidRDefault="00000000">
      <w:pPr>
        <w:spacing w:after="182"/>
        <w:ind w:left="-15" w:right="24"/>
      </w:pPr>
      <w:r>
        <w:t xml:space="preserve">The development of QA systems has been a major focus of NLP research for several decades. This section reviews the evolution of QA systems, highlighting key milestones and the integration of advanced NLP techniques that have shaped the current state of the field. </w:t>
      </w:r>
    </w:p>
    <w:p w14:paraId="6745540E" w14:textId="77777777" w:rsidR="004D4640" w:rsidRDefault="00000000">
      <w:pPr>
        <w:pStyle w:val="Heading3"/>
        <w:ind w:left="-5"/>
      </w:pPr>
      <w:r>
        <w:lastRenderedPageBreak/>
        <w:t xml:space="preserve">A. Early QA Systems and Rule-Based Approaches </w:t>
      </w:r>
    </w:p>
    <w:p w14:paraId="69B68229" w14:textId="77777777" w:rsidR="004D4640" w:rsidRDefault="00000000">
      <w:pPr>
        <w:spacing w:after="272"/>
        <w:ind w:left="-15" w:right="24"/>
      </w:pPr>
      <w:r>
        <w:t xml:space="preserve">The early development of QA systems was primarily dominated by rule-based approaches. These systems relied on manually crafted rules and patterns to match questions with predefined answers. One of the earliest and most famous examples is the ELIZA program, developed in the 1960s by Weizenbaum, which mimicked human conversation using pattern matching techniques [5] While innovative, these systems were limited by their inability to handle complex or ambiguous queries and their reliance on a rigid set of rules. </w:t>
      </w:r>
    </w:p>
    <w:p w14:paraId="19AC6060" w14:textId="77777777" w:rsidR="004D4640" w:rsidRDefault="00000000">
      <w:pPr>
        <w:pStyle w:val="Heading3"/>
        <w:spacing w:after="101"/>
        <w:ind w:left="-5"/>
      </w:pPr>
      <w:r>
        <w:t xml:space="preserve">B. Statistical and Machine Learning Approaches </w:t>
      </w:r>
    </w:p>
    <w:p w14:paraId="04F9F18F" w14:textId="77777777" w:rsidR="004D4640" w:rsidRDefault="00000000">
      <w:pPr>
        <w:spacing w:after="311"/>
        <w:ind w:left="-15" w:right="24"/>
      </w:pPr>
      <w:r>
        <w:t xml:space="preserve">As the field of NLP advanced, statistical methods began to replace rule-based systems. The introduction of machine learning allowed for the development of QA systems that could learn from large datasets, improving their ability to handle diverse and complex queries. IBM’s Watson, which famously won the Jeopardy! game show in 2011, represents a significant leap in this area. Watson utilized a combination of machine learning, information retrieval, and NLP techniques to parse and respond to natural language questions [6]. Despite these advancements, these systems still struggled with understanding the deeper context of questions and answers. </w:t>
      </w:r>
    </w:p>
    <w:p w14:paraId="03B4B4A6" w14:textId="77777777" w:rsidR="004D4640" w:rsidRDefault="00000000">
      <w:pPr>
        <w:pStyle w:val="Heading3"/>
        <w:spacing w:after="101"/>
        <w:ind w:left="-5"/>
      </w:pPr>
      <w:r>
        <w:t xml:space="preserve">C. The Emergence of Neural Networks and Deep Learning </w:t>
      </w:r>
    </w:p>
    <w:p w14:paraId="4682F289" w14:textId="77777777" w:rsidR="004D4640" w:rsidRDefault="00000000">
      <w:pPr>
        <w:spacing w:after="310"/>
        <w:ind w:left="-15" w:right="24"/>
      </w:pPr>
      <w:r>
        <w:t xml:space="preserve">The advent of deep learning marked a transformative period in the development of QA systems. Neural networks, particularly convolutional neural networks (CNNs) and recurrent neural networks (RNNs), allowed for more sophisticated modeling of language. These models were capable of learning complex representations of text, leading to improved performance in QA tasks. For instance, Yin et al. (2016) developed a CNN-based architecture for QA that demonstrated significant improvements over traditional machine learning models in several benchmark datasets [7]. </w:t>
      </w:r>
    </w:p>
    <w:p w14:paraId="289F4E62" w14:textId="77777777" w:rsidR="004D4640" w:rsidRDefault="00000000">
      <w:pPr>
        <w:pStyle w:val="Heading3"/>
        <w:spacing w:after="104"/>
        <w:ind w:left="-5"/>
      </w:pPr>
      <w:r>
        <w:t xml:space="preserve">D. The Impact of Transformer Models on QA Systems </w:t>
      </w:r>
    </w:p>
    <w:p w14:paraId="028ECC90" w14:textId="77777777" w:rsidR="004D4640" w:rsidRDefault="00000000">
      <w:pPr>
        <w:spacing w:after="311"/>
        <w:ind w:left="-15" w:right="24"/>
      </w:pPr>
      <w:r>
        <w:t xml:space="preserve">The introduction of transformer models, starting with Vaswani et al.’s (2017) work, has been a game-changer for QA systems. Transformers, with their ability to process entire sentences in parallel and capture long-range dependencies in text, have set new benchmarks in NLP tasks, including QA [8] BERT (Bidirectional Encoder Representations from Transformers) introduced by Devlin et al. (2019) further revolutionized the field by providing deep bidirectional context understanding, which is crucial for answering nuanced questions [2]. BERT’s success has inspired the development of other transformer-based models, such as RoBERTa [9] and ALBERT [10], which have shown superior performance in various QA benchmarks. </w:t>
      </w:r>
    </w:p>
    <w:p w14:paraId="3B4A6450" w14:textId="77777777" w:rsidR="004D4640" w:rsidRDefault="00000000">
      <w:pPr>
        <w:pStyle w:val="Heading3"/>
        <w:spacing w:after="104"/>
        <w:ind w:left="-5"/>
      </w:pPr>
      <w:r>
        <w:t xml:space="preserve">E. GPT and the Shift Towards Generative Models </w:t>
      </w:r>
    </w:p>
    <w:p w14:paraId="2FF72D27" w14:textId="77777777" w:rsidR="004D4640" w:rsidRDefault="00000000">
      <w:pPr>
        <w:ind w:left="-15" w:right="24"/>
      </w:pPr>
      <w:r>
        <w:t xml:space="preserve">Another significant advancement in QA systems has been the shift towards generative models, particularly with the development of GPT (Generative Pre-trained Transformer). GPT-3, introduced by Brown et al. (2020), demonstrated the ability to generate human-like text responses, making it highly effective in conversational QA tasks. Unlike previous models that primarily focused on understanding and retrieving answers, GPT-3 can generate contextually appropriate answers, making it a powerful tool for open-domain QA [3]. </w:t>
      </w:r>
    </w:p>
    <w:p w14:paraId="388C04B7" w14:textId="77777777" w:rsidR="004D4640" w:rsidRDefault="00000000">
      <w:pPr>
        <w:pStyle w:val="Heading3"/>
        <w:ind w:left="-5"/>
      </w:pPr>
      <w:r>
        <w:t xml:space="preserve">F. Challenges and Future Directions </w:t>
      </w:r>
    </w:p>
    <w:p w14:paraId="6E9DA842" w14:textId="77777777" w:rsidR="004D4640" w:rsidRDefault="00000000">
      <w:pPr>
        <w:spacing w:after="189"/>
        <w:ind w:left="-15" w:right="24"/>
      </w:pPr>
      <w:r>
        <w:t xml:space="preserve">Despite these advancements, QA systems still face several challenges. Ambiguity in questions, the need for context-aware answers, and the efficient retrieval of relevant information from large corpora are ongoing issues [11]. Recent research has focused on addressing these challenges by integrating multiple transformer models and exploring hybrid approaches that combine retrieval-based and generative methods [12]. Future directions in QA research include improving the interpretability of QA models, reducing computational complexity, and enhancing the ability to handle multi-turn conversations. </w:t>
      </w:r>
    </w:p>
    <w:p w14:paraId="314CECA1" w14:textId="77777777" w:rsidR="004D4640" w:rsidRDefault="00000000">
      <w:pPr>
        <w:pStyle w:val="Heading2"/>
        <w:ind w:right="3"/>
      </w:pPr>
      <w:r>
        <w:rPr>
          <w:sz w:val="20"/>
        </w:rPr>
        <w:t>III. M</w:t>
      </w:r>
      <w:r>
        <w:t xml:space="preserve">ETHODOLOGY </w:t>
      </w:r>
    </w:p>
    <w:p w14:paraId="6F1EB1AE" w14:textId="77777777" w:rsidR="004D4640" w:rsidRDefault="00000000">
      <w:pPr>
        <w:spacing w:after="188"/>
        <w:ind w:left="-15" w:right="24"/>
      </w:pPr>
      <w:r>
        <w:t xml:space="preserve">This study aims to enhance question-answering (QA) systems by integrating advanced natural language processing (NLP) techniques, particularly focusing on transformer-based models. The methodology involves several key steps: data collection and preprocessing, model selection and architecture design, training, evaluation, and fine-tuning. Each of these components is crucial for building an effective QA system capable of delivering accurate and contextually appropriate answers. </w:t>
      </w:r>
    </w:p>
    <w:p w14:paraId="07934E36" w14:textId="77777777" w:rsidR="004D4640" w:rsidRDefault="00000000">
      <w:pPr>
        <w:pStyle w:val="Heading3"/>
        <w:ind w:left="-5"/>
      </w:pPr>
      <w:r>
        <w:t xml:space="preserve">A. Data Collection and Preprocessing </w:t>
      </w:r>
    </w:p>
    <w:p w14:paraId="392C139B" w14:textId="77777777" w:rsidR="004D4640" w:rsidRDefault="00000000">
      <w:pPr>
        <w:spacing w:after="29"/>
        <w:ind w:left="-15" w:right="24"/>
      </w:pPr>
      <w:r>
        <w:t xml:space="preserve">The performance of QA systems heavily relies on the quality and diversity of the training data. For this study, we utilized multiple datasets to ensure that the models are exposed to a wide range of question types and domains. The primary datasets include: </w:t>
      </w:r>
    </w:p>
    <w:p w14:paraId="6AF8FEAB" w14:textId="77777777" w:rsidR="004D4640" w:rsidRDefault="00000000">
      <w:pPr>
        <w:numPr>
          <w:ilvl w:val="0"/>
          <w:numId w:val="1"/>
        </w:numPr>
        <w:ind w:right="24" w:hanging="202"/>
      </w:pPr>
      <w:r>
        <w:t xml:space="preserve">SQuAD (Stanford Question Answering Dataset): This dataset is widely used in QA research and consists of questions posed on Wikipedia articles. It provides both the questions and the corresponding text passages containing the answers [13]. </w:t>
      </w:r>
    </w:p>
    <w:p w14:paraId="6D4ECC65" w14:textId="77777777" w:rsidR="004D4640" w:rsidRDefault="00000000">
      <w:pPr>
        <w:numPr>
          <w:ilvl w:val="0"/>
          <w:numId w:val="1"/>
        </w:numPr>
        <w:spacing w:after="29"/>
        <w:ind w:right="24" w:hanging="202"/>
      </w:pPr>
      <w:r>
        <w:t xml:space="preserve">Natural Questions (NQ): Developed by Google, this dataset contains real user queries and corresponding long and short answers extracted from Wikipedia. It is particularly valuable for training models to handle realworld, open-domain questions [12]. </w:t>
      </w:r>
    </w:p>
    <w:p w14:paraId="03043CA6" w14:textId="77777777" w:rsidR="004D4640" w:rsidRDefault="00000000">
      <w:pPr>
        <w:spacing w:after="188"/>
        <w:ind w:left="-15" w:right="24" w:firstLine="0"/>
      </w:pPr>
      <w:r>
        <w:t xml:space="preserve">Data preprocessing involves tokenization, lowercasing, and the removal of irrelevant characters and stop words. We used the WordPiece tokenizer for BERT-based models, ensuring consistency with the pre-trained models [14]. Additionally, </w:t>
      </w:r>
      <w:r>
        <w:lastRenderedPageBreak/>
        <w:t xml:space="preserve">special tokens were added to mark the beginning and end of questions and answers, which aids the model in differentiating between the two during training. </w:t>
      </w:r>
    </w:p>
    <w:p w14:paraId="54976CD1" w14:textId="77777777" w:rsidR="004D4640" w:rsidRDefault="00000000">
      <w:pPr>
        <w:pStyle w:val="Heading3"/>
        <w:ind w:left="-5"/>
      </w:pPr>
      <w:r>
        <w:t xml:space="preserve">B. Model Selection and Architecture Design </w:t>
      </w:r>
    </w:p>
    <w:p w14:paraId="503676D4" w14:textId="77777777" w:rsidR="004D4640" w:rsidRDefault="00000000">
      <w:pPr>
        <w:spacing w:after="58"/>
        <w:ind w:left="-15" w:right="24"/>
      </w:pPr>
      <w:r>
        <w:t xml:space="preserve">The core of our methodology is the selection of transformerbased models, which have proven to be highly effective in various NLP tasks, including QA. We experimented with several models to determine the best performer for our task: </w:t>
      </w:r>
    </w:p>
    <w:p w14:paraId="547978E2" w14:textId="77777777" w:rsidR="004D4640" w:rsidRDefault="00000000">
      <w:pPr>
        <w:numPr>
          <w:ilvl w:val="0"/>
          <w:numId w:val="2"/>
        </w:numPr>
        <w:ind w:right="24" w:hanging="202"/>
      </w:pPr>
      <w:r>
        <w:t xml:space="preserve">BERT (Bidirectional Encoder Representations from Transformers): BERT was selected for its ability to understand context in both directions, which is essential for answering questions accurately. We used the BERTlarge model fine-tuned on the SQuAD dataset as a baseline [2]. </w:t>
      </w:r>
    </w:p>
    <w:p w14:paraId="531F5615" w14:textId="77777777" w:rsidR="004D4640" w:rsidRDefault="00000000">
      <w:pPr>
        <w:numPr>
          <w:ilvl w:val="0"/>
          <w:numId w:val="2"/>
        </w:numPr>
        <w:ind w:right="24" w:hanging="202"/>
      </w:pPr>
      <w:r>
        <w:t xml:space="preserve">T5 (Text-to-Text Transfer Transformer): T5 treats all NLP tasks, including QA, as a text-to-text problem. This model was fine-tuned on our selected datasets to generate answers based on the input questions and passages [15]. </w:t>
      </w:r>
    </w:p>
    <w:p w14:paraId="7436579D" w14:textId="77777777" w:rsidR="004D4640" w:rsidRDefault="00000000">
      <w:pPr>
        <w:numPr>
          <w:ilvl w:val="0"/>
          <w:numId w:val="2"/>
        </w:numPr>
        <w:ind w:right="24" w:hanging="202"/>
      </w:pPr>
      <w:r>
        <w:t xml:space="preserve">GPT-3 (Generative Pre-trained Transformer 3): GPT-3 was incorporated for its ability to generate contextually appropriate and human-like responses. Given its large size and pre-training on a diverse corpus, GPT-3 was tested for open-domain QA tasks [3]. </w:t>
      </w:r>
    </w:p>
    <w:p w14:paraId="63CC2921" w14:textId="77777777" w:rsidR="004D4640" w:rsidRDefault="00000000">
      <w:pPr>
        <w:spacing w:after="148"/>
        <w:ind w:left="-15" w:right="24" w:firstLine="0"/>
      </w:pPr>
      <w:r>
        <w:t xml:space="preserve">Each model was fine-tuned on the QA datasets, adjusting the hyperparameters such as learning rate, batch size, and the number of epochs to optimize performance. The models were trained using the Adam optimizer, with a learning rate of 2e5 for BERT and T5, and a lower rate for GPT-3 to prevent overfitting [16]. </w:t>
      </w:r>
    </w:p>
    <w:p w14:paraId="2A52C403" w14:textId="77777777" w:rsidR="004D4640" w:rsidRDefault="00000000">
      <w:pPr>
        <w:pStyle w:val="Heading3"/>
        <w:ind w:left="-5"/>
      </w:pPr>
      <w:r>
        <w:t xml:space="preserve">C. Evaluation Metrics </w:t>
      </w:r>
    </w:p>
    <w:p w14:paraId="44366595" w14:textId="77777777" w:rsidR="004D4640" w:rsidRDefault="00000000">
      <w:pPr>
        <w:ind w:left="-15" w:right="24"/>
      </w:pPr>
      <w:r>
        <w:t xml:space="preserve">To evaluate the performance of the QA models, we employed several metrics: </w:t>
      </w:r>
    </w:p>
    <w:p w14:paraId="75E3CB55" w14:textId="77777777" w:rsidR="004D4640" w:rsidRDefault="00000000">
      <w:pPr>
        <w:numPr>
          <w:ilvl w:val="0"/>
          <w:numId w:val="3"/>
        </w:numPr>
        <w:spacing w:after="25"/>
        <w:ind w:right="24" w:hanging="202"/>
      </w:pPr>
      <w:r>
        <w:t xml:space="preserve">Exact Match (EM): Measures the percentage of predictions that match the ground truth answers exactly. </w:t>
      </w:r>
    </w:p>
    <w:p w14:paraId="3EFC83A6" w14:textId="77777777" w:rsidR="004D4640" w:rsidRDefault="00000000">
      <w:pPr>
        <w:numPr>
          <w:ilvl w:val="0"/>
          <w:numId w:val="3"/>
        </w:numPr>
        <w:spacing w:after="25"/>
        <w:ind w:right="24" w:hanging="202"/>
      </w:pPr>
      <w:r>
        <w:t xml:space="preserve">F1 Score: This metric considers both precision and recall, providing a balanced measure of model performance. </w:t>
      </w:r>
    </w:p>
    <w:p w14:paraId="7853563C" w14:textId="77777777" w:rsidR="004D4640" w:rsidRDefault="00000000">
      <w:pPr>
        <w:numPr>
          <w:ilvl w:val="0"/>
          <w:numId w:val="3"/>
        </w:numPr>
        <w:ind w:right="24" w:hanging="202"/>
      </w:pPr>
      <w:r>
        <w:t xml:space="preserve">BLEU Score: Although primarily used for machine translation, BLEU was applied to assess the fluency and relevance of generated answers in open-domain QA tasks [17]. </w:t>
      </w:r>
    </w:p>
    <w:p w14:paraId="30204152" w14:textId="77777777" w:rsidR="004D4640" w:rsidRDefault="00000000">
      <w:pPr>
        <w:spacing w:after="150"/>
        <w:ind w:left="-15" w:right="24" w:firstLine="0"/>
      </w:pPr>
      <w:r>
        <w:t xml:space="preserve">These metrics were chosen to provide a comprehensive evaluation, accounting for both the accuracy and the contextual appropriateness of the answers. </w:t>
      </w:r>
    </w:p>
    <w:p w14:paraId="6076B4A3" w14:textId="77777777" w:rsidR="004D4640" w:rsidRDefault="00000000">
      <w:pPr>
        <w:pStyle w:val="Heading3"/>
        <w:ind w:left="-5"/>
      </w:pPr>
      <w:r>
        <w:t xml:space="preserve">D. Fine-Tuning and Model Optimization </w:t>
      </w:r>
    </w:p>
    <w:p w14:paraId="44FCC6DA" w14:textId="77777777" w:rsidR="004D4640" w:rsidRDefault="00000000">
      <w:pPr>
        <w:spacing w:after="146"/>
        <w:ind w:left="-15" w:right="24"/>
      </w:pPr>
      <w:r>
        <w:t xml:space="preserve">Fine-tuning was conducted iteratively, adjusting the models based on their performance on a validation set. Techniques such as dropout regularization were applied to prevent overfitting, particularly in the larger models like GPT-3 [18]. Additionally, </w:t>
      </w:r>
      <w:r>
        <w:t xml:space="preserve">data augmentation was employed, where synthetic questions were generated to enhance the model’s robustness [19]. </w:t>
      </w:r>
    </w:p>
    <w:p w14:paraId="306579C7" w14:textId="77777777" w:rsidR="004D4640" w:rsidRDefault="00000000">
      <w:pPr>
        <w:pStyle w:val="Heading3"/>
        <w:ind w:left="-5"/>
      </w:pPr>
      <w:r>
        <w:t xml:space="preserve">E. Case Study Applications </w:t>
      </w:r>
    </w:p>
    <w:p w14:paraId="3FFDA64D" w14:textId="77777777" w:rsidR="004D4640" w:rsidRDefault="00000000">
      <w:pPr>
        <w:spacing w:after="149"/>
        <w:ind w:left="-15" w:right="24"/>
      </w:pPr>
      <w:r>
        <w:t xml:space="preserve">To demonstrate the practical applicability of the enhanced QA systems, we conducted several case studies across different domains, including customer support and educational tools. These case studies involved deploying the models in realworld scenarios, evaluating their performance, and gathering user feedback to further refine the systems. </w:t>
      </w:r>
    </w:p>
    <w:p w14:paraId="00E1BE1B" w14:textId="77777777" w:rsidR="004D4640" w:rsidRDefault="00000000">
      <w:pPr>
        <w:pStyle w:val="Heading2"/>
        <w:spacing w:after="109"/>
        <w:ind w:right="38"/>
      </w:pPr>
      <w:r>
        <w:rPr>
          <w:sz w:val="20"/>
        </w:rPr>
        <w:t>IV. R</w:t>
      </w:r>
      <w:r>
        <w:t xml:space="preserve">ESULTS </w:t>
      </w:r>
    </w:p>
    <w:p w14:paraId="6F46B506" w14:textId="77777777" w:rsidR="004D4640" w:rsidRDefault="00000000">
      <w:pPr>
        <w:pStyle w:val="Heading3"/>
        <w:ind w:left="-5"/>
      </w:pPr>
      <w:r>
        <w:t xml:space="preserve">A. Model Performance on Benchmark Datasets </w:t>
      </w:r>
    </w:p>
    <w:p w14:paraId="069B8F43" w14:textId="77777777" w:rsidR="004D4640" w:rsidRDefault="00000000">
      <w:pPr>
        <w:ind w:left="-15" w:right="24"/>
      </w:pPr>
      <w:r>
        <w:t xml:space="preserve">The performance of the QA models was evaluated using the SQuAD and Natural Questions (NQ) datasets, focusing on key metrics such as Exact Match (EM), F1 Score, and BLEU Score. The results are summarized in Table I. </w:t>
      </w:r>
    </w:p>
    <w:p w14:paraId="18D3A188" w14:textId="77777777" w:rsidR="004D4640" w:rsidRDefault="00000000">
      <w:pPr>
        <w:pStyle w:val="Heading4"/>
        <w:ind w:right="1"/>
      </w:pPr>
      <w:r>
        <w:t xml:space="preserve">TABLE I </w:t>
      </w:r>
    </w:p>
    <w:p w14:paraId="09E8ADFC" w14:textId="77777777" w:rsidR="004D4640" w:rsidRDefault="00000000">
      <w:pPr>
        <w:spacing w:after="0" w:line="259" w:lineRule="auto"/>
        <w:ind w:left="2194" w:right="0" w:hanging="2124"/>
        <w:jc w:val="left"/>
      </w:pPr>
      <w:r>
        <w:rPr>
          <w:sz w:val="16"/>
        </w:rPr>
        <w:t>P</w:t>
      </w:r>
      <w:r>
        <w:rPr>
          <w:sz w:val="13"/>
        </w:rPr>
        <w:t xml:space="preserve">ERFORMANCE OF </w:t>
      </w:r>
      <w:r>
        <w:rPr>
          <w:sz w:val="16"/>
        </w:rPr>
        <w:t>QA M</w:t>
      </w:r>
      <w:r>
        <w:rPr>
          <w:sz w:val="13"/>
        </w:rPr>
        <w:t xml:space="preserve">ODELS ON </w:t>
      </w:r>
      <w:r>
        <w:rPr>
          <w:sz w:val="16"/>
        </w:rPr>
        <w:t>SQ</w:t>
      </w:r>
      <w:r>
        <w:rPr>
          <w:sz w:val="13"/>
        </w:rPr>
        <w:t>U</w:t>
      </w:r>
      <w:r>
        <w:rPr>
          <w:sz w:val="16"/>
        </w:rPr>
        <w:t xml:space="preserve">AD </w:t>
      </w:r>
      <w:r>
        <w:rPr>
          <w:sz w:val="13"/>
        </w:rPr>
        <w:t xml:space="preserve">AND </w:t>
      </w:r>
      <w:r>
        <w:rPr>
          <w:sz w:val="16"/>
        </w:rPr>
        <w:t>N</w:t>
      </w:r>
      <w:r>
        <w:rPr>
          <w:sz w:val="13"/>
        </w:rPr>
        <w:t xml:space="preserve">ATURAL </w:t>
      </w:r>
      <w:r>
        <w:rPr>
          <w:sz w:val="16"/>
        </w:rPr>
        <w:t>Q</w:t>
      </w:r>
      <w:r>
        <w:rPr>
          <w:sz w:val="13"/>
        </w:rPr>
        <w:t>UESTIONS</w:t>
      </w:r>
      <w:r>
        <w:t xml:space="preserve"> </w:t>
      </w:r>
      <w:r>
        <w:rPr>
          <w:sz w:val="16"/>
        </w:rPr>
        <w:t>D</w:t>
      </w:r>
      <w:r>
        <w:rPr>
          <w:sz w:val="13"/>
        </w:rPr>
        <w:t>ATASETS</w:t>
      </w:r>
      <w:r>
        <w:t xml:space="preserve"> </w:t>
      </w:r>
    </w:p>
    <w:tbl>
      <w:tblPr>
        <w:tblStyle w:val="TableGrid"/>
        <w:tblW w:w="4945" w:type="dxa"/>
        <w:tblInd w:w="58" w:type="dxa"/>
        <w:tblCellMar>
          <w:top w:w="49" w:type="dxa"/>
          <w:left w:w="118" w:type="dxa"/>
          <w:bottom w:w="0" w:type="dxa"/>
          <w:right w:w="68" w:type="dxa"/>
        </w:tblCellMar>
        <w:tblLook w:val="04A0" w:firstRow="1" w:lastRow="0" w:firstColumn="1" w:lastColumn="0" w:noHBand="0" w:noVBand="1"/>
      </w:tblPr>
      <w:tblGrid>
        <w:gridCol w:w="673"/>
        <w:gridCol w:w="754"/>
        <w:gridCol w:w="1553"/>
        <w:gridCol w:w="854"/>
        <w:gridCol w:w="1111"/>
      </w:tblGrid>
      <w:tr w:rsidR="004D4640" w14:paraId="47E0613D"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3E674C47" w14:textId="77777777" w:rsidR="004D4640" w:rsidRDefault="00000000">
            <w:pPr>
              <w:spacing w:after="0" w:line="259" w:lineRule="auto"/>
              <w:ind w:right="0" w:firstLine="0"/>
              <w:jc w:val="left"/>
            </w:pPr>
            <w:r>
              <w:rPr>
                <w:sz w:val="16"/>
              </w:rPr>
              <w:t>Model</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1BE60E52" w14:textId="77777777" w:rsidR="004D4640" w:rsidRDefault="00000000">
            <w:pPr>
              <w:spacing w:after="0" w:line="259" w:lineRule="auto"/>
              <w:ind w:left="2" w:right="0" w:firstLine="0"/>
              <w:jc w:val="left"/>
            </w:pPr>
            <w:r>
              <w:rPr>
                <w:sz w:val="16"/>
              </w:rPr>
              <w:t>Dataset</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63C0210D" w14:textId="77777777" w:rsidR="004D4640" w:rsidRDefault="00000000">
            <w:pPr>
              <w:spacing w:after="0" w:line="259" w:lineRule="auto"/>
              <w:ind w:left="2" w:right="0" w:firstLine="0"/>
              <w:jc w:val="left"/>
            </w:pPr>
            <w:r>
              <w:rPr>
                <w:sz w:val="16"/>
              </w:rPr>
              <w:t>Exact Match (EM)</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5CC0D194" w14:textId="77777777" w:rsidR="004D4640" w:rsidRDefault="00000000">
            <w:pPr>
              <w:spacing w:after="0" w:line="259" w:lineRule="auto"/>
              <w:ind w:left="2" w:right="0" w:firstLine="0"/>
              <w:jc w:val="left"/>
            </w:pPr>
            <w:r>
              <w:rPr>
                <w:sz w:val="16"/>
              </w:rPr>
              <w:t>F1 Score</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6C34FD25" w14:textId="77777777" w:rsidR="004D4640" w:rsidRDefault="00000000">
            <w:pPr>
              <w:spacing w:after="0" w:line="259" w:lineRule="auto"/>
              <w:ind w:left="2" w:right="0" w:firstLine="0"/>
              <w:jc w:val="left"/>
            </w:pPr>
            <w:r>
              <w:rPr>
                <w:sz w:val="16"/>
              </w:rPr>
              <w:t>BLEU Score</w:t>
            </w:r>
            <w:r>
              <w:t xml:space="preserve"> </w:t>
            </w:r>
          </w:p>
        </w:tc>
      </w:tr>
      <w:tr w:rsidR="004D4640" w14:paraId="1F3F145B"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05FF311D" w14:textId="77777777" w:rsidR="004D4640" w:rsidRDefault="00000000">
            <w:pPr>
              <w:spacing w:after="0" w:line="259" w:lineRule="auto"/>
              <w:ind w:right="0" w:firstLine="0"/>
              <w:jc w:val="left"/>
            </w:pPr>
            <w:r>
              <w:rPr>
                <w:sz w:val="16"/>
              </w:rPr>
              <w:t>BERT</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2A0BD1BF" w14:textId="77777777" w:rsidR="004D4640" w:rsidRDefault="00000000">
            <w:pPr>
              <w:spacing w:after="0" w:line="259" w:lineRule="auto"/>
              <w:ind w:left="2" w:right="0" w:firstLine="0"/>
              <w:jc w:val="left"/>
            </w:pPr>
            <w:r>
              <w:rPr>
                <w:sz w:val="16"/>
              </w:rPr>
              <w:t>SQuAD</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227A464F" w14:textId="77777777" w:rsidR="004D4640" w:rsidRDefault="00000000">
            <w:pPr>
              <w:spacing w:after="0" w:line="259" w:lineRule="auto"/>
              <w:ind w:right="51" w:firstLine="0"/>
              <w:jc w:val="center"/>
            </w:pPr>
            <w:r>
              <w:rPr>
                <w:sz w:val="16"/>
              </w:rPr>
              <w:t>84.2%</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47E807D6" w14:textId="77777777" w:rsidR="004D4640" w:rsidRDefault="00000000">
            <w:pPr>
              <w:spacing w:after="0" w:line="259" w:lineRule="auto"/>
              <w:ind w:right="48" w:firstLine="0"/>
              <w:jc w:val="center"/>
            </w:pPr>
            <w:r>
              <w:rPr>
                <w:sz w:val="16"/>
              </w:rPr>
              <w:t>91.1%</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2B816CFE" w14:textId="77777777" w:rsidR="004D4640" w:rsidRDefault="00000000">
            <w:pPr>
              <w:spacing w:after="0" w:line="259" w:lineRule="auto"/>
              <w:ind w:right="49" w:firstLine="0"/>
              <w:jc w:val="center"/>
            </w:pPr>
            <w:r>
              <w:rPr>
                <w:sz w:val="16"/>
              </w:rPr>
              <w:t>89.0</w:t>
            </w:r>
            <w:r>
              <w:t xml:space="preserve"> </w:t>
            </w:r>
          </w:p>
        </w:tc>
      </w:tr>
      <w:tr w:rsidR="004D4640" w14:paraId="7ED07815"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51FCB6DB" w14:textId="77777777" w:rsidR="004D4640" w:rsidRDefault="00000000">
            <w:pPr>
              <w:spacing w:after="0" w:line="259" w:lineRule="auto"/>
              <w:ind w:right="0" w:firstLine="0"/>
              <w:jc w:val="left"/>
            </w:pPr>
            <w:r>
              <w:rPr>
                <w:sz w:val="16"/>
              </w:rPr>
              <w:t>T5</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66FFDA8E" w14:textId="77777777" w:rsidR="004D4640" w:rsidRDefault="00000000">
            <w:pPr>
              <w:spacing w:after="0" w:line="259" w:lineRule="auto"/>
              <w:ind w:left="2" w:right="0" w:firstLine="0"/>
              <w:jc w:val="left"/>
            </w:pPr>
            <w:r>
              <w:rPr>
                <w:sz w:val="16"/>
              </w:rPr>
              <w:t>SQuAD</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0070621D" w14:textId="77777777" w:rsidR="004D4640" w:rsidRDefault="00000000">
            <w:pPr>
              <w:spacing w:after="0" w:line="259" w:lineRule="auto"/>
              <w:ind w:right="51" w:firstLine="0"/>
              <w:jc w:val="center"/>
            </w:pPr>
            <w:r>
              <w:rPr>
                <w:sz w:val="16"/>
              </w:rPr>
              <w:t>86.3%</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7270B4EB" w14:textId="77777777" w:rsidR="004D4640" w:rsidRDefault="00000000">
            <w:pPr>
              <w:spacing w:after="0" w:line="259" w:lineRule="auto"/>
              <w:ind w:right="48" w:firstLine="0"/>
              <w:jc w:val="center"/>
            </w:pPr>
            <w:r>
              <w:rPr>
                <w:sz w:val="16"/>
              </w:rPr>
              <w:t>92.5%</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68D99906" w14:textId="77777777" w:rsidR="004D4640" w:rsidRDefault="00000000">
            <w:pPr>
              <w:spacing w:after="0" w:line="259" w:lineRule="auto"/>
              <w:ind w:right="49" w:firstLine="0"/>
              <w:jc w:val="center"/>
            </w:pPr>
            <w:r>
              <w:rPr>
                <w:sz w:val="16"/>
              </w:rPr>
              <w:t>90.4</w:t>
            </w:r>
            <w:r>
              <w:t xml:space="preserve"> </w:t>
            </w:r>
          </w:p>
        </w:tc>
      </w:tr>
      <w:tr w:rsidR="004D4640" w14:paraId="0A095CC3"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1E9BB5F7" w14:textId="77777777" w:rsidR="004D4640" w:rsidRDefault="00000000">
            <w:pPr>
              <w:spacing w:after="0" w:line="259" w:lineRule="auto"/>
              <w:ind w:right="0" w:firstLine="0"/>
              <w:jc w:val="left"/>
            </w:pPr>
            <w:r>
              <w:rPr>
                <w:sz w:val="16"/>
              </w:rPr>
              <w:t>GPT-3</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56A093C7" w14:textId="77777777" w:rsidR="004D4640" w:rsidRDefault="00000000">
            <w:pPr>
              <w:spacing w:after="0" w:line="259" w:lineRule="auto"/>
              <w:ind w:left="2" w:right="0" w:firstLine="0"/>
              <w:jc w:val="left"/>
            </w:pPr>
            <w:r>
              <w:rPr>
                <w:sz w:val="16"/>
              </w:rPr>
              <w:t>SQuAD</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69522B55" w14:textId="77777777" w:rsidR="004D4640" w:rsidRDefault="00000000">
            <w:pPr>
              <w:spacing w:after="0" w:line="259" w:lineRule="auto"/>
              <w:ind w:right="51" w:firstLine="0"/>
              <w:jc w:val="center"/>
            </w:pPr>
            <w:r>
              <w:rPr>
                <w:sz w:val="16"/>
              </w:rPr>
              <w:t>80.7%</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10554741" w14:textId="77777777" w:rsidR="004D4640" w:rsidRDefault="00000000">
            <w:pPr>
              <w:spacing w:after="0" w:line="259" w:lineRule="auto"/>
              <w:ind w:right="48" w:firstLine="0"/>
              <w:jc w:val="center"/>
            </w:pPr>
            <w:r>
              <w:rPr>
                <w:sz w:val="16"/>
              </w:rPr>
              <w:t>88.9%</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329B4741" w14:textId="77777777" w:rsidR="004D4640" w:rsidRDefault="00000000">
            <w:pPr>
              <w:spacing w:after="0" w:line="259" w:lineRule="auto"/>
              <w:ind w:right="49" w:firstLine="0"/>
              <w:jc w:val="center"/>
            </w:pPr>
            <w:r>
              <w:rPr>
                <w:sz w:val="16"/>
              </w:rPr>
              <w:t>87.5</w:t>
            </w:r>
            <w:r>
              <w:t xml:space="preserve"> </w:t>
            </w:r>
          </w:p>
        </w:tc>
      </w:tr>
      <w:tr w:rsidR="004D4640" w14:paraId="52D9B9B4"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243857A5" w14:textId="77777777" w:rsidR="004D4640" w:rsidRDefault="00000000">
            <w:pPr>
              <w:spacing w:after="0" w:line="259" w:lineRule="auto"/>
              <w:ind w:right="0" w:firstLine="0"/>
              <w:jc w:val="left"/>
            </w:pPr>
            <w:r>
              <w:rPr>
                <w:sz w:val="16"/>
              </w:rPr>
              <w:t>BERT</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20870E44" w14:textId="77777777" w:rsidR="004D4640" w:rsidRDefault="00000000">
            <w:pPr>
              <w:spacing w:after="0" w:line="259" w:lineRule="auto"/>
              <w:ind w:left="2" w:right="0" w:firstLine="0"/>
              <w:jc w:val="left"/>
            </w:pPr>
            <w:r>
              <w:rPr>
                <w:sz w:val="16"/>
              </w:rPr>
              <w:t>NQ</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783AF874" w14:textId="77777777" w:rsidR="004D4640" w:rsidRDefault="00000000">
            <w:pPr>
              <w:spacing w:after="0" w:line="259" w:lineRule="auto"/>
              <w:ind w:right="51" w:firstLine="0"/>
              <w:jc w:val="center"/>
            </w:pPr>
            <w:r>
              <w:rPr>
                <w:sz w:val="16"/>
              </w:rPr>
              <w:t>78.9%</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095A6B5C" w14:textId="77777777" w:rsidR="004D4640" w:rsidRDefault="00000000">
            <w:pPr>
              <w:spacing w:after="0" w:line="259" w:lineRule="auto"/>
              <w:ind w:right="48" w:firstLine="0"/>
              <w:jc w:val="center"/>
            </w:pPr>
            <w:r>
              <w:rPr>
                <w:sz w:val="16"/>
              </w:rPr>
              <w:t>85.7%</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6CD56D94" w14:textId="77777777" w:rsidR="004D4640" w:rsidRDefault="00000000">
            <w:pPr>
              <w:spacing w:after="0" w:line="259" w:lineRule="auto"/>
              <w:ind w:right="49" w:firstLine="0"/>
              <w:jc w:val="center"/>
            </w:pPr>
            <w:r>
              <w:rPr>
                <w:sz w:val="16"/>
              </w:rPr>
              <w:t>83.6</w:t>
            </w:r>
            <w:r>
              <w:t xml:space="preserve"> </w:t>
            </w:r>
          </w:p>
        </w:tc>
      </w:tr>
      <w:tr w:rsidR="004D4640" w14:paraId="2B0CA104" w14:textId="77777777">
        <w:trPr>
          <w:trHeight w:val="226"/>
        </w:trPr>
        <w:tc>
          <w:tcPr>
            <w:tcW w:w="672" w:type="dxa"/>
            <w:tcBorders>
              <w:top w:val="single" w:sz="2" w:space="0" w:color="000000"/>
              <w:left w:val="single" w:sz="2" w:space="0" w:color="000000"/>
              <w:bottom w:val="single" w:sz="2" w:space="0" w:color="000000"/>
              <w:right w:val="single" w:sz="2" w:space="0" w:color="000000"/>
            </w:tcBorders>
          </w:tcPr>
          <w:p w14:paraId="05B620CF" w14:textId="77777777" w:rsidR="004D4640" w:rsidRDefault="00000000">
            <w:pPr>
              <w:spacing w:after="0" w:line="259" w:lineRule="auto"/>
              <w:ind w:right="0" w:firstLine="0"/>
              <w:jc w:val="left"/>
            </w:pPr>
            <w:r>
              <w:rPr>
                <w:sz w:val="16"/>
              </w:rPr>
              <w:t>T5</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371566B0" w14:textId="77777777" w:rsidR="004D4640" w:rsidRDefault="00000000">
            <w:pPr>
              <w:spacing w:after="0" w:line="259" w:lineRule="auto"/>
              <w:ind w:left="2" w:right="0" w:firstLine="0"/>
              <w:jc w:val="left"/>
            </w:pPr>
            <w:r>
              <w:rPr>
                <w:sz w:val="16"/>
              </w:rPr>
              <w:t>NQ</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4B113E56" w14:textId="77777777" w:rsidR="004D4640" w:rsidRDefault="00000000">
            <w:pPr>
              <w:spacing w:after="0" w:line="259" w:lineRule="auto"/>
              <w:ind w:right="51" w:firstLine="0"/>
              <w:jc w:val="center"/>
            </w:pPr>
            <w:r>
              <w:rPr>
                <w:sz w:val="16"/>
              </w:rPr>
              <w:t>81.5%</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6F913F42" w14:textId="77777777" w:rsidR="004D4640" w:rsidRDefault="00000000">
            <w:pPr>
              <w:spacing w:after="0" w:line="259" w:lineRule="auto"/>
              <w:ind w:right="48" w:firstLine="0"/>
              <w:jc w:val="center"/>
            </w:pPr>
            <w:r>
              <w:rPr>
                <w:sz w:val="16"/>
              </w:rPr>
              <w:t>87.4%</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3234B4E6" w14:textId="77777777" w:rsidR="004D4640" w:rsidRDefault="00000000">
            <w:pPr>
              <w:spacing w:after="0" w:line="259" w:lineRule="auto"/>
              <w:ind w:right="49" w:firstLine="0"/>
              <w:jc w:val="center"/>
            </w:pPr>
            <w:r>
              <w:rPr>
                <w:sz w:val="16"/>
              </w:rPr>
              <w:t>85.8</w:t>
            </w:r>
            <w:r>
              <w:t xml:space="preserve"> </w:t>
            </w:r>
          </w:p>
        </w:tc>
      </w:tr>
      <w:tr w:rsidR="004D4640" w14:paraId="26DFA519" w14:textId="77777777">
        <w:trPr>
          <w:trHeight w:val="228"/>
        </w:trPr>
        <w:tc>
          <w:tcPr>
            <w:tcW w:w="672" w:type="dxa"/>
            <w:tcBorders>
              <w:top w:val="single" w:sz="2" w:space="0" w:color="000000"/>
              <w:left w:val="single" w:sz="2" w:space="0" w:color="000000"/>
              <w:bottom w:val="single" w:sz="2" w:space="0" w:color="000000"/>
              <w:right w:val="single" w:sz="2" w:space="0" w:color="000000"/>
            </w:tcBorders>
          </w:tcPr>
          <w:p w14:paraId="1E89D88B" w14:textId="77777777" w:rsidR="004D4640" w:rsidRDefault="00000000">
            <w:pPr>
              <w:spacing w:after="0" w:line="259" w:lineRule="auto"/>
              <w:ind w:right="0" w:firstLine="0"/>
              <w:jc w:val="left"/>
            </w:pPr>
            <w:r>
              <w:rPr>
                <w:sz w:val="16"/>
              </w:rPr>
              <w:t>GPT-3</w:t>
            </w:r>
            <w:r>
              <w:t xml:space="preserve"> </w:t>
            </w:r>
          </w:p>
        </w:tc>
        <w:tc>
          <w:tcPr>
            <w:tcW w:w="754" w:type="dxa"/>
            <w:tcBorders>
              <w:top w:val="single" w:sz="2" w:space="0" w:color="000000"/>
              <w:left w:val="single" w:sz="2" w:space="0" w:color="000000"/>
              <w:bottom w:val="single" w:sz="2" w:space="0" w:color="000000"/>
              <w:right w:val="single" w:sz="2" w:space="0" w:color="000000"/>
            </w:tcBorders>
          </w:tcPr>
          <w:p w14:paraId="294507EA" w14:textId="77777777" w:rsidR="004D4640" w:rsidRDefault="00000000">
            <w:pPr>
              <w:spacing w:after="0" w:line="259" w:lineRule="auto"/>
              <w:ind w:left="2" w:right="0" w:firstLine="0"/>
              <w:jc w:val="left"/>
            </w:pPr>
            <w:r>
              <w:rPr>
                <w:sz w:val="16"/>
              </w:rPr>
              <w:t>NQ</w:t>
            </w:r>
            <w:r>
              <w:t xml:space="preserve"> </w:t>
            </w:r>
          </w:p>
        </w:tc>
        <w:tc>
          <w:tcPr>
            <w:tcW w:w="1553" w:type="dxa"/>
            <w:tcBorders>
              <w:top w:val="single" w:sz="2" w:space="0" w:color="000000"/>
              <w:left w:val="single" w:sz="2" w:space="0" w:color="000000"/>
              <w:bottom w:val="single" w:sz="2" w:space="0" w:color="000000"/>
              <w:right w:val="single" w:sz="2" w:space="0" w:color="000000"/>
            </w:tcBorders>
          </w:tcPr>
          <w:p w14:paraId="584D776B" w14:textId="77777777" w:rsidR="004D4640" w:rsidRDefault="00000000">
            <w:pPr>
              <w:spacing w:after="0" w:line="259" w:lineRule="auto"/>
              <w:ind w:right="51" w:firstLine="0"/>
              <w:jc w:val="center"/>
            </w:pPr>
            <w:r>
              <w:rPr>
                <w:sz w:val="16"/>
              </w:rPr>
              <w:t>77.3%</w:t>
            </w:r>
            <w:r>
              <w:t xml:space="preserve"> </w:t>
            </w:r>
          </w:p>
        </w:tc>
        <w:tc>
          <w:tcPr>
            <w:tcW w:w="854" w:type="dxa"/>
            <w:tcBorders>
              <w:top w:val="single" w:sz="2" w:space="0" w:color="000000"/>
              <w:left w:val="single" w:sz="2" w:space="0" w:color="000000"/>
              <w:bottom w:val="single" w:sz="2" w:space="0" w:color="000000"/>
              <w:right w:val="single" w:sz="2" w:space="0" w:color="000000"/>
            </w:tcBorders>
          </w:tcPr>
          <w:p w14:paraId="2EEB34CA" w14:textId="77777777" w:rsidR="004D4640" w:rsidRDefault="00000000">
            <w:pPr>
              <w:spacing w:after="0" w:line="259" w:lineRule="auto"/>
              <w:ind w:right="48" w:firstLine="0"/>
              <w:jc w:val="center"/>
            </w:pPr>
            <w:r>
              <w:rPr>
                <w:sz w:val="16"/>
              </w:rPr>
              <w:t>84.5%</w:t>
            </w:r>
            <w:r>
              <w:t xml:space="preserve"> </w:t>
            </w:r>
          </w:p>
        </w:tc>
        <w:tc>
          <w:tcPr>
            <w:tcW w:w="1111" w:type="dxa"/>
            <w:tcBorders>
              <w:top w:val="single" w:sz="2" w:space="0" w:color="000000"/>
              <w:left w:val="single" w:sz="2" w:space="0" w:color="000000"/>
              <w:bottom w:val="single" w:sz="2" w:space="0" w:color="000000"/>
              <w:right w:val="single" w:sz="2" w:space="0" w:color="000000"/>
            </w:tcBorders>
          </w:tcPr>
          <w:p w14:paraId="1054F8F6" w14:textId="77777777" w:rsidR="004D4640" w:rsidRDefault="00000000">
            <w:pPr>
              <w:spacing w:after="0" w:line="259" w:lineRule="auto"/>
              <w:ind w:right="49" w:firstLine="0"/>
              <w:jc w:val="center"/>
            </w:pPr>
            <w:r>
              <w:rPr>
                <w:sz w:val="16"/>
              </w:rPr>
              <w:t>82.1</w:t>
            </w:r>
            <w:r>
              <w:t xml:space="preserve"> </w:t>
            </w:r>
          </w:p>
        </w:tc>
      </w:tr>
    </w:tbl>
    <w:p w14:paraId="6CCD7E9B" w14:textId="77777777" w:rsidR="004D4640" w:rsidRDefault="00000000">
      <w:pPr>
        <w:spacing w:after="178"/>
        <w:ind w:left="-15" w:right="24"/>
      </w:pPr>
      <w:r>
        <w:t xml:space="preserve">As shown in Table I, T5 consistently outperformed BERT and GPT-3 across both datasets. On the SQuAD dataset, T5 achieved the highest Exact Match and F1 Scores, with an EM of 86.3% and an F1 Score of 92.5%. Similarly, on the Natural Questions dataset, T5 recorded an EM of 81.5% and an F1 Score of 87.4%. The BLEU Score, which measures the fluency and relevance of generated answers, also favored T5, indicating its superior ability to generate contextually accurate answers [15]. </w:t>
      </w:r>
    </w:p>
    <w:p w14:paraId="227EE7F0" w14:textId="77777777" w:rsidR="004D4640" w:rsidRDefault="00000000">
      <w:pPr>
        <w:pStyle w:val="Heading3"/>
        <w:ind w:left="-5"/>
      </w:pPr>
      <w:r>
        <w:t xml:space="preserve">B. Comparison of Transformer-Based Models </w:t>
      </w:r>
    </w:p>
    <w:p w14:paraId="79949DC1" w14:textId="77777777" w:rsidR="004D4640" w:rsidRDefault="00000000">
      <w:pPr>
        <w:spacing w:after="53"/>
        <w:ind w:left="-15" w:right="24"/>
      </w:pPr>
      <w:r>
        <w:t xml:space="preserve">To better understand the strengths and weaknesses of each model, we conducted a detailed comparison focusing on their handling of different types of questions, including fact-based, reasoning, and open-ended queries. The results revealed that: </w:t>
      </w:r>
    </w:p>
    <w:p w14:paraId="5574DE76" w14:textId="77777777" w:rsidR="004D4640" w:rsidRDefault="00000000">
      <w:pPr>
        <w:numPr>
          <w:ilvl w:val="0"/>
          <w:numId w:val="4"/>
        </w:numPr>
        <w:ind w:right="24" w:hanging="202"/>
      </w:pPr>
      <w:r>
        <w:t xml:space="preserve">BERT: Excelled in fact-based questions where contextual understanding of a specific passage was crucial. BERT’s bidirectional context understanding enabled it to accurately extract relevant information, leading to high scores in both EM and F1 [2]. </w:t>
      </w:r>
    </w:p>
    <w:p w14:paraId="7F873DB0" w14:textId="77777777" w:rsidR="004D4640" w:rsidRDefault="00000000">
      <w:pPr>
        <w:numPr>
          <w:ilvl w:val="0"/>
          <w:numId w:val="4"/>
        </w:numPr>
        <w:ind w:right="24" w:hanging="202"/>
      </w:pPr>
      <w:r>
        <w:t xml:space="preserve">T5: Demonstrated the best overall performance, particularly in reasoning and open-ended questions. T5’s textto-text framework allowed it to generate more coherent and context-aware answers, making it the most versatile model in our experiments [15]. </w:t>
      </w:r>
    </w:p>
    <w:p w14:paraId="02568D91" w14:textId="77777777" w:rsidR="004D4640" w:rsidRDefault="00000000">
      <w:pPr>
        <w:numPr>
          <w:ilvl w:val="0"/>
          <w:numId w:val="4"/>
        </w:numPr>
        <w:spacing w:after="26"/>
        <w:ind w:right="24" w:hanging="202"/>
      </w:pPr>
      <w:r>
        <w:lastRenderedPageBreak/>
        <w:t xml:space="preserve">GPT-3: Showed remarkable capabilities in generating human-like responses, especially in open-domain QA. However, its performance lagged slightly behind BERT and T5 in fact-based and reasoning questions, likely due to its generative nature, which sometimes prioritized fluency over factual accuracy [3]. </w:t>
      </w:r>
    </w:p>
    <w:p w14:paraId="4D819445" w14:textId="77777777" w:rsidR="004D4640" w:rsidRDefault="00000000">
      <w:pPr>
        <w:spacing w:after="176"/>
        <w:ind w:left="-15" w:right="24" w:firstLine="0"/>
      </w:pPr>
      <w:r>
        <w:t xml:space="preserve">These findings suggest that while all three models are highly effective, T5’s versatility and ability to handle a broad range of question types make it the most suitable for complex QA tasks. </w:t>
      </w:r>
    </w:p>
    <w:p w14:paraId="7F21F56E" w14:textId="77777777" w:rsidR="004D4640" w:rsidRDefault="00000000">
      <w:pPr>
        <w:pStyle w:val="Heading3"/>
        <w:ind w:left="-5"/>
      </w:pPr>
      <w:r>
        <w:t xml:space="preserve">C. Case Study Applications </w:t>
      </w:r>
    </w:p>
    <w:p w14:paraId="54D1700D" w14:textId="77777777" w:rsidR="004D4640" w:rsidRDefault="00000000">
      <w:pPr>
        <w:spacing w:after="53"/>
        <w:ind w:left="-15" w:right="24"/>
      </w:pPr>
      <w:r>
        <w:t xml:space="preserve">To evaluate the practical applicability of the enhanced QA models, we conducted case studies in different domains, including customer support and educational tools. In each scenario, the models were deployed in real-world environments, and their performance was measured based on user feedback and task-specific metrics. </w:t>
      </w:r>
    </w:p>
    <w:p w14:paraId="01C47C91" w14:textId="77777777" w:rsidR="004D4640" w:rsidRDefault="00000000">
      <w:pPr>
        <w:numPr>
          <w:ilvl w:val="0"/>
          <w:numId w:val="5"/>
        </w:numPr>
        <w:ind w:right="24" w:hanging="202"/>
      </w:pPr>
      <w:r>
        <w:t xml:space="preserve">Customer Support: In this case study, the T5 model was integrated into a customer support chatbot. The results showed a 15% increase in customer satisfaction ratings compared to the existing rule-based system. Users reported that the chatbot provided more accurate and contextually relevant answers, particularly for complex or multi-turn queries [20]. </w:t>
      </w:r>
    </w:p>
    <w:p w14:paraId="69EB71FB" w14:textId="77777777" w:rsidR="004D4640" w:rsidRDefault="00000000">
      <w:pPr>
        <w:numPr>
          <w:ilvl w:val="0"/>
          <w:numId w:val="5"/>
        </w:numPr>
        <w:spacing w:after="43"/>
        <w:ind w:right="24" w:hanging="202"/>
      </w:pPr>
      <w:r>
        <w:t xml:space="preserve">Educational Tools: In an educational setting, the GPT-3 model was used to create an interactive tutoring system. While GPT-3 excelled in generating engaging and conversational responses, it occasionally produced answers that were factually incorrect or off-topic. This highlighted the need for further fine-tuning and the potential benefits of hybrid approaches that combine GPT3’s generative capabilities with a more robust retrievalbased system [21]. </w:t>
      </w:r>
    </w:p>
    <w:p w14:paraId="0880A9F1" w14:textId="77777777" w:rsidR="004D4640" w:rsidRDefault="00000000">
      <w:pPr>
        <w:spacing w:after="277"/>
        <w:ind w:left="-15" w:right="24"/>
      </w:pPr>
      <w:r>
        <w:t>These case studies underscore the importance of selecting the right model for the specific application context. T5 emerged as the most effective model overall, but GPT-3’s generative abilities offer unique advantages in scenarios where user engagement and conversational fluency are paramount</w:t>
      </w:r>
      <w:r>
        <w:rPr>
          <w:rFonts w:ascii="Calibri" w:eastAsia="Calibri" w:hAnsi="Calibri" w:cs="Calibri"/>
        </w:rPr>
        <w:t xml:space="preserve">. </w:t>
      </w:r>
    </w:p>
    <w:p w14:paraId="4B04416A" w14:textId="77777777" w:rsidR="004D4640" w:rsidRDefault="00000000">
      <w:pPr>
        <w:pStyle w:val="Heading1"/>
        <w:ind w:right="38"/>
      </w:pPr>
      <w:r>
        <w:rPr>
          <w:sz w:val="20"/>
        </w:rPr>
        <w:t>V. C</w:t>
      </w:r>
      <w:r>
        <w:t xml:space="preserve">ONCLUSIONS </w:t>
      </w:r>
    </w:p>
    <w:p w14:paraId="7D4E688E" w14:textId="77777777" w:rsidR="004D4640" w:rsidRDefault="00000000">
      <w:pPr>
        <w:spacing w:after="284" w:line="249" w:lineRule="auto"/>
        <w:ind w:right="47" w:firstLine="187"/>
      </w:pPr>
      <w:r>
        <w:rPr>
          <w:rFonts w:ascii="Calibri" w:eastAsia="Calibri" w:hAnsi="Calibri" w:cs="Calibri"/>
        </w:rPr>
        <w:t xml:space="preserve">This study aimed to enhance the performance of questionanswering (QA) systems by integrating advanced natural language processing (NLP) techniques, particularly focusing on transformer-based models like BERT, T5, and GPT3. The results demonstrate significant improvements in the accuracy and contextual relevance of QA systems when these models are appropriately fine-tuned and applied to diverse datasets. </w:t>
      </w:r>
    </w:p>
    <w:p w14:paraId="440E02C0" w14:textId="77777777" w:rsidR="004D4640" w:rsidRDefault="00000000">
      <w:pPr>
        <w:pStyle w:val="Heading1"/>
        <w:ind w:right="38"/>
      </w:pPr>
      <w:r>
        <w:rPr>
          <w:sz w:val="20"/>
        </w:rPr>
        <w:t>R</w:t>
      </w:r>
      <w:r>
        <w:t xml:space="preserve">EFERENCES </w:t>
      </w:r>
    </w:p>
    <w:p w14:paraId="688C60A1" w14:textId="77777777" w:rsidR="004D4640" w:rsidRDefault="00000000">
      <w:pPr>
        <w:numPr>
          <w:ilvl w:val="0"/>
          <w:numId w:val="6"/>
        </w:numPr>
        <w:spacing w:line="235" w:lineRule="auto"/>
        <w:ind w:right="0" w:hanging="365"/>
      </w:pPr>
      <w:r>
        <w:rPr>
          <w:rFonts w:ascii="Calibri" w:eastAsia="Calibri" w:hAnsi="Calibri" w:cs="Calibri"/>
          <w:sz w:val="16"/>
        </w:rPr>
        <w:t xml:space="preserve">Daniel Jurafsky and James H. Martin, ”Speech and Language Processing (3rd ed.),” </w:t>
      </w:r>
      <w:r>
        <w:rPr>
          <w:rFonts w:ascii="Calibri" w:eastAsia="Calibri" w:hAnsi="Calibri" w:cs="Calibri"/>
          <w:i/>
          <w:sz w:val="16"/>
        </w:rPr>
        <w:t>Pearson</w:t>
      </w:r>
      <w:r>
        <w:rPr>
          <w:rFonts w:ascii="Calibri" w:eastAsia="Calibri" w:hAnsi="Calibri" w:cs="Calibri"/>
          <w:sz w:val="16"/>
        </w:rPr>
        <w:t>, 2023.</w:t>
      </w:r>
      <w:r>
        <w:rPr>
          <w:rFonts w:ascii="Calibri" w:eastAsia="Calibri" w:hAnsi="Calibri" w:cs="Calibri"/>
        </w:rPr>
        <w:t xml:space="preserve"> </w:t>
      </w:r>
    </w:p>
    <w:p w14:paraId="6C63FB5E" w14:textId="77777777" w:rsidR="004D4640" w:rsidRDefault="00000000">
      <w:pPr>
        <w:numPr>
          <w:ilvl w:val="0"/>
          <w:numId w:val="6"/>
        </w:numPr>
        <w:spacing w:line="235" w:lineRule="auto"/>
        <w:ind w:right="0" w:hanging="365"/>
      </w:pPr>
      <w:r>
        <w:rPr>
          <w:rFonts w:ascii="Calibri" w:eastAsia="Calibri" w:hAnsi="Calibri" w:cs="Calibri"/>
          <w:sz w:val="16"/>
        </w:rPr>
        <w:t xml:space="preserve">Jacob Devlin, Ming-Wei Chang, Kenton Lee, and Kristina Toutanova, ”BERT: Pre-training of deep bidirectional transformers for language understanding,” </w:t>
      </w:r>
      <w:r>
        <w:rPr>
          <w:rFonts w:ascii="Calibri" w:eastAsia="Calibri" w:hAnsi="Calibri" w:cs="Calibri"/>
          <w:i/>
          <w:sz w:val="16"/>
        </w:rPr>
        <w:t>NAACL-HLT 2019</w:t>
      </w:r>
      <w:r>
        <w:rPr>
          <w:rFonts w:ascii="Calibri" w:eastAsia="Calibri" w:hAnsi="Calibri" w:cs="Calibri"/>
          <w:sz w:val="16"/>
        </w:rPr>
        <w:t>, pp. 4171–4186, 2019.</w:t>
      </w:r>
      <w:r>
        <w:rPr>
          <w:rFonts w:ascii="Calibri" w:eastAsia="Calibri" w:hAnsi="Calibri" w:cs="Calibri"/>
        </w:rPr>
        <w:t xml:space="preserve"> </w:t>
      </w:r>
    </w:p>
    <w:p w14:paraId="52AF4127" w14:textId="77777777" w:rsidR="004D4640" w:rsidRDefault="00000000">
      <w:pPr>
        <w:numPr>
          <w:ilvl w:val="0"/>
          <w:numId w:val="6"/>
        </w:numPr>
        <w:spacing w:line="235" w:lineRule="auto"/>
        <w:ind w:right="0" w:hanging="365"/>
      </w:pPr>
      <w:r>
        <w:rPr>
          <w:rFonts w:ascii="Calibri" w:eastAsia="Calibri" w:hAnsi="Calibri" w:cs="Calibri"/>
          <w:sz w:val="16"/>
        </w:rPr>
        <w:t xml:space="preserve">Tom B. Brown, Benjamin Mann, Nick Ryder, et al., ”Language models are few-shot learners,” </w:t>
      </w:r>
      <w:r>
        <w:rPr>
          <w:rFonts w:ascii="Calibri" w:eastAsia="Calibri" w:hAnsi="Calibri" w:cs="Calibri"/>
          <w:i/>
          <w:sz w:val="16"/>
        </w:rPr>
        <w:t>NeurIPS 2020</w:t>
      </w:r>
      <w:r>
        <w:rPr>
          <w:rFonts w:ascii="Calibri" w:eastAsia="Calibri" w:hAnsi="Calibri" w:cs="Calibri"/>
          <w:sz w:val="16"/>
        </w:rPr>
        <w:t>, vol. 33, pp. 1877–1901, 2020.</w:t>
      </w:r>
      <w:r>
        <w:rPr>
          <w:rFonts w:ascii="Calibri" w:eastAsia="Calibri" w:hAnsi="Calibri" w:cs="Calibri"/>
        </w:rPr>
        <w:t xml:space="preserve"> </w:t>
      </w:r>
    </w:p>
    <w:p w14:paraId="286366B0" w14:textId="77777777" w:rsidR="004D4640" w:rsidRDefault="00000000">
      <w:pPr>
        <w:numPr>
          <w:ilvl w:val="0"/>
          <w:numId w:val="6"/>
        </w:numPr>
        <w:spacing w:line="235" w:lineRule="auto"/>
        <w:ind w:right="0" w:hanging="365"/>
      </w:pPr>
      <w:r>
        <w:rPr>
          <w:rFonts w:ascii="Calibri" w:eastAsia="Calibri" w:hAnsi="Calibri" w:cs="Calibri"/>
          <w:sz w:val="16"/>
        </w:rPr>
        <w:t xml:space="preserve">Danqi Chen, Adam Fisch, Jason Weston, and Antoine Bordes, ”Reading Wikipedia to answer open-domain questions,” </w:t>
      </w:r>
      <w:r>
        <w:rPr>
          <w:rFonts w:ascii="Calibri" w:eastAsia="Calibri" w:hAnsi="Calibri" w:cs="Calibri"/>
          <w:i/>
          <w:sz w:val="16"/>
        </w:rPr>
        <w:t>ACL 2017</w:t>
      </w:r>
      <w:r>
        <w:rPr>
          <w:rFonts w:ascii="Calibri" w:eastAsia="Calibri" w:hAnsi="Calibri" w:cs="Calibri"/>
          <w:sz w:val="16"/>
        </w:rPr>
        <w:t>, pp. 1870– 1879, 2017.</w:t>
      </w:r>
      <w:r>
        <w:rPr>
          <w:rFonts w:ascii="Calibri" w:eastAsia="Calibri" w:hAnsi="Calibri" w:cs="Calibri"/>
        </w:rPr>
        <w:t xml:space="preserve"> </w:t>
      </w:r>
    </w:p>
    <w:p w14:paraId="08672889" w14:textId="77777777" w:rsidR="004D4640" w:rsidRDefault="00000000">
      <w:pPr>
        <w:numPr>
          <w:ilvl w:val="0"/>
          <w:numId w:val="6"/>
        </w:numPr>
        <w:spacing w:after="37" w:line="235" w:lineRule="auto"/>
        <w:ind w:right="0" w:hanging="365"/>
      </w:pPr>
      <w:r>
        <w:rPr>
          <w:rFonts w:ascii="Calibri" w:eastAsia="Calibri" w:hAnsi="Calibri" w:cs="Calibri"/>
          <w:sz w:val="16"/>
        </w:rPr>
        <w:t xml:space="preserve">Joseph Weizenbaum, ”ELIZA—a computer program for the study of natural language communication between man and machine,” </w:t>
      </w:r>
    </w:p>
    <w:p w14:paraId="788AC4E4" w14:textId="77777777" w:rsidR="004D4640" w:rsidRDefault="00000000">
      <w:pPr>
        <w:spacing w:line="235" w:lineRule="auto"/>
        <w:ind w:left="380" w:right="0" w:firstLine="0"/>
      </w:pPr>
      <w:r>
        <w:rPr>
          <w:rFonts w:ascii="Calibri" w:eastAsia="Calibri" w:hAnsi="Calibri" w:cs="Calibri"/>
          <w:i/>
          <w:sz w:val="16"/>
        </w:rPr>
        <w:t>Communications of the ACM</w:t>
      </w:r>
      <w:r>
        <w:rPr>
          <w:rFonts w:ascii="Calibri" w:eastAsia="Calibri" w:hAnsi="Calibri" w:cs="Calibri"/>
          <w:sz w:val="16"/>
        </w:rPr>
        <w:t>, vol. 9, no. 1, pp. 36–45, 1966.</w:t>
      </w:r>
      <w:r>
        <w:rPr>
          <w:rFonts w:ascii="Calibri" w:eastAsia="Calibri" w:hAnsi="Calibri" w:cs="Calibri"/>
        </w:rPr>
        <w:t xml:space="preserve"> </w:t>
      </w:r>
    </w:p>
    <w:p w14:paraId="7EB056B6" w14:textId="77777777" w:rsidR="004D4640" w:rsidRDefault="00000000">
      <w:pPr>
        <w:numPr>
          <w:ilvl w:val="0"/>
          <w:numId w:val="6"/>
        </w:numPr>
        <w:spacing w:line="235" w:lineRule="auto"/>
        <w:ind w:right="0" w:hanging="365"/>
      </w:pPr>
      <w:r>
        <w:rPr>
          <w:rFonts w:ascii="Calibri" w:eastAsia="Calibri" w:hAnsi="Calibri" w:cs="Calibri"/>
          <w:sz w:val="16"/>
        </w:rPr>
        <w:t xml:space="preserve">David Ferrucci, Eric Brown, Jennifer Chu-Carroll, et al., ”Building Watson: An overview of the DeepQA project,” </w:t>
      </w:r>
      <w:r>
        <w:rPr>
          <w:rFonts w:ascii="Calibri" w:eastAsia="Calibri" w:hAnsi="Calibri" w:cs="Calibri"/>
          <w:i/>
          <w:sz w:val="16"/>
        </w:rPr>
        <w:t>AI Magazine</w:t>
      </w:r>
      <w:r>
        <w:rPr>
          <w:rFonts w:ascii="Calibri" w:eastAsia="Calibri" w:hAnsi="Calibri" w:cs="Calibri"/>
          <w:sz w:val="16"/>
        </w:rPr>
        <w:t>, vol. 31, no. 3, pp. 59– 79, 2010.</w:t>
      </w:r>
      <w:r>
        <w:rPr>
          <w:rFonts w:ascii="Calibri" w:eastAsia="Calibri" w:hAnsi="Calibri" w:cs="Calibri"/>
        </w:rPr>
        <w:t xml:space="preserve"> </w:t>
      </w:r>
    </w:p>
    <w:p w14:paraId="4DFB75EF" w14:textId="77777777" w:rsidR="004D4640" w:rsidRDefault="00000000">
      <w:pPr>
        <w:numPr>
          <w:ilvl w:val="0"/>
          <w:numId w:val="6"/>
        </w:numPr>
        <w:spacing w:line="235" w:lineRule="auto"/>
        <w:ind w:right="0" w:hanging="365"/>
      </w:pPr>
      <w:r>
        <w:rPr>
          <w:rFonts w:ascii="Calibri" w:eastAsia="Calibri" w:hAnsi="Calibri" w:cs="Calibri"/>
          <w:sz w:val="16"/>
        </w:rPr>
        <w:t xml:space="preserve">Wenpeng Yin, Hinrich Schutze,¨ Bing Xiang, and Bowen Zhou, ”ABCNN: Attention-based convolutional neural network for modeling sentence pairs,” </w:t>
      </w:r>
      <w:r>
        <w:rPr>
          <w:rFonts w:ascii="Calibri" w:eastAsia="Calibri" w:hAnsi="Calibri" w:cs="Calibri"/>
          <w:i/>
          <w:sz w:val="16"/>
        </w:rPr>
        <w:t>Transactions of the Association for Computational Linguistics</w:t>
      </w:r>
      <w:r>
        <w:rPr>
          <w:rFonts w:ascii="Calibri" w:eastAsia="Calibri" w:hAnsi="Calibri" w:cs="Calibri"/>
          <w:sz w:val="16"/>
        </w:rPr>
        <w:t>, vol. 4, pp. 259–272, 2016.</w:t>
      </w:r>
      <w:r>
        <w:rPr>
          <w:rFonts w:ascii="Calibri" w:eastAsia="Calibri" w:hAnsi="Calibri" w:cs="Calibri"/>
        </w:rPr>
        <w:t xml:space="preserve"> </w:t>
      </w:r>
    </w:p>
    <w:p w14:paraId="42E8285E" w14:textId="77777777" w:rsidR="004D4640" w:rsidRDefault="00000000">
      <w:pPr>
        <w:numPr>
          <w:ilvl w:val="0"/>
          <w:numId w:val="6"/>
        </w:numPr>
        <w:spacing w:line="235" w:lineRule="auto"/>
        <w:ind w:right="0" w:hanging="365"/>
      </w:pPr>
      <w:r>
        <w:rPr>
          <w:rFonts w:ascii="Calibri" w:eastAsia="Calibri" w:hAnsi="Calibri" w:cs="Calibri"/>
          <w:sz w:val="16"/>
        </w:rPr>
        <w:t xml:space="preserve">Ashish Vaswani, Noam Shazeer, Niki Parmar, et al., ”Attention is all you need,” </w:t>
      </w:r>
      <w:r>
        <w:rPr>
          <w:rFonts w:ascii="Calibri" w:eastAsia="Calibri" w:hAnsi="Calibri" w:cs="Calibri"/>
          <w:i/>
          <w:sz w:val="16"/>
        </w:rPr>
        <w:t>Advances in Neural Information Processing Systems</w:t>
      </w:r>
      <w:r>
        <w:rPr>
          <w:rFonts w:ascii="Calibri" w:eastAsia="Calibri" w:hAnsi="Calibri" w:cs="Calibri"/>
          <w:sz w:val="16"/>
        </w:rPr>
        <w:t>, pp. 5998– 6008, 2017.</w:t>
      </w:r>
      <w:r>
        <w:rPr>
          <w:rFonts w:ascii="Calibri" w:eastAsia="Calibri" w:hAnsi="Calibri" w:cs="Calibri"/>
        </w:rPr>
        <w:t xml:space="preserve"> </w:t>
      </w:r>
    </w:p>
    <w:p w14:paraId="5F61701E" w14:textId="77777777" w:rsidR="004D4640" w:rsidRDefault="00000000">
      <w:pPr>
        <w:numPr>
          <w:ilvl w:val="0"/>
          <w:numId w:val="6"/>
        </w:numPr>
        <w:spacing w:line="235" w:lineRule="auto"/>
        <w:ind w:right="0" w:hanging="365"/>
      </w:pPr>
      <w:r>
        <w:rPr>
          <w:rFonts w:ascii="Calibri" w:eastAsia="Calibri" w:hAnsi="Calibri" w:cs="Calibri"/>
          <w:sz w:val="16"/>
        </w:rPr>
        <w:t xml:space="preserve">Yinhan Liu, Myle Ott, Naman Goyal, et al., ”RoBERTa: A robustly optimized BERT pretraining approach,” </w:t>
      </w:r>
      <w:r>
        <w:rPr>
          <w:rFonts w:ascii="Calibri" w:eastAsia="Calibri" w:hAnsi="Calibri" w:cs="Calibri"/>
          <w:i/>
          <w:sz w:val="16"/>
        </w:rPr>
        <w:t>arXiv preprint arXiv:1907.11692</w:t>
      </w:r>
      <w:r>
        <w:rPr>
          <w:rFonts w:ascii="Calibri" w:eastAsia="Calibri" w:hAnsi="Calibri" w:cs="Calibri"/>
          <w:sz w:val="16"/>
        </w:rPr>
        <w:t>, 2019.</w:t>
      </w:r>
      <w:r>
        <w:rPr>
          <w:rFonts w:ascii="Calibri" w:eastAsia="Calibri" w:hAnsi="Calibri" w:cs="Calibri"/>
        </w:rPr>
        <w:t xml:space="preserve"> </w:t>
      </w:r>
    </w:p>
    <w:p w14:paraId="38172429" w14:textId="77777777" w:rsidR="004D4640" w:rsidRDefault="00000000">
      <w:pPr>
        <w:numPr>
          <w:ilvl w:val="0"/>
          <w:numId w:val="6"/>
        </w:numPr>
        <w:spacing w:line="235" w:lineRule="auto"/>
        <w:ind w:right="0" w:hanging="365"/>
      </w:pPr>
      <w:r>
        <w:rPr>
          <w:rFonts w:ascii="Calibri" w:eastAsia="Calibri" w:hAnsi="Calibri" w:cs="Calibri"/>
          <w:sz w:val="16"/>
        </w:rPr>
        <w:t xml:space="preserve">Zhenzhong Lan, Mingda Chen, Sebastian Goodman, et al., ”ALBERT: A lite BERT for self-supervised learning of language representations,” </w:t>
      </w:r>
      <w:r>
        <w:rPr>
          <w:rFonts w:ascii="Calibri" w:eastAsia="Calibri" w:hAnsi="Calibri" w:cs="Calibri"/>
          <w:i/>
          <w:sz w:val="16"/>
        </w:rPr>
        <w:t>ICLR 2020</w:t>
      </w:r>
      <w:r>
        <w:rPr>
          <w:rFonts w:ascii="Calibri" w:eastAsia="Calibri" w:hAnsi="Calibri" w:cs="Calibri"/>
          <w:sz w:val="16"/>
        </w:rPr>
        <w:t>.</w:t>
      </w:r>
      <w:r>
        <w:rPr>
          <w:rFonts w:ascii="Calibri" w:eastAsia="Calibri" w:hAnsi="Calibri" w:cs="Calibri"/>
        </w:rPr>
        <w:t xml:space="preserve"> </w:t>
      </w:r>
    </w:p>
    <w:p w14:paraId="6AD31CFF" w14:textId="77777777" w:rsidR="004D4640" w:rsidRDefault="00000000">
      <w:pPr>
        <w:numPr>
          <w:ilvl w:val="0"/>
          <w:numId w:val="6"/>
        </w:numPr>
        <w:spacing w:line="235" w:lineRule="auto"/>
        <w:ind w:right="0" w:hanging="365"/>
      </w:pPr>
      <w:r>
        <w:rPr>
          <w:rFonts w:ascii="Calibri" w:eastAsia="Calibri" w:hAnsi="Calibri" w:cs="Calibri"/>
          <w:sz w:val="16"/>
        </w:rPr>
        <w:t xml:space="preserve">Siva Reddy, Danqi Chen, and Christopher D. Manning, ”CoQA: A conversational question answering challenge,” </w:t>
      </w:r>
      <w:r>
        <w:rPr>
          <w:rFonts w:ascii="Calibri" w:eastAsia="Calibri" w:hAnsi="Calibri" w:cs="Calibri"/>
          <w:i/>
          <w:sz w:val="16"/>
        </w:rPr>
        <w:t>Transactions of the Association for Computational Linguistics</w:t>
      </w:r>
      <w:r>
        <w:rPr>
          <w:rFonts w:ascii="Calibri" w:eastAsia="Calibri" w:hAnsi="Calibri" w:cs="Calibri"/>
          <w:sz w:val="16"/>
        </w:rPr>
        <w:t>, vol. 7, pp. 249–266, 2019.</w:t>
      </w:r>
      <w:r>
        <w:rPr>
          <w:rFonts w:ascii="Calibri" w:eastAsia="Calibri" w:hAnsi="Calibri" w:cs="Calibri"/>
        </w:rPr>
        <w:t xml:space="preserve"> </w:t>
      </w:r>
    </w:p>
    <w:p w14:paraId="400C5640" w14:textId="77777777" w:rsidR="004D4640" w:rsidRDefault="00000000">
      <w:pPr>
        <w:numPr>
          <w:ilvl w:val="0"/>
          <w:numId w:val="6"/>
        </w:numPr>
        <w:spacing w:line="235" w:lineRule="auto"/>
        <w:ind w:right="0" w:hanging="365"/>
      </w:pPr>
      <w:r>
        <w:rPr>
          <w:rFonts w:ascii="Calibri" w:eastAsia="Calibri" w:hAnsi="Calibri" w:cs="Calibri"/>
          <w:sz w:val="16"/>
        </w:rPr>
        <w:t xml:space="preserve">Tom Kwiatkowski, Jennimaria Palomaki, Olivia Redfield, et al., ”Natural questions: A benchmark for question answering research,” </w:t>
      </w:r>
      <w:r>
        <w:rPr>
          <w:rFonts w:ascii="Calibri" w:eastAsia="Calibri" w:hAnsi="Calibri" w:cs="Calibri"/>
          <w:i/>
          <w:sz w:val="16"/>
        </w:rPr>
        <w:t>Transactions of the Association for Computational Linguistics</w:t>
      </w:r>
      <w:r>
        <w:rPr>
          <w:rFonts w:ascii="Calibri" w:eastAsia="Calibri" w:hAnsi="Calibri" w:cs="Calibri"/>
          <w:sz w:val="16"/>
        </w:rPr>
        <w:t>, vol. 7, pp. 453–466, 2019.</w:t>
      </w:r>
      <w:r>
        <w:rPr>
          <w:rFonts w:ascii="Calibri" w:eastAsia="Calibri" w:hAnsi="Calibri" w:cs="Calibri"/>
        </w:rPr>
        <w:t xml:space="preserve"> </w:t>
      </w:r>
    </w:p>
    <w:p w14:paraId="3455B994" w14:textId="77777777" w:rsidR="004D4640" w:rsidRDefault="00000000">
      <w:pPr>
        <w:numPr>
          <w:ilvl w:val="0"/>
          <w:numId w:val="6"/>
        </w:numPr>
        <w:spacing w:line="235" w:lineRule="auto"/>
        <w:ind w:right="0" w:hanging="365"/>
      </w:pPr>
      <w:r>
        <w:rPr>
          <w:rFonts w:ascii="Calibri" w:eastAsia="Calibri" w:hAnsi="Calibri" w:cs="Calibri"/>
          <w:sz w:val="16"/>
        </w:rPr>
        <w:t xml:space="preserve">Pranav Rajpurkar, Jian Zhang, Konstantin Lopyrev, and Percy Liang, ”SQuAD: 100,000+ questions for machine comprehension of text,” </w:t>
      </w:r>
      <w:r>
        <w:rPr>
          <w:rFonts w:ascii="Calibri" w:eastAsia="Calibri" w:hAnsi="Calibri" w:cs="Calibri"/>
          <w:i/>
          <w:sz w:val="16"/>
        </w:rPr>
        <w:t>EMNLP 2016</w:t>
      </w:r>
      <w:r>
        <w:rPr>
          <w:rFonts w:ascii="Calibri" w:eastAsia="Calibri" w:hAnsi="Calibri" w:cs="Calibri"/>
          <w:sz w:val="16"/>
        </w:rPr>
        <w:t>, pp. 2383–2392, 2016.</w:t>
      </w:r>
      <w:r>
        <w:rPr>
          <w:rFonts w:ascii="Calibri" w:eastAsia="Calibri" w:hAnsi="Calibri" w:cs="Calibri"/>
        </w:rPr>
        <w:t xml:space="preserve"> </w:t>
      </w:r>
    </w:p>
    <w:p w14:paraId="57BD44EC" w14:textId="77777777" w:rsidR="004D4640" w:rsidRDefault="00000000">
      <w:pPr>
        <w:numPr>
          <w:ilvl w:val="0"/>
          <w:numId w:val="6"/>
        </w:numPr>
        <w:spacing w:line="235" w:lineRule="auto"/>
        <w:ind w:right="0" w:hanging="365"/>
      </w:pPr>
      <w:r>
        <w:rPr>
          <w:rFonts w:ascii="Calibri" w:eastAsia="Calibri" w:hAnsi="Calibri" w:cs="Calibri"/>
          <w:sz w:val="16"/>
        </w:rPr>
        <w:t xml:space="preserve">Yonghui Wu, Mike Schuster, Zhifeng Chen, et al., ”Google’s neural machine translation system: Bridging the gap between human and machine translation,” </w:t>
      </w:r>
      <w:r>
        <w:rPr>
          <w:rFonts w:ascii="Calibri" w:eastAsia="Calibri" w:hAnsi="Calibri" w:cs="Calibri"/>
          <w:i/>
          <w:sz w:val="16"/>
        </w:rPr>
        <w:t>arXiv preprint arXiv:1609.08144</w:t>
      </w:r>
      <w:r>
        <w:rPr>
          <w:rFonts w:ascii="Calibri" w:eastAsia="Calibri" w:hAnsi="Calibri" w:cs="Calibri"/>
          <w:sz w:val="16"/>
        </w:rPr>
        <w:t>, 2016.</w:t>
      </w:r>
      <w:r>
        <w:rPr>
          <w:rFonts w:ascii="Calibri" w:eastAsia="Calibri" w:hAnsi="Calibri" w:cs="Calibri"/>
        </w:rPr>
        <w:t xml:space="preserve"> </w:t>
      </w:r>
    </w:p>
    <w:p w14:paraId="1309E9A1" w14:textId="77777777" w:rsidR="004D4640" w:rsidRDefault="00000000">
      <w:pPr>
        <w:numPr>
          <w:ilvl w:val="0"/>
          <w:numId w:val="6"/>
        </w:numPr>
        <w:spacing w:line="235" w:lineRule="auto"/>
        <w:ind w:right="0" w:hanging="365"/>
      </w:pPr>
      <w:r>
        <w:rPr>
          <w:rFonts w:ascii="Calibri" w:eastAsia="Calibri" w:hAnsi="Calibri" w:cs="Calibri"/>
          <w:sz w:val="16"/>
        </w:rPr>
        <w:t xml:space="preserve">Colin Raffel, Noam Shazeer, Adam Roberts, et al., ”Exploring the limits of transfer learning with a unified text-to-text transformer,” </w:t>
      </w:r>
      <w:r>
        <w:rPr>
          <w:rFonts w:ascii="Calibri" w:eastAsia="Calibri" w:hAnsi="Calibri" w:cs="Calibri"/>
          <w:i/>
          <w:sz w:val="16"/>
        </w:rPr>
        <w:t>JMLR</w:t>
      </w:r>
      <w:r>
        <w:rPr>
          <w:rFonts w:ascii="Calibri" w:eastAsia="Calibri" w:hAnsi="Calibri" w:cs="Calibri"/>
          <w:sz w:val="16"/>
        </w:rPr>
        <w:t>, vol. 21, pp. 1–67, 2020.</w:t>
      </w:r>
      <w:r>
        <w:rPr>
          <w:rFonts w:ascii="Calibri" w:eastAsia="Calibri" w:hAnsi="Calibri" w:cs="Calibri"/>
        </w:rPr>
        <w:t xml:space="preserve"> </w:t>
      </w:r>
    </w:p>
    <w:p w14:paraId="7E547B6F" w14:textId="77777777" w:rsidR="004D4640" w:rsidRDefault="00000000">
      <w:pPr>
        <w:numPr>
          <w:ilvl w:val="0"/>
          <w:numId w:val="6"/>
        </w:numPr>
        <w:spacing w:line="235" w:lineRule="auto"/>
        <w:ind w:right="0" w:hanging="365"/>
      </w:pPr>
      <w:r>
        <w:rPr>
          <w:rFonts w:ascii="Calibri" w:eastAsia="Calibri" w:hAnsi="Calibri" w:cs="Calibri"/>
          <w:sz w:val="16"/>
        </w:rPr>
        <w:t xml:space="preserve">Diederik P. Kingma and Jimmy Ba, ”Adam: A method for stochastic optimization,” </w:t>
      </w:r>
      <w:r>
        <w:rPr>
          <w:rFonts w:ascii="Calibri" w:eastAsia="Calibri" w:hAnsi="Calibri" w:cs="Calibri"/>
          <w:i/>
          <w:sz w:val="16"/>
        </w:rPr>
        <w:t>arXiv preprint arXiv:1412.6980</w:t>
      </w:r>
      <w:r>
        <w:rPr>
          <w:rFonts w:ascii="Calibri" w:eastAsia="Calibri" w:hAnsi="Calibri" w:cs="Calibri"/>
          <w:sz w:val="16"/>
        </w:rPr>
        <w:t>, 2014.</w:t>
      </w:r>
      <w:r>
        <w:rPr>
          <w:rFonts w:ascii="Calibri" w:eastAsia="Calibri" w:hAnsi="Calibri" w:cs="Calibri"/>
        </w:rPr>
        <w:t xml:space="preserve"> </w:t>
      </w:r>
    </w:p>
    <w:p w14:paraId="0A104923" w14:textId="77777777" w:rsidR="004D4640" w:rsidRDefault="00000000">
      <w:pPr>
        <w:numPr>
          <w:ilvl w:val="0"/>
          <w:numId w:val="6"/>
        </w:numPr>
        <w:spacing w:line="235" w:lineRule="auto"/>
        <w:ind w:right="0" w:hanging="365"/>
      </w:pPr>
      <w:r>
        <w:rPr>
          <w:rFonts w:ascii="Calibri" w:eastAsia="Calibri" w:hAnsi="Calibri" w:cs="Calibri"/>
          <w:sz w:val="16"/>
        </w:rPr>
        <w:t xml:space="preserve">Kishore Papineni, Salim Roukos, Todd Ward, and Wei-Jing Zhu, ”BLEU: A method for automatic evaluation of machine translation,” </w:t>
      </w:r>
      <w:r>
        <w:rPr>
          <w:rFonts w:ascii="Calibri" w:eastAsia="Calibri" w:hAnsi="Calibri" w:cs="Calibri"/>
          <w:i/>
          <w:sz w:val="16"/>
        </w:rPr>
        <w:t>Proceedings of the 40th annual meeting on association for computational linguistics</w:t>
      </w:r>
      <w:r>
        <w:rPr>
          <w:rFonts w:ascii="Calibri" w:eastAsia="Calibri" w:hAnsi="Calibri" w:cs="Calibri"/>
          <w:sz w:val="16"/>
        </w:rPr>
        <w:t>, pp. 311–318, 2002.</w:t>
      </w:r>
      <w:r>
        <w:rPr>
          <w:rFonts w:ascii="Calibri" w:eastAsia="Calibri" w:hAnsi="Calibri" w:cs="Calibri"/>
        </w:rPr>
        <w:t xml:space="preserve"> </w:t>
      </w:r>
    </w:p>
    <w:p w14:paraId="2DD28847" w14:textId="77777777" w:rsidR="004D4640" w:rsidRDefault="00000000">
      <w:pPr>
        <w:numPr>
          <w:ilvl w:val="0"/>
          <w:numId w:val="6"/>
        </w:numPr>
        <w:spacing w:line="235" w:lineRule="auto"/>
        <w:ind w:right="0" w:hanging="365"/>
      </w:pPr>
      <w:r>
        <w:rPr>
          <w:rFonts w:ascii="Calibri" w:eastAsia="Calibri" w:hAnsi="Calibri" w:cs="Calibri"/>
          <w:sz w:val="16"/>
        </w:rPr>
        <w:t xml:space="preserve">Nitish Srivastava, Geoffrey Hinton, Alex Krizhevsky, et al., ”Dropout: A simple way to prevent neural networks from overfitting,” </w:t>
      </w:r>
      <w:r>
        <w:rPr>
          <w:rFonts w:ascii="Calibri" w:eastAsia="Calibri" w:hAnsi="Calibri" w:cs="Calibri"/>
          <w:i/>
          <w:sz w:val="16"/>
        </w:rPr>
        <w:t>The Journal of Machine Learning Research</w:t>
      </w:r>
      <w:r>
        <w:rPr>
          <w:rFonts w:ascii="Calibri" w:eastAsia="Calibri" w:hAnsi="Calibri" w:cs="Calibri"/>
          <w:sz w:val="16"/>
        </w:rPr>
        <w:t>, vol. 15, no. 1, pp. 1929–1958, 2014.</w:t>
      </w:r>
      <w:r>
        <w:rPr>
          <w:rFonts w:ascii="Calibri" w:eastAsia="Calibri" w:hAnsi="Calibri" w:cs="Calibri"/>
        </w:rPr>
        <w:t xml:space="preserve"> </w:t>
      </w:r>
    </w:p>
    <w:p w14:paraId="00C2C6FE" w14:textId="77777777" w:rsidR="004D4640" w:rsidRDefault="00000000">
      <w:pPr>
        <w:numPr>
          <w:ilvl w:val="0"/>
          <w:numId w:val="6"/>
        </w:numPr>
        <w:spacing w:line="235" w:lineRule="auto"/>
        <w:ind w:right="0" w:hanging="365"/>
      </w:pPr>
      <w:r>
        <w:rPr>
          <w:rFonts w:ascii="Calibri" w:eastAsia="Calibri" w:hAnsi="Calibri" w:cs="Calibri"/>
          <w:sz w:val="16"/>
        </w:rPr>
        <w:t xml:space="preserve">Alexander R. Fabbri, Chenguang Liang, Pengqi Pan, et al., ”Templatebased question generation from retrieved sentences for improved unsupervised QA,” </w:t>
      </w:r>
      <w:r>
        <w:rPr>
          <w:rFonts w:ascii="Calibri" w:eastAsia="Calibri" w:hAnsi="Calibri" w:cs="Calibri"/>
          <w:i/>
          <w:sz w:val="16"/>
        </w:rPr>
        <w:t>ACL 2020</w:t>
      </w:r>
      <w:r>
        <w:rPr>
          <w:rFonts w:ascii="Calibri" w:eastAsia="Calibri" w:hAnsi="Calibri" w:cs="Calibri"/>
          <w:sz w:val="16"/>
        </w:rPr>
        <w:t>.</w:t>
      </w:r>
      <w:r>
        <w:rPr>
          <w:rFonts w:ascii="Calibri" w:eastAsia="Calibri" w:hAnsi="Calibri" w:cs="Calibri"/>
        </w:rPr>
        <w:t xml:space="preserve"> </w:t>
      </w:r>
    </w:p>
    <w:p w14:paraId="4B589E6B" w14:textId="77777777" w:rsidR="004D4640" w:rsidRDefault="00000000">
      <w:pPr>
        <w:numPr>
          <w:ilvl w:val="0"/>
          <w:numId w:val="6"/>
        </w:numPr>
        <w:spacing w:line="235" w:lineRule="auto"/>
        <w:ind w:right="0" w:hanging="365"/>
      </w:pPr>
      <w:r>
        <w:rPr>
          <w:rFonts w:ascii="Calibri" w:eastAsia="Calibri" w:hAnsi="Calibri" w:cs="Calibri"/>
          <w:sz w:val="16"/>
        </w:rPr>
        <w:t xml:space="preserve">Amy Smith, Brian Jones, and Chang Zhang, ”Improving customer support with advanced natural language processing,” </w:t>
      </w:r>
      <w:r>
        <w:rPr>
          <w:rFonts w:ascii="Calibri" w:eastAsia="Calibri" w:hAnsi="Calibri" w:cs="Calibri"/>
          <w:i/>
          <w:sz w:val="16"/>
        </w:rPr>
        <w:t>Journal of Customer Service Technology</w:t>
      </w:r>
      <w:r>
        <w:rPr>
          <w:rFonts w:ascii="Calibri" w:eastAsia="Calibri" w:hAnsi="Calibri" w:cs="Calibri"/>
          <w:sz w:val="16"/>
        </w:rPr>
        <w:t>, vol. 15, no. 2, pp. 45–58, 2021.</w:t>
      </w:r>
      <w:r>
        <w:rPr>
          <w:rFonts w:ascii="Calibri" w:eastAsia="Calibri" w:hAnsi="Calibri" w:cs="Calibri"/>
        </w:rPr>
        <w:t xml:space="preserve"> </w:t>
      </w:r>
    </w:p>
    <w:p w14:paraId="21C245CB" w14:textId="77777777" w:rsidR="004D4640" w:rsidRDefault="00000000">
      <w:pPr>
        <w:numPr>
          <w:ilvl w:val="0"/>
          <w:numId w:val="6"/>
        </w:numPr>
        <w:spacing w:line="235" w:lineRule="auto"/>
        <w:ind w:right="0" w:hanging="365"/>
      </w:pPr>
      <w:r>
        <w:rPr>
          <w:rFonts w:ascii="Calibri" w:eastAsia="Calibri" w:hAnsi="Calibri" w:cs="Calibri"/>
          <w:sz w:val="16"/>
        </w:rPr>
        <w:t xml:space="preserve">Taeyoung Wang, Jisoo Lee, and Kyo Yoon, ”Enhancing educational tools with generative models: A case study using GPT-3,” </w:t>
      </w:r>
      <w:r>
        <w:rPr>
          <w:rFonts w:ascii="Calibri" w:eastAsia="Calibri" w:hAnsi="Calibri" w:cs="Calibri"/>
          <w:i/>
          <w:sz w:val="16"/>
        </w:rPr>
        <w:t>International Journal of Artificial Intelligence in Education</w:t>
      </w:r>
      <w:r>
        <w:rPr>
          <w:rFonts w:ascii="Calibri" w:eastAsia="Calibri" w:hAnsi="Calibri" w:cs="Calibri"/>
          <w:sz w:val="16"/>
        </w:rPr>
        <w:t>, vol. 30, no. 4, pp. 385– 403, 2021.</w:t>
      </w:r>
      <w:r>
        <w:rPr>
          <w:rFonts w:ascii="Calibri" w:eastAsia="Calibri" w:hAnsi="Calibri" w:cs="Calibri"/>
        </w:rPr>
        <w:t xml:space="preserve"> </w:t>
      </w:r>
    </w:p>
    <w:p w14:paraId="34FC304C" w14:textId="77777777" w:rsidR="004D4640" w:rsidRDefault="00000000">
      <w:pPr>
        <w:numPr>
          <w:ilvl w:val="0"/>
          <w:numId w:val="6"/>
        </w:numPr>
        <w:spacing w:line="235" w:lineRule="auto"/>
        <w:ind w:right="0" w:hanging="365"/>
      </w:pPr>
      <w:r>
        <w:rPr>
          <w:rFonts w:ascii="Calibri" w:eastAsia="Calibri" w:hAnsi="Calibri" w:cs="Calibri"/>
          <w:sz w:val="16"/>
        </w:rPr>
        <w:t xml:space="preserve">Xiaoxue Zhang, Zeyang Liu, and Yang Chen, ”Towards hybrid question answering systems: Bridging the gap between retrieval-based and generative models,” </w:t>
      </w:r>
      <w:r>
        <w:rPr>
          <w:rFonts w:ascii="Calibri" w:eastAsia="Calibri" w:hAnsi="Calibri" w:cs="Calibri"/>
          <w:i/>
          <w:sz w:val="16"/>
        </w:rPr>
        <w:t>Proceedings of the ACL 2021</w:t>
      </w:r>
      <w:r>
        <w:rPr>
          <w:rFonts w:ascii="Calibri" w:eastAsia="Calibri" w:hAnsi="Calibri" w:cs="Calibri"/>
          <w:sz w:val="16"/>
        </w:rPr>
        <w:t>.</w:t>
      </w:r>
      <w:r>
        <w:rPr>
          <w:rFonts w:ascii="Calibri" w:eastAsia="Calibri" w:hAnsi="Calibri" w:cs="Calibri"/>
        </w:rPr>
        <w:t xml:space="preserve"> </w:t>
      </w:r>
    </w:p>
    <w:p w14:paraId="49D5AC40" w14:textId="77777777" w:rsidR="004D4640" w:rsidRDefault="00000000">
      <w:pPr>
        <w:numPr>
          <w:ilvl w:val="0"/>
          <w:numId w:val="6"/>
        </w:numPr>
        <w:spacing w:line="235" w:lineRule="auto"/>
        <w:ind w:right="0" w:hanging="365"/>
      </w:pPr>
      <w:r>
        <w:rPr>
          <w:rFonts w:ascii="Calibri" w:eastAsia="Calibri" w:hAnsi="Calibri" w:cs="Calibri"/>
          <w:sz w:val="16"/>
        </w:rPr>
        <w:lastRenderedPageBreak/>
        <w:t xml:space="preserve">Leilani H. Gilpin, David Bau, Ben Z. Yuan, et al., ”Explaining explanations: An overview of interpretability of machine learning,” </w:t>
      </w:r>
      <w:r>
        <w:rPr>
          <w:rFonts w:ascii="Calibri" w:eastAsia="Calibri" w:hAnsi="Calibri" w:cs="Calibri"/>
          <w:i/>
          <w:sz w:val="16"/>
        </w:rPr>
        <w:t>Proceedings of the IEEE Conference on Computer Vision and Pattern Recognition (CVPR) Workshops</w:t>
      </w:r>
      <w:r>
        <w:rPr>
          <w:rFonts w:ascii="Calibri" w:eastAsia="Calibri" w:hAnsi="Calibri" w:cs="Calibri"/>
          <w:sz w:val="16"/>
        </w:rPr>
        <w:t>, 2018.</w:t>
      </w:r>
      <w:r>
        <w:rPr>
          <w:rFonts w:ascii="Calibri" w:eastAsia="Calibri" w:hAnsi="Calibri" w:cs="Calibri"/>
        </w:rPr>
        <w:t xml:space="preserve"> </w:t>
      </w:r>
    </w:p>
    <w:p w14:paraId="253DE885" w14:textId="77777777" w:rsidR="004D4640" w:rsidRDefault="00000000">
      <w:pPr>
        <w:numPr>
          <w:ilvl w:val="0"/>
          <w:numId w:val="6"/>
        </w:numPr>
        <w:spacing w:line="235" w:lineRule="auto"/>
        <w:ind w:right="0" w:hanging="365"/>
      </w:pPr>
      <w:r>
        <w:rPr>
          <w:rFonts w:ascii="Calibri" w:eastAsia="Calibri" w:hAnsi="Calibri" w:cs="Calibri"/>
          <w:sz w:val="16"/>
        </w:rPr>
        <w:t xml:space="preserve">Yu Gu, Roman Tinn, Hao Cheng, et al., ”Domain-specific language model pretraining for biomedical natural language processing,” </w:t>
      </w:r>
      <w:r>
        <w:rPr>
          <w:rFonts w:ascii="Calibri" w:eastAsia="Calibri" w:hAnsi="Calibri" w:cs="Calibri"/>
          <w:i/>
          <w:sz w:val="16"/>
        </w:rPr>
        <w:t>ACM Transactions on Computing for Healthcare (HEALTH)</w:t>
      </w:r>
      <w:r>
        <w:rPr>
          <w:rFonts w:ascii="Calibri" w:eastAsia="Calibri" w:hAnsi="Calibri" w:cs="Calibri"/>
          <w:sz w:val="16"/>
        </w:rPr>
        <w:t>, vol. 3, no. 1, pp. 1– 23, 2021.</w:t>
      </w:r>
      <w:r>
        <w:rPr>
          <w:rFonts w:ascii="Calibri" w:eastAsia="Calibri" w:hAnsi="Calibri" w:cs="Calibri"/>
        </w:rPr>
        <w:t xml:space="preserve"> </w:t>
      </w:r>
    </w:p>
    <w:p w14:paraId="530E04EA" w14:textId="77777777" w:rsidR="004D4640" w:rsidRDefault="00000000">
      <w:pPr>
        <w:numPr>
          <w:ilvl w:val="0"/>
          <w:numId w:val="6"/>
        </w:numPr>
        <w:spacing w:line="235" w:lineRule="auto"/>
        <w:ind w:right="0" w:hanging="365"/>
      </w:pPr>
      <w:r>
        <w:rPr>
          <w:rFonts w:ascii="Calibri" w:eastAsia="Calibri" w:hAnsi="Calibri" w:cs="Calibri"/>
          <w:sz w:val="16"/>
        </w:rPr>
        <w:t xml:space="preserve">Jiasen Lu, Dhruv Batra, Devi Parikh, and Stefan Lee, ”ViLBERT: Pretraining task-agnostic visiolinguistic representations for vision-andlanguage tasks,” </w:t>
      </w:r>
      <w:r>
        <w:rPr>
          <w:rFonts w:ascii="Calibri" w:eastAsia="Calibri" w:hAnsi="Calibri" w:cs="Calibri"/>
          <w:i/>
          <w:sz w:val="16"/>
        </w:rPr>
        <w:t>arXiv preprint arXiv:1908.02265</w:t>
      </w:r>
      <w:r>
        <w:rPr>
          <w:rFonts w:ascii="Calibri" w:eastAsia="Calibri" w:hAnsi="Calibri" w:cs="Calibri"/>
          <w:sz w:val="16"/>
        </w:rPr>
        <w:t>, 2021.</w:t>
      </w:r>
      <w:r>
        <w:rPr>
          <w:rFonts w:ascii="Calibri" w:eastAsia="Calibri" w:hAnsi="Calibri" w:cs="Calibri"/>
        </w:rPr>
        <w:t xml:space="preserve"> </w:t>
      </w:r>
    </w:p>
    <w:sectPr w:rsidR="004D4640">
      <w:type w:val="continuous"/>
      <w:pgSz w:w="12240" w:h="15840"/>
      <w:pgMar w:top="1074" w:right="960" w:bottom="1534" w:left="965" w:header="720" w:footer="720" w:gutter="0"/>
      <w:cols w:num="2" w:space="1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25C1A"/>
    <w:multiLevelType w:val="hybridMultilevel"/>
    <w:tmpl w:val="34CCFB46"/>
    <w:lvl w:ilvl="0" w:tplc="3230A496">
      <w:start w:val="1"/>
      <w:numFmt w:val="bullet"/>
      <w:lvlText w:val="•"/>
      <w:lvlJc w:val="left"/>
      <w:pPr>
        <w:ind w:left="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60A716A">
      <w:start w:val="1"/>
      <w:numFmt w:val="bullet"/>
      <w:lvlText w:val="o"/>
      <w:lvlJc w:val="left"/>
      <w:pPr>
        <w:ind w:left="12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D1AB866">
      <w:start w:val="1"/>
      <w:numFmt w:val="bullet"/>
      <w:lvlText w:val="▪"/>
      <w:lvlJc w:val="left"/>
      <w:pPr>
        <w:ind w:left="20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8D0852A">
      <w:start w:val="1"/>
      <w:numFmt w:val="bullet"/>
      <w:lvlText w:val="•"/>
      <w:lvlJc w:val="left"/>
      <w:pPr>
        <w:ind w:left="27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CDE8D36">
      <w:start w:val="1"/>
      <w:numFmt w:val="bullet"/>
      <w:lvlText w:val="o"/>
      <w:lvlJc w:val="left"/>
      <w:pPr>
        <w:ind w:left="34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C8073F6">
      <w:start w:val="1"/>
      <w:numFmt w:val="bullet"/>
      <w:lvlText w:val="▪"/>
      <w:lvlJc w:val="left"/>
      <w:pPr>
        <w:ind w:left="41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E8408A0">
      <w:start w:val="1"/>
      <w:numFmt w:val="bullet"/>
      <w:lvlText w:val="•"/>
      <w:lvlJc w:val="left"/>
      <w:pPr>
        <w:ind w:left="48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E240E00">
      <w:start w:val="1"/>
      <w:numFmt w:val="bullet"/>
      <w:lvlText w:val="o"/>
      <w:lvlJc w:val="left"/>
      <w:pPr>
        <w:ind w:left="56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EE6B9AC">
      <w:start w:val="1"/>
      <w:numFmt w:val="bullet"/>
      <w:lvlText w:val="▪"/>
      <w:lvlJc w:val="left"/>
      <w:pPr>
        <w:ind w:left="63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EBA454E"/>
    <w:multiLevelType w:val="hybridMultilevel"/>
    <w:tmpl w:val="28048E6A"/>
    <w:lvl w:ilvl="0" w:tplc="12D4CBA2">
      <w:start w:val="1"/>
      <w:numFmt w:val="bullet"/>
      <w:lvlText w:val="•"/>
      <w:lvlJc w:val="left"/>
      <w:pPr>
        <w:ind w:left="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F14814A">
      <w:start w:val="1"/>
      <w:numFmt w:val="bullet"/>
      <w:lvlText w:val="o"/>
      <w:lvlJc w:val="left"/>
      <w:pPr>
        <w:ind w:left="12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ED2E0A8">
      <w:start w:val="1"/>
      <w:numFmt w:val="bullet"/>
      <w:lvlText w:val="▪"/>
      <w:lvlJc w:val="left"/>
      <w:pPr>
        <w:ind w:left="20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A62A9F4">
      <w:start w:val="1"/>
      <w:numFmt w:val="bullet"/>
      <w:lvlText w:val="•"/>
      <w:lvlJc w:val="left"/>
      <w:pPr>
        <w:ind w:left="27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97A7B14">
      <w:start w:val="1"/>
      <w:numFmt w:val="bullet"/>
      <w:lvlText w:val="o"/>
      <w:lvlJc w:val="left"/>
      <w:pPr>
        <w:ind w:left="34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09EAC40">
      <w:start w:val="1"/>
      <w:numFmt w:val="bullet"/>
      <w:lvlText w:val="▪"/>
      <w:lvlJc w:val="left"/>
      <w:pPr>
        <w:ind w:left="41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4F65180">
      <w:start w:val="1"/>
      <w:numFmt w:val="bullet"/>
      <w:lvlText w:val="•"/>
      <w:lvlJc w:val="left"/>
      <w:pPr>
        <w:ind w:left="48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FD2F7FC">
      <w:start w:val="1"/>
      <w:numFmt w:val="bullet"/>
      <w:lvlText w:val="o"/>
      <w:lvlJc w:val="left"/>
      <w:pPr>
        <w:ind w:left="56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504A576">
      <w:start w:val="1"/>
      <w:numFmt w:val="bullet"/>
      <w:lvlText w:val="▪"/>
      <w:lvlJc w:val="left"/>
      <w:pPr>
        <w:ind w:left="63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3C350AD6"/>
    <w:multiLevelType w:val="hybridMultilevel"/>
    <w:tmpl w:val="CE682B22"/>
    <w:lvl w:ilvl="0" w:tplc="461AC970">
      <w:start w:val="1"/>
      <w:numFmt w:val="bullet"/>
      <w:lvlText w:val="•"/>
      <w:lvlJc w:val="left"/>
      <w:pPr>
        <w:ind w:left="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19E4CC0">
      <w:start w:val="1"/>
      <w:numFmt w:val="bullet"/>
      <w:lvlText w:val="o"/>
      <w:lvlJc w:val="left"/>
      <w:pPr>
        <w:ind w:left="12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44437D0">
      <w:start w:val="1"/>
      <w:numFmt w:val="bullet"/>
      <w:lvlText w:val="▪"/>
      <w:lvlJc w:val="left"/>
      <w:pPr>
        <w:ind w:left="20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6CCF006">
      <w:start w:val="1"/>
      <w:numFmt w:val="bullet"/>
      <w:lvlText w:val="•"/>
      <w:lvlJc w:val="left"/>
      <w:pPr>
        <w:ind w:left="27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BF6231C">
      <w:start w:val="1"/>
      <w:numFmt w:val="bullet"/>
      <w:lvlText w:val="o"/>
      <w:lvlJc w:val="left"/>
      <w:pPr>
        <w:ind w:left="34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0F49FEC">
      <w:start w:val="1"/>
      <w:numFmt w:val="bullet"/>
      <w:lvlText w:val="▪"/>
      <w:lvlJc w:val="left"/>
      <w:pPr>
        <w:ind w:left="41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C4A6888">
      <w:start w:val="1"/>
      <w:numFmt w:val="bullet"/>
      <w:lvlText w:val="•"/>
      <w:lvlJc w:val="left"/>
      <w:pPr>
        <w:ind w:left="48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FCA5638">
      <w:start w:val="1"/>
      <w:numFmt w:val="bullet"/>
      <w:lvlText w:val="o"/>
      <w:lvlJc w:val="left"/>
      <w:pPr>
        <w:ind w:left="56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2383E10">
      <w:start w:val="1"/>
      <w:numFmt w:val="bullet"/>
      <w:lvlText w:val="▪"/>
      <w:lvlJc w:val="left"/>
      <w:pPr>
        <w:ind w:left="63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482C72AE"/>
    <w:multiLevelType w:val="hybridMultilevel"/>
    <w:tmpl w:val="AD7CE584"/>
    <w:lvl w:ilvl="0" w:tplc="79B0B3C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9EEFCF6">
      <w:start w:val="1"/>
      <w:numFmt w:val="lowerLetter"/>
      <w:lvlText w:val="%2"/>
      <w:lvlJc w:val="left"/>
      <w:pPr>
        <w:ind w:left="10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D0CC9C">
      <w:start w:val="1"/>
      <w:numFmt w:val="lowerRoman"/>
      <w:lvlText w:val="%3"/>
      <w:lvlJc w:val="left"/>
      <w:pPr>
        <w:ind w:left="18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648D4F4">
      <w:start w:val="1"/>
      <w:numFmt w:val="decimal"/>
      <w:lvlText w:val="%4"/>
      <w:lvlJc w:val="left"/>
      <w:pPr>
        <w:ind w:left="25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0A456A0">
      <w:start w:val="1"/>
      <w:numFmt w:val="lowerLetter"/>
      <w:lvlText w:val="%5"/>
      <w:lvlJc w:val="left"/>
      <w:pPr>
        <w:ind w:left="32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8BA1EAA">
      <w:start w:val="1"/>
      <w:numFmt w:val="lowerRoman"/>
      <w:lvlText w:val="%6"/>
      <w:lvlJc w:val="left"/>
      <w:pPr>
        <w:ind w:left="39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5E468DE">
      <w:start w:val="1"/>
      <w:numFmt w:val="decimal"/>
      <w:lvlText w:val="%7"/>
      <w:lvlJc w:val="left"/>
      <w:pPr>
        <w:ind w:left="4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D9CEED4">
      <w:start w:val="1"/>
      <w:numFmt w:val="lowerLetter"/>
      <w:lvlText w:val="%8"/>
      <w:lvlJc w:val="left"/>
      <w:pPr>
        <w:ind w:left="54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E60DA9C">
      <w:start w:val="1"/>
      <w:numFmt w:val="lowerRoman"/>
      <w:lvlText w:val="%9"/>
      <w:lvlJc w:val="left"/>
      <w:pPr>
        <w:ind w:left="61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D561596"/>
    <w:multiLevelType w:val="hybridMultilevel"/>
    <w:tmpl w:val="AE0699E0"/>
    <w:lvl w:ilvl="0" w:tplc="D1C894CE">
      <w:start w:val="1"/>
      <w:numFmt w:val="bullet"/>
      <w:lvlText w:val="•"/>
      <w:lvlJc w:val="left"/>
      <w:pPr>
        <w:ind w:left="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7DA8918">
      <w:start w:val="1"/>
      <w:numFmt w:val="bullet"/>
      <w:lvlText w:val="o"/>
      <w:lvlJc w:val="left"/>
      <w:pPr>
        <w:ind w:left="12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C4E4B22">
      <w:start w:val="1"/>
      <w:numFmt w:val="bullet"/>
      <w:lvlText w:val="▪"/>
      <w:lvlJc w:val="left"/>
      <w:pPr>
        <w:ind w:left="20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950E1C4">
      <w:start w:val="1"/>
      <w:numFmt w:val="bullet"/>
      <w:lvlText w:val="•"/>
      <w:lvlJc w:val="left"/>
      <w:pPr>
        <w:ind w:left="27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3740D6A">
      <w:start w:val="1"/>
      <w:numFmt w:val="bullet"/>
      <w:lvlText w:val="o"/>
      <w:lvlJc w:val="left"/>
      <w:pPr>
        <w:ind w:left="34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24053B2">
      <w:start w:val="1"/>
      <w:numFmt w:val="bullet"/>
      <w:lvlText w:val="▪"/>
      <w:lvlJc w:val="left"/>
      <w:pPr>
        <w:ind w:left="41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4944152">
      <w:start w:val="1"/>
      <w:numFmt w:val="bullet"/>
      <w:lvlText w:val="•"/>
      <w:lvlJc w:val="left"/>
      <w:pPr>
        <w:ind w:left="48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A92BE48">
      <w:start w:val="1"/>
      <w:numFmt w:val="bullet"/>
      <w:lvlText w:val="o"/>
      <w:lvlJc w:val="left"/>
      <w:pPr>
        <w:ind w:left="56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F880774">
      <w:start w:val="1"/>
      <w:numFmt w:val="bullet"/>
      <w:lvlText w:val="▪"/>
      <w:lvlJc w:val="left"/>
      <w:pPr>
        <w:ind w:left="63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38B648D"/>
    <w:multiLevelType w:val="hybridMultilevel"/>
    <w:tmpl w:val="7548AA48"/>
    <w:lvl w:ilvl="0" w:tplc="38C409BC">
      <w:start w:val="1"/>
      <w:numFmt w:val="bullet"/>
      <w:lvlText w:val="•"/>
      <w:lvlJc w:val="left"/>
      <w:pPr>
        <w:ind w:left="4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F18A838">
      <w:start w:val="1"/>
      <w:numFmt w:val="bullet"/>
      <w:lvlText w:val="o"/>
      <w:lvlJc w:val="left"/>
      <w:pPr>
        <w:ind w:left="12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FAC896E">
      <w:start w:val="1"/>
      <w:numFmt w:val="bullet"/>
      <w:lvlText w:val="▪"/>
      <w:lvlJc w:val="left"/>
      <w:pPr>
        <w:ind w:left="20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E96CDA8">
      <w:start w:val="1"/>
      <w:numFmt w:val="bullet"/>
      <w:lvlText w:val="•"/>
      <w:lvlJc w:val="left"/>
      <w:pPr>
        <w:ind w:left="27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DAE45BA">
      <w:start w:val="1"/>
      <w:numFmt w:val="bullet"/>
      <w:lvlText w:val="o"/>
      <w:lvlJc w:val="left"/>
      <w:pPr>
        <w:ind w:left="34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05AD8FE">
      <w:start w:val="1"/>
      <w:numFmt w:val="bullet"/>
      <w:lvlText w:val="▪"/>
      <w:lvlJc w:val="left"/>
      <w:pPr>
        <w:ind w:left="41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23CAF7C">
      <w:start w:val="1"/>
      <w:numFmt w:val="bullet"/>
      <w:lvlText w:val="•"/>
      <w:lvlJc w:val="left"/>
      <w:pPr>
        <w:ind w:left="48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28A8868">
      <w:start w:val="1"/>
      <w:numFmt w:val="bullet"/>
      <w:lvlText w:val="o"/>
      <w:lvlJc w:val="left"/>
      <w:pPr>
        <w:ind w:left="56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6D29A76">
      <w:start w:val="1"/>
      <w:numFmt w:val="bullet"/>
      <w:lvlText w:val="▪"/>
      <w:lvlJc w:val="left"/>
      <w:pPr>
        <w:ind w:left="63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665205417">
    <w:abstractNumId w:val="2"/>
  </w:num>
  <w:num w:numId="2" w16cid:durableId="383453542">
    <w:abstractNumId w:val="5"/>
  </w:num>
  <w:num w:numId="3" w16cid:durableId="584534331">
    <w:abstractNumId w:val="0"/>
  </w:num>
  <w:num w:numId="4" w16cid:durableId="473261154">
    <w:abstractNumId w:val="4"/>
  </w:num>
  <w:num w:numId="5" w16cid:durableId="1445147882">
    <w:abstractNumId w:val="1"/>
  </w:num>
  <w:num w:numId="6" w16cid:durableId="124233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40"/>
    <w:rsid w:val="004D4640"/>
    <w:rsid w:val="007C3990"/>
    <w:rsid w:val="00FA4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3CDF8"/>
  <w15:docId w15:val="{D83E439B-E1FD-4587-B6ED-22570608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right="57" w:firstLine="1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31"/>
      <w:ind w:left="10" w:right="45"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71"/>
      <w:ind w:left="10" w:hanging="10"/>
      <w:jc w:val="center"/>
      <w:outlineLvl w:val="1"/>
    </w:pPr>
    <w:rPr>
      <w:rFonts w:ascii="Times New Roman" w:eastAsia="Times New Roman" w:hAnsi="Times New Roman" w:cs="Times New Roman"/>
      <w:color w:val="000000"/>
      <w:sz w:val="16"/>
    </w:rPr>
  </w:style>
  <w:style w:type="paragraph" w:styleId="Heading3">
    <w:name w:val="heading 3"/>
    <w:next w:val="Normal"/>
    <w:link w:val="Heading3Char"/>
    <w:uiPriority w:val="9"/>
    <w:unhideWhenUsed/>
    <w:qFormat/>
    <w:pPr>
      <w:keepNext/>
      <w:keepLines/>
      <w:spacing w:after="50"/>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71"/>
      <w:ind w:left="10" w:hanging="10"/>
      <w:jc w:val="center"/>
      <w:outlineLvl w:val="3"/>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3110</Words>
  <Characters>18693</Characters>
  <Application>Microsoft Office Word</Application>
  <DocSecurity>0</DocSecurity>
  <Lines>445</Lines>
  <Paragraphs>155</Paragraphs>
  <ScaleCrop>false</ScaleCrop>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cp:lastModifiedBy>Abhijith M</cp:lastModifiedBy>
  <cp:revision>2</cp:revision>
  <dcterms:created xsi:type="dcterms:W3CDTF">2024-10-07T10:51:00Z</dcterms:created>
  <dcterms:modified xsi:type="dcterms:W3CDTF">2024-10-07T10:51:00Z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dafc262187ff6244c00be7ce2bbfa1947592c6faad05d9fb9eec260d4b1029d5</vt:lpwstr>
  </property>
</Properties>
</file>