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EF444" w14:textId="3CD47505" w:rsidR="00CF5A82" w:rsidRDefault="00CF5A82"/>
    <w:p w14:paraId="6F6F7A10" w14:textId="20B98721" w:rsidR="00B42774" w:rsidRDefault="00B42774" w:rsidP="00B42774">
      <w:r>
        <w:t>INTRODUCTION:</w:t>
      </w:r>
    </w:p>
    <w:p w14:paraId="452F28EB" w14:textId="6341D404" w:rsidR="00B42774" w:rsidRDefault="00B42774" w:rsidP="00B42774">
      <w:r w:rsidRPr="00B42774">
        <w:t xml:space="preserve">167 billion hours are lost annually according to estimates from the ILO and World Bank. Occupational heat stress is not just an environmental concern but a global threat for millions of outdoor workers worldwide. </w:t>
      </w:r>
    </w:p>
    <w:p w14:paraId="5D24AE5B" w14:textId="77777777" w:rsidR="00B42774" w:rsidRDefault="00B42774" w:rsidP="00B42774"/>
    <w:p w14:paraId="0D5E8EC3" w14:textId="6C3B977B" w:rsidR="00B42774" w:rsidRDefault="00B42774" w:rsidP="00B42774">
      <w:r w:rsidRPr="00B42774">
        <w:t>India, which has the highest labour force in the world—where the majority are low-income, heat-exposed occupants without protection—recorded nearly 48,000 heatstroke cases in a single year (2024), highlighting the harsh reality.</w:t>
      </w:r>
    </w:p>
    <w:p w14:paraId="37641BDE" w14:textId="77777777" w:rsidR="00B42774" w:rsidRPr="00B42774" w:rsidRDefault="00B42774" w:rsidP="00B42774"/>
    <w:p w14:paraId="7F977F8A" w14:textId="77777777" w:rsidR="00B42774" w:rsidRPr="00B42774" w:rsidRDefault="00B42774" w:rsidP="00B42774">
      <w:r w:rsidRPr="00B42774">
        <w:t>Existing stress interventions fail by either relying on generic alerts that ignore personalised variations or on cost-prohibitive wearable devices that are not affordable for daily wage workers.</w:t>
      </w:r>
    </w:p>
    <w:p w14:paraId="17DC0716" w14:textId="77777777" w:rsidR="00B42774" w:rsidRDefault="00B42774"/>
    <w:p w14:paraId="201B0BB7" w14:textId="3D41941E" w:rsidR="005C6C19" w:rsidRDefault="005C6C19">
      <w:r w:rsidRPr="005C6C19">
        <w:t>Addressing this major accessibility miss we present a free mobile application that exploits live weather information and the device ambient sensors with a time-series XGBoost classifier and K-Means clustering to provide tailored proactive heat stress warnings 30 to 60 min before the onset of a heat stress critical point.</w:t>
      </w:r>
    </w:p>
    <w:p w14:paraId="3C2E5467" w14:textId="77777777" w:rsidR="005C6C19" w:rsidRDefault="005C6C19"/>
    <w:p w14:paraId="4615FFFA" w14:textId="4D5FDDC5" w:rsidR="005C6C19" w:rsidRDefault="005C6C19">
      <w:r w:rsidRPr="005C6C19">
        <w:t>This study offers two main inputs to occupational health informatics in the form of translational ML namely, (i) a publicly available synthetic data pipeline adherent to ISO 7933 that generates authentic physiological profiles with environmental disturbances and (ii) a user-specific, real-time model that showcases the real-world (physio-)edge deployment, with only variables available through a smartphone for early forecasting of severe heat stress 30 to 60 minutes prior to occurrence.</w:t>
      </w:r>
    </w:p>
    <w:p w14:paraId="77F266BB" w14:textId="77777777" w:rsidR="009C6F4B" w:rsidRDefault="009C6F4B"/>
    <w:p w14:paraId="48CE7EE1" w14:textId="58EAF1E8" w:rsidR="009C6F4B" w:rsidRDefault="009C6F4B">
      <w:r>
        <w:t>SDG ALIGNMENT:</w:t>
      </w:r>
    </w:p>
    <w:p w14:paraId="2C37FF6F" w14:textId="77777777" w:rsidR="009C6F4B" w:rsidRPr="009C6F4B" w:rsidRDefault="009C6F4B" w:rsidP="009C6F4B">
      <w:r w:rsidRPr="009C6F4B">
        <w:t>This research contributes directly to the achievement of the third United Nations Sustainable Development Goal (SDG), Good Health and Well-being, specifically to achieving SDG target 3.9 that seeks to reduce illness and death caused by extreme temperatures in the environment. Through its provision of edge deployable AI based physiological warning systems, the proposed framework changes how occupational health is treated in terms of safety; it moves from providing treatment after an accident occurs to preventing accidents before they occur using data. The proposed system also supports SDG 8.8 by improving work conditions for all workers with unsafe or insecure jobs at risk from being hurt on their job due to the increasing number of work-related dangers created by global climate change.</w:t>
      </w:r>
    </w:p>
    <w:p w14:paraId="20E84DEB" w14:textId="77777777" w:rsidR="009C6F4B" w:rsidRDefault="009C6F4B"/>
    <w:p w14:paraId="5027FFAC" w14:textId="6A94A526" w:rsidR="009C6F4B" w:rsidRDefault="009C6F4B">
      <w:r>
        <w:t>LITERATURE REVIEW:</w:t>
      </w:r>
    </w:p>
    <w:p w14:paraId="58826875" w14:textId="77777777" w:rsidR="00B10B04" w:rsidRPr="00B10B04" w:rsidRDefault="00B10B04" w:rsidP="00B10B04">
      <w:pPr>
        <w:pStyle w:val="ListParagraph"/>
        <w:numPr>
          <w:ilvl w:val="0"/>
          <w:numId w:val="5"/>
        </w:numPr>
        <w:rPr>
          <w:b/>
          <w:bCs/>
        </w:rPr>
      </w:pPr>
      <w:hyperlink r:id="rId5" w:history="1">
        <w:r w:rsidRPr="00130293">
          <w:rPr>
            <w:rStyle w:val="Hyperlink"/>
          </w:rPr>
          <w:t>https://www.mdpi.com/1660-4601/13/1/89</w:t>
        </w:r>
      </w:hyperlink>
      <w:r>
        <w:t xml:space="preserve"> - </w:t>
      </w:r>
      <w:r w:rsidRPr="00B10B04">
        <w:rPr>
          <w:b/>
          <w:bCs/>
        </w:rPr>
        <w:t>Occupational Heat Stress Profiles in Selected Workplaces in India</w:t>
      </w:r>
    </w:p>
    <w:p w14:paraId="7A40A429" w14:textId="77777777" w:rsidR="007549F2" w:rsidRPr="007549F2" w:rsidRDefault="007549F2" w:rsidP="007549F2">
      <w:pPr>
        <w:pStyle w:val="ListParagraph"/>
        <w:numPr>
          <w:ilvl w:val="0"/>
          <w:numId w:val="5"/>
        </w:numPr>
      </w:pPr>
      <w:hyperlink r:id="rId6" w:history="1">
        <w:r w:rsidRPr="00130293">
          <w:rPr>
            <w:rStyle w:val="Hyperlink"/>
          </w:rPr>
          <w:t>https://journals.lww.com/ijoe/fulltext/2016/20020/Research_in_occupational_heat_stress_in_India_.2.aspx</w:t>
        </w:r>
      </w:hyperlink>
      <w:r>
        <w:t xml:space="preserve"> - </w:t>
      </w:r>
      <w:r w:rsidRPr="007549F2">
        <w:t>Research in occupational heat stress in India</w:t>
      </w:r>
    </w:p>
    <w:p w14:paraId="16D30535" w14:textId="49F9CC66" w:rsidR="00B10B04" w:rsidRDefault="007549F2" w:rsidP="00B10B04">
      <w:pPr>
        <w:pStyle w:val="ListParagraph"/>
        <w:numPr>
          <w:ilvl w:val="0"/>
          <w:numId w:val="5"/>
        </w:numPr>
      </w:pPr>
      <w:hyperlink r:id="rId7" w:history="1">
        <w:r w:rsidRPr="00130293">
          <w:rPr>
            <w:rStyle w:val="Hyperlink"/>
          </w:rPr>
          <w:t>https://www.researchgate.net/profile/Tord-Kjellstrom/publication/307616525_The_Social_Implications_of_Occupational_Heat_Stress_on_Migrant_Workers_Engaged_in_Public_Construction/links/5f99babf299bf1b53e4ecd6a/The-Social-Implications-of-Occupational-Heat-Stress-on-Migrant-Workers-Engaged-in-Public-Construction.pdf</w:t>
        </w:r>
      </w:hyperlink>
      <w:r>
        <w:t xml:space="preserve"> - </w:t>
      </w:r>
      <w:r w:rsidRPr="007549F2">
        <w:t>The Social Implications of Occupational Heat Stress on Migrant Workers Engaged in Public Construction: A Case Study from Southern India</w:t>
      </w:r>
    </w:p>
    <w:p w14:paraId="7EE4B1C2" w14:textId="77777777" w:rsidR="00FC7C6B" w:rsidRPr="00FC7C6B" w:rsidRDefault="00FC7C6B" w:rsidP="00FC7C6B">
      <w:pPr>
        <w:pStyle w:val="ListParagraph"/>
        <w:numPr>
          <w:ilvl w:val="0"/>
          <w:numId w:val="5"/>
        </w:numPr>
        <w:rPr>
          <w:b/>
          <w:bCs/>
        </w:rPr>
      </w:pPr>
      <w:hyperlink r:id="rId8" w:history="1">
        <w:r w:rsidRPr="00130293">
          <w:rPr>
            <w:rStyle w:val="Hyperlink"/>
          </w:rPr>
          <w:t>https://link.springer.com/article/10.1007/s40572-025-00481-y</w:t>
        </w:r>
      </w:hyperlink>
      <w:r>
        <w:t xml:space="preserve"> - </w:t>
      </w:r>
      <w:r w:rsidRPr="00FC7C6B">
        <w:rPr>
          <w:b/>
          <w:bCs/>
        </w:rPr>
        <w:t>Occupational Heat Stress Among Migrant and Ethnic Minority Outdoor Workers: A Scoping Review</w:t>
      </w:r>
    </w:p>
    <w:p w14:paraId="44DC6A01" w14:textId="26844D8C" w:rsidR="00FC7C6B" w:rsidRDefault="00FC7C6B" w:rsidP="00FC7C6B">
      <w:pPr>
        <w:pStyle w:val="ListParagraph"/>
      </w:pPr>
    </w:p>
    <w:p w14:paraId="39953B63" w14:textId="77777777" w:rsidR="00FC7C6B" w:rsidRDefault="00FC7C6B" w:rsidP="00FC7C6B"/>
    <w:p w14:paraId="058C94BB" w14:textId="77777777" w:rsidR="00FC7C6B" w:rsidRDefault="00FC7C6B" w:rsidP="00FC7C6B"/>
    <w:p w14:paraId="16F90030" w14:textId="77777777" w:rsidR="00FC7C6B" w:rsidRDefault="00FC7C6B" w:rsidP="00FC7C6B"/>
    <w:p w14:paraId="15CD6955" w14:textId="5C1BA6FB" w:rsidR="009C6F4B" w:rsidRDefault="009C6F4B">
      <w:r w:rsidRPr="009C6F4B">
        <w:t>Theme 1: Traditional Heat Stress Models:</w:t>
      </w:r>
    </w:p>
    <w:p w14:paraId="39977147" w14:textId="1FB644D8" w:rsidR="009C6F4B" w:rsidRDefault="009C6F4B" w:rsidP="009C6F4B">
      <w:pPr>
        <w:pStyle w:val="ListParagraph"/>
        <w:numPr>
          <w:ilvl w:val="0"/>
          <w:numId w:val="1"/>
        </w:numPr>
        <w:rPr>
          <w:b/>
          <w:bCs/>
        </w:rPr>
      </w:pPr>
      <w:hyperlink r:id="rId9" w:history="1">
        <w:r w:rsidRPr="00130293">
          <w:rPr>
            <w:rStyle w:val="Hyperlink"/>
          </w:rPr>
          <w:t>https://www.tandfonline.com/doi/epdf/10.1080/0002889738506866?needAccess=true</w:t>
        </w:r>
      </w:hyperlink>
      <w:r>
        <w:t xml:space="preserve"> - </w:t>
      </w:r>
      <w:r w:rsidRPr="009C6F4B">
        <w:rPr>
          <w:b/>
          <w:bCs/>
        </w:rPr>
        <w:t>Physiological Evaluation of the WBGT Index for Occupational Heat Stress</w:t>
      </w:r>
    </w:p>
    <w:p w14:paraId="5E097F36" w14:textId="729C7412" w:rsidR="009C6F4B" w:rsidRDefault="009C6F4B" w:rsidP="009C6F4B">
      <w:pPr>
        <w:pStyle w:val="ListParagraph"/>
        <w:numPr>
          <w:ilvl w:val="0"/>
          <w:numId w:val="1"/>
        </w:numPr>
        <w:rPr>
          <w:b/>
          <w:bCs/>
        </w:rPr>
      </w:pPr>
      <w:hyperlink r:id="rId10" w:history="1">
        <w:r w:rsidRPr="00130293">
          <w:rPr>
            <w:rStyle w:val="Hyperlink"/>
            <w:b/>
            <w:bCs/>
          </w:rPr>
          <w:t>https://www.tandfonline.com/doi/10.1080/15459624.2019.1612523</w:t>
        </w:r>
      </w:hyperlink>
      <w:r>
        <w:rPr>
          <w:b/>
          <w:bCs/>
        </w:rPr>
        <w:t xml:space="preserve"> - </w:t>
      </w:r>
      <w:r w:rsidRPr="009C6F4B">
        <w:rPr>
          <w:b/>
          <w:bCs/>
        </w:rPr>
        <w:t>Heat stress assessment during intermittent work under different environmental conditions and clothing combinations of effective wet bulb globe temperature (WBGT)</w:t>
      </w:r>
      <w:r>
        <w:rPr>
          <w:b/>
          <w:bCs/>
        </w:rPr>
        <w:t>.</w:t>
      </w:r>
    </w:p>
    <w:p w14:paraId="4D8AB6F1" w14:textId="3098037D" w:rsidR="009C6F4B" w:rsidRDefault="001B1EB7" w:rsidP="009C6F4B">
      <w:pPr>
        <w:pStyle w:val="ListParagraph"/>
        <w:numPr>
          <w:ilvl w:val="0"/>
          <w:numId w:val="1"/>
        </w:numPr>
        <w:rPr>
          <w:b/>
          <w:bCs/>
        </w:rPr>
      </w:pPr>
      <w:hyperlink r:id="rId11" w:history="1">
        <w:r w:rsidRPr="00130293">
          <w:rPr>
            <w:rStyle w:val="Hyperlink"/>
            <w:b/>
            <w:bCs/>
          </w:rPr>
          <w:t>https://ijoh.tums.ac.ir/index.php/ijoh/article/view/90/90</w:t>
        </w:r>
      </w:hyperlink>
      <w:r>
        <w:rPr>
          <w:b/>
          <w:bCs/>
        </w:rPr>
        <w:t xml:space="preserve"> - </w:t>
      </w:r>
      <w:r w:rsidRPr="001B1EB7">
        <w:rPr>
          <w:b/>
          <w:bCs/>
        </w:rPr>
        <w:t>Evaluation of DI, WBGT, and SWreq/PHS Heat Stress Indices for Estimating the Heat Load on the Employees of a Petrochemical Industry</w:t>
      </w:r>
    </w:p>
    <w:p w14:paraId="63B838BB" w14:textId="77777777" w:rsidR="001B1EB7" w:rsidRPr="001B1EB7" w:rsidRDefault="001B1EB7" w:rsidP="001B1EB7">
      <w:pPr>
        <w:pStyle w:val="ListParagraph"/>
        <w:numPr>
          <w:ilvl w:val="0"/>
          <w:numId w:val="1"/>
        </w:numPr>
        <w:rPr>
          <w:b/>
          <w:bCs/>
        </w:rPr>
      </w:pPr>
      <w:hyperlink r:id="rId12" w:history="1">
        <w:r w:rsidRPr="00130293">
          <w:rPr>
            <w:rStyle w:val="Hyperlink"/>
            <w:b/>
            <w:bCs/>
          </w:rPr>
          <w:t>https://pmc.ncbi.nlm.nih.gov/articles/PMC4433731/</w:t>
        </w:r>
      </w:hyperlink>
      <w:r>
        <w:rPr>
          <w:b/>
          <w:bCs/>
        </w:rPr>
        <w:t xml:space="preserve"> - </w:t>
      </w:r>
      <w:r w:rsidRPr="001B1EB7">
        <w:rPr>
          <w:b/>
          <w:bCs/>
        </w:rPr>
        <w:t>Heat Stress Level among Construction Workers</w:t>
      </w:r>
    </w:p>
    <w:p w14:paraId="4117B421" w14:textId="41DD9460" w:rsidR="001B1EB7" w:rsidRDefault="001B1EB7" w:rsidP="009C6F4B">
      <w:pPr>
        <w:pStyle w:val="ListParagraph"/>
        <w:numPr>
          <w:ilvl w:val="0"/>
          <w:numId w:val="1"/>
        </w:numPr>
        <w:rPr>
          <w:b/>
          <w:bCs/>
        </w:rPr>
      </w:pPr>
      <w:hyperlink r:id="rId13" w:history="1">
        <w:r w:rsidRPr="00130293">
          <w:rPr>
            <w:rStyle w:val="Hyperlink"/>
            <w:b/>
            <w:bCs/>
          </w:rPr>
          <w:t>https://www.tandfonline.com/doi/full/10.3402/gha.v7.25283</w:t>
        </w:r>
      </w:hyperlink>
      <w:r>
        <w:rPr>
          <w:b/>
          <w:bCs/>
        </w:rPr>
        <w:t xml:space="preserve"> - </w:t>
      </w:r>
      <w:r w:rsidRPr="001B1EB7">
        <w:rPr>
          <w:b/>
          <w:bCs/>
        </w:rPr>
        <w:t>Occupational heat stress and associated productivity loss estimation using the PHS model (ISO 7933): a case study from workplaces in Chennai, India</w:t>
      </w:r>
    </w:p>
    <w:p w14:paraId="38E03C2D" w14:textId="77777777" w:rsidR="001B1EB7" w:rsidRPr="001B1EB7" w:rsidRDefault="001B1EB7" w:rsidP="001B1EB7">
      <w:pPr>
        <w:pStyle w:val="ListParagraph"/>
        <w:numPr>
          <w:ilvl w:val="0"/>
          <w:numId w:val="1"/>
        </w:numPr>
        <w:rPr>
          <w:b/>
          <w:bCs/>
        </w:rPr>
      </w:pPr>
      <w:hyperlink r:id="rId14" w:history="1">
        <w:r w:rsidRPr="00130293">
          <w:rPr>
            <w:rStyle w:val="Hyperlink"/>
            <w:b/>
            <w:bCs/>
          </w:rPr>
          <w:t>https://www.sciencedirect.com/science/article/abs/pii/S0360132318301434</w:t>
        </w:r>
      </w:hyperlink>
      <w:r>
        <w:rPr>
          <w:b/>
          <w:bCs/>
        </w:rPr>
        <w:t xml:space="preserve"> - </w:t>
      </w:r>
      <w:r w:rsidRPr="001B1EB7">
        <w:rPr>
          <w:b/>
          <w:bCs/>
        </w:rPr>
        <w:t>A ‘heart rate’-based model (PHS</w:t>
      </w:r>
      <w:r w:rsidRPr="001B1EB7">
        <w:rPr>
          <w:b/>
          <w:bCs/>
          <w:vertAlign w:val="subscript"/>
        </w:rPr>
        <w:t>HR</w:t>
      </w:r>
      <w:r w:rsidRPr="001B1EB7">
        <w:rPr>
          <w:b/>
          <w:bCs/>
        </w:rPr>
        <w:t>) for predicting personal heat stress in dynamic working environments</w:t>
      </w:r>
    </w:p>
    <w:p w14:paraId="2B8C5527" w14:textId="77777777" w:rsidR="001B1EB7" w:rsidRPr="001B1EB7" w:rsidRDefault="001B1EB7" w:rsidP="001B1EB7">
      <w:pPr>
        <w:pStyle w:val="ListParagraph"/>
        <w:numPr>
          <w:ilvl w:val="0"/>
          <w:numId w:val="1"/>
        </w:numPr>
        <w:rPr>
          <w:b/>
          <w:bCs/>
        </w:rPr>
      </w:pPr>
      <w:hyperlink r:id="rId15" w:history="1">
        <w:r w:rsidRPr="00130293">
          <w:rPr>
            <w:rStyle w:val="Hyperlink"/>
            <w:b/>
            <w:bCs/>
          </w:rPr>
          <w:t>https://www.sciencedirect.com/science/article/abs/pii/S2210670716304048</w:t>
        </w:r>
      </w:hyperlink>
      <w:r>
        <w:rPr>
          <w:b/>
          <w:bCs/>
        </w:rPr>
        <w:t xml:space="preserve"> - </w:t>
      </w:r>
      <w:r w:rsidRPr="001B1EB7">
        <w:rPr>
          <w:b/>
          <w:bCs/>
        </w:rPr>
        <w:t>Prediction and comparison of monthly indoor heat stress (WBGT and PHS) for RMG production spaces in Dhaka, Bangladesh</w:t>
      </w:r>
    </w:p>
    <w:p w14:paraId="62F71B05" w14:textId="0B5652A6" w:rsidR="001B1EB7" w:rsidRDefault="001B1EB7" w:rsidP="009C6F4B">
      <w:pPr>
        <w:pStyle w:val="ListParagraph"/>
        <w:numPr>
          <w:ilvl w:val="0"/>
          <w:numId w:val="1"/>
        </w:numPr>
        <w:rPr>
          <w:b/>
          <w:bCs/>
        </w:rPr>
      </w:pPr>
      <w:hyperlink r:id="rId16" w:history="1">
        <w:r w:rsidRPr="00130293">
          <w:rPr>
            <w:rStyle w:val="Hyperlink"/>
            <w:b/>
            <w:bCs/>
          </w:rPr>
          <w:t>https://www.jstage.jst.go.jp/article/indhealth/44/3/44_3_380/_article/-char/ja/</w:t>
        </w:r>
      </w:hyperlink>
      <w:r>
        <w:rPr>
          <w:b/>
          <w:bCs/>
        </w:rPr>
        <w:t xml:space="preserve"> - </w:t>
      </w:r>
      <w:r w:rsidRPr="001B1EB7">
        <w:rPr>
          <w:rFonts w:hint="eastAsia"/>
          <w:b/>
          <w:bCs/>
        </w:rPr>
        <w:t>Occupational Heat Stress Assessment by the Predicted Heat Strain Model</w:t>
      </w:r>
    </w:p>
    <w:p w14:paraId="6CCC6F1A" w14:textId="6D687E64" w:rsidR="001B1EB7" w:rsidRDefault="006D6F52" w:rsidP="009C6F4B">
      <w:pPr>
        <w:pStyle w:val="ListParagraph"/>
        <w:numPr>
          <w:ilvl w:val="0"/>
          <w:numId w:val="1"/>
        </w:numPr>
        <w:rPr>
          <w:b/>
          <w:bCs/>
        </w:rPr>
      </w:pPr>
      <w:hyperlink r:id="rId17" w:history="1">
        <w:r w:rsidRPr="00130293">
          <w:rPr>
            <w:rStyle w:val="Hyperlink"/>
            <w:b/>
            <w:bCs/>
          </w:rPr>
          <w:t>https://www.tandfonline.com/doi/full/10.3402/gha.v3i0.5719</w:t>
        </w:r>
      </w:hyperlink>
      <w:r>
        <w:rPr>
          <w:b/>
          <w:bCs/>
        </w:rPr>
        <w:t xml:space="preserve"> - </w:t>
      </w:r>
      <w:r w:rsidRPr="006D6F52">
        <w:rPr>
          <w:b/>
          <w:bCs/>
        </w:rPr>
        <w:t>Climate change and occupational heat stress: methods for assessment</w:t>
      </w:r>
    </w:p>
    <w:p w14:paraId="2A687529" w14:textId="658CB7A7" w:rsidR="006D6F52" w:rsidRDefault="006D6F52" w:rsidP="009C6F4B">
      <w:pPr>
        <w:pStyle w:val="ListParagraph"/>
        <w:numPr>
          <w:ilvl w:val="0"/>
          <w:numId w:val="1"/>
        </w:numPr>
        <w:rPr>
          <w:b/>
          <w:bCs/>
        </w:rPr>
      </w:pPr>
      <w:hyperlink r:id="rId18" w:history="1">
        <w:r w:rsidRPr="00130293">
          <w:rPr>
            <w:rStyle w:val="Hyperlink"/>
            <w:b/>
            <w:bCs/>
          </w:rPr>
          <w:t>https://www.summerschool-aidi.it/images/papers/session_11_2024/1249_Caporale.pdf</w:t>
        </w:r>
      </w:hyperlink>
      <w:r>
        <w:rPr>
          <w:b/>
          <w:bCs/>
        </w:rPr>
        <w:t xml:space="preserve"> - </w:t>
      </w:r>
      <w:r w:rsidRPr="006D6F52">
        <w:rPr>
          <w:b/>
          <w:bCs/>
        </w:rPr>
        <w:t>Heat stress assessment in severe hot work environments: integration of recovery time into the PHS index calculator</w:t>
      </w:r>
    </w:p>
    <w:p w14:paraId="1DC657F4" w14:textId="77777777" w:rsidR="006D6F52" w:rsidRPr="006D6F52" w:rsidRDefault="006D6F52" w:rsidP="006D6F52">
      <w:pPr>
        <w:pStyle w:val="ListParagraph"/>
        <w:numPr>
          <w:ilvl w:val="0"/>
          <w:numId w:val="1"/>
        </w:numPr>
        <w:rPr>
          <w:b/>
          <w:bCs/>
        </w:rPr>
      </w:pPr>
      <w:hyperlink r:id="rId19" w:history="1">
        <w:r w:rsidRPr="00130293">
          <w:rPr>
            <w:rStyle w:val="Hyperlink"/>
            <w:b/>
            <w:bCs/>
          </w:rPr>
          <w:t>https://link.springer.com/article/10.1007/s00484-017-1352-y</w:t>
        </w:r>
      </w:hyperlink>
      <w:r>
        <w:rPr>
          <w:b/>
          <w:bCs/>
        </w:rPr>
        <w:t xml:space="preserve"> - </w:t>
      </w:r>
      <w:r w:rsidRPr="006D6F52">
        <w:rPr>
          <w:b/>
          <w:bCs/>
        </w:rPr>
        <w:t>Occupational heat stress assessment and protective strategies in the context of climate change</w:t>
      </w:r>
    </w:p>
    <w:p w14:paraId="2A33098F" w14:textId="77777777" w:rsidR="006D6F52" w:rsidRPr="006D6F52" w:rsidRDefault="006D6F52" w:rsidP="006D6F52">
      <w:pPr>
        <w:pStyle w:val="ListParagraph"/>
        <w:numPr>
          <w:ilvl w:val="0"/>
          <w:numId w:val="1"/>
        </w:numPr>
        <w:rPr>
          <w:b/>
          <w:bCs/>
        </w:rPr>
      </w:pPr>
      <w:hyperlink r:id="rId20" w:history="1">
        <w:r w:rsidRPr="00130293">
          <w:rPr>
            <w:rStyle w:val="Hyperlink"/>
            <w:b/>
            <w:bCs/>
          </w:rPr>
          <w:t>https://www.sciencedirect.com/science/article/abs/pii/S0003687099000241</w:t>
        </w:r>
      </w:hyperlink>
      <w:r>
        <w:rPr>
          <w:b/>
          <w:bCs/>
        </w:rPr>
        <w:t xml:space="preserve"> - </w:t>
      </w:r>
      <w:r w:rsidRPr="006D6F52">
        <w:rPr>
          <w:b/>
          <w:bCs/>
        </w:rPr>
        <w:t>The evaluation of workplaces subjected to heat stress: can ISO 7933 (1989) adequately describe heat strain in industrial workplaces?</w:t>
      </w:r>
    </w:p>
    <w:p w14:paraId="777DA2F6" w14:textId="0AF2BA07" w:rsidR="006D6F52" w:rsidRDefault="006D6F52" w:rsidP="006D6F52">
      <w:pPr>
        <w:pStyle w:val="ListParagraph"/>
        <w:numPr>
          <w:ilvl w:val="0"/>
          <w:numId w:val="1"/>
        </w:numPr>
        <w:rPr>
          <w:b/>
          <w:bCs/>
        </w:rPr>
      </w:pPr>
      <w:hyperlink r:id="rId21" w:history="1">
        <w:r w:rsidRPr="00130293">
          <w:rPr>
            <w:rStyle w:val="Hyperlink"/>
            <w:b/>
            <w:bCs/>
          </w:rPr>
          <w:t>https://www.jstage.jst.go.jp/article/indhealth/51/1/51_2012-0165/_article/-char/ja/</w:t>
        </w:r>
      </w:hyperlink>
      <w:r>
        <w:rPr>
          <w:b/>
          <w:bCs/>
        </w:rPr>
        <w:t xml:space="preserve"> - </w:t>
      </w:r>
      <w:r w:rsidRPr="006D6F52">
        <w:rPr>
          <w:rFonts w:hint="eastAsia"/>
          <w:b/>
          <w:bCs/>
        </w:rPr>
        <w:t>Occupational Health Impacts of Climate Change: Current and Future ISO Standards for the Assessment of Heat Stress</w:t>
      </w:r>
    </w:p>
    <w:p w14:paraId="0D32C751" w14:textId="77777777" w:rsidR="006D6F52" w:rsidRDefault="006D6F52" w:rsidP="006D6F52">
      <w:pPr>
        <w:rPr>
          <w:b/>
          <w:bCs/>
        </w:rPr>
      </w:pPr>
    </w:p>
    <w:p w14:paraId="035F2B3C" w14:textId="0F3407D8" w:rsidR="006D6F52" w:rsidRDefault="006D6F52" w:rsidP="006D6F52">
      <w:pPr>
        <w:rPr>
          <w:b/>
          <w:bCs/>
        </w:rPr>
      </w:pPr>
      <w:r w:rsidRPr="006D6F52">
        <w:rPr>
          <w:b/>
          <w:bCs/>
        </w:rPr>
        <w:t>Theme 2: Machine Learning in Occupational Health:</w:t>
      </w:r>
    </w:p>
    <w:p w14:paraId="5A55CE1B" w14:textId="77777777" w:rsidR="00E35A4E" w:rsidRPr="00E35A4E" w:rsidRDefault="00E35A4E" w:rsidP="00E35A4E">
      <w:pPr>
        <w:pStyle w:val="ListParagraph"/>
        <w:numPr>
          <w:ilvl w:val="0"/>
          <w:numId w:val="2"/>
        </w:numPr>
        <w:rPr>
          <w:b/>
          <w:bCs/>
        </w:rPr>
      </w:pPr>
      <w:hyperlink r:id="rId22" w:history="1">
        <w:r w:rsidRPr="00130293">
          <w:rPr>
            <w:rStyle w:val="Hyperlink"/>
            <w:b/>
            <w:bCs/>
          </w:rPr>
          <w:t>https://www.mdpi.com/2254-9625/15/5/65</w:t>
        </w:r>
      </w:hyperlink>
      <w:r>
        <w:rPr>
          <w:b/>
          <w:bCs/>
        </w:rPr>
        <w:t xml:space="preserve"> - </w:t>
      </w:r>
      <w:r w:rsidRPr="00E35A4E">
        <w:rPr>
          <w:b/>
          <w:bCs/>
        </w:rPr>
        <w:t>Predicting Workplace Hazard, Stress and Burnout Among Public Health Inspectors: An AI-Driven Analysis in the Context of Climate Change</w:t>
      </w:r>
    </w:p>
    <w:p w14:paraId="413E30E9" w14:textId="77777777" w:rsidR="00E35A4E" w:rsidRPr="00E35A4E" w:rsidRDefault="00E35A4E" w:rsidP="00E35A4E">
      <w:pPr>
        <w:pStyle w:val="ListParagraph"/>
        <w:numPr>
          <w:ilvl w:val="0"/>
          <w:numId w:val="2"/>
        </w:numPr>
        <w:rPr>
          <w:b/>
          <w:bCs/>
        </w:rPr>
      </w:pPr>
      <w:hyperlink r:id="rId23" w:history="1">
        <w:r w:rsidRPr="00130293">
          <w:rPr>
            <w:rStyle w:val="Hyperlink"/>
            <w:b/>
            <w:bCs/>
          </w:rPr>
          <w:t>https://journals.nipes.org/index.php/jstrissue/article/view/2743</w:t>
        </w:r>
      </w:hyperlink>
      <w:r>
        <w:rPr>
          <w:b/>
          <w:bCs/>
        </w:rPr>
        <w:t xml:space="preserve"> - </w:t>
      </w:r>
      <w:r w:rsidRPr="00E35A4E">
        <w:rPr>
          <w:b/>
          <w:bCs/>
        </w:rPr>
        <w:t>AI-Powered Predictive Modelling of Occupational Stress and Mental Health Outcomes</w:t>
      </w:r>
    </w:p>
    <w:p w14:paraId="6ADB561E" w14:textId="77777777" w:rsidR="00E35A4E" w:rsidRPr="00E35A4E" w:rsidRDefault="00E35A4E" w:rsidP="00E35A4E">
      <w:pPr>
        <w:pStyle w:val="ListParagraph"/>
        <w:numPr>
          <w:ilvl w:val="0"/>
          <w:numId w:val="2"/>
        </w:numPr>
        <w:rPr>
          <w:b/>
          <w:bCs/>
        </w:rPr>
      </w:pPr>
      <w:hyperlink r:id="rId24" w:history="1">
        <w:r w:rsidRPr="00130293">
          <w:rPr>
            <w:rStyle w:val="Hyperlink"/>
            <w:b/>
            <w:bCs/>
          </w:rPr>
          <w:t>https://link.springer.com/article/10.1007/s10389-026-02738-8</w:t>
        </w:r>
      </w:hyperlink>
      <w:r>
        <w:rPr>
          <w:b/>
          <w:bCs/>
        </w:rPr>
        <w:t xml:space="preserve"> - </w:t>
      </w:r>
      <w:r w:rsidRPr="00E35A4E">
        <w:rPr>
          <w:b/>
          <w:bCs/>
        </w:rPr>
        <w:t>Artificial intelligence and occupational health and safety: a systematic review</w:t>
      </w:r>
    </w:p>
    <w:p w14:paraId="306DFCD1" w14:textId="77777777" w:rsidR="00E35A4E" w:rsidRPr="00E35A4E" w:rsidRDefault="00E35A4E" w:rsidP="00E35A4E">
      <w:pPr>
        <w:pStyle w:val="ListParagraph"/>
        <w:numPr>
          <w:ilvl w:val="0"/>
          <w:numId w:val="2"/>
        </w:numPr>
        <w:rPr>
          <w:b/>
          <w:bCs/>
        </w:rPr>
      </w:pPr>
      <w:hyperlink r:id="rId25" w:history="1">
        <w:r w:rsidRPr="00130293">
          <w:rPr>
            <w:rStyle w:val="Hyperlink"/>
            <w:b/>
            <w:bCs/>
          </w:rPr>
          <w:t>https://journals.lww.com/joem/abstract/9900/occupational_heat_stress_in_industrial_workers_.1122.aspx</w:t>
        </w:r>
      </w:hyperlink>
      <w:r>
        <w:rPr>
          <w:b/>
          <w:bCs/>
        </w:rPr>
        <w:t xml:space="preserve"> - </w:t>
      </w:r>
      <w:r w:rsidRPr="00E35A4E">
        <w:rPr>
          <w:b/>
          <w:bCs/>
        </w:rPr>
        <w:t>Occupational Heat Stress in Industrial Workers: Modifiable Predictors and Machine Learning Risk Classification in Northeast India</w:t>
      </w:r>
    </w:p>
    <w:p w14:paraId="026A4B01" w14:textId="77777777" w:rsidR="00E35A4E" w:rsidRPr="00E35A4E" w:rsidRDefault="00E35A4E" w:rsidP="00E35A4E">
      <w:pPr>
        <w:pStyle w:val="ListParagraph"/>
        <w:numPr>
          <w:ilvl w:val="0"/>
          <w:numId w:val="2"/>
        </w:numPr>
        <w:rPr>
          <w:b/>
          <w:bCs/>
        </w:rPr>
      </w:pPr>
      <w:hyperlink r:id="rId26" w:history="1">
        <w:r w:rsidRPr="00130293">
          <w:rPr>
            <w:rStyle w:val="Hyperlink"/>
            <w:b/>
            <w:bCs/>
          </w:rPr>
          <w:t>https://www.sciencedirect.com/science/article/pii/S0147651325018573</w:t>
        </w:r>
      </w:hyperlink>
      <w:r>
        <w:rPr>
          <w:b/>
          <w:bCs/>
        </w:rPr>
        <w:t xml:space="preserve"> - </w:t>
      </w:r>
      <w:r w:rsidRPr="00E35A4E">
        <w:rPr>
          <w:b/>
          <w:bCs/>
        </w:rPr>
        <w:t>Machine learning-driven analysis of occupational heat exposure and metabolic associated fatty liver disease in petrochemical workers</w:t>
      </w:r>
    </w:p>
    <w:p w14:paraId="78426D09" w14:textId="2D5B8A78" w:rsidR="00E35A4E" w:rsidRDefault="00E35A4E" w:rsidP="00E35A4E">
      <w:pPr>
        <w:pStyle w:val="ListParagraph"/>
        <w:numPr>
          <w:ilvl w:val="0"/>
          <w:numId w:val="2"/>
        </w:numPr>
        <w:rPr>
          <w:b/>
          <w:bCs/>
        </w:rPr>
      </w:pPr>
      <w:hyperlink r:id="rId27" w:history="1">
        <w:r w:rsidRPr="00130293">
          <w:rPr>
            <w:rStyle w:val="Hyperlink"/>
            <w:b/>
            <w:bCs/>
          </w:rPr>
          <w:t>https://www.jstage.jst.go.jp/article/joh/66/1/66_uiad017/_article/-char/ja/</w:t>
        </w:r>
      </w:hyperlink>
      <w:r>
        <w:rPr>
          <w:b/>
          <w:bCs/>
        </w:rPr>
        <w:t xml:space="preserve"> - </w:t>
      </w:r>
      <w:r w:rsidRPr="00E35A4E">
        <w:rPr>
          <w:rFonts w:hint="eastAsia"/>
          <w:b/>
          <w:bCs/>
        </w:rPr>
        <w:t>Artificial intelligence in advancing occupational health and safety: an encapsulation of developments</w:t>
      </w:r>
    </w:p>
    <w:p w14:paraId="3B8ED6CC" w14:textId="77777777" w:rsidR="00087B81" w:rsidRPr="00087B81" w:rsidRDefault="00087B81" w:rsidP="00087B81">
      <w:pPr>
        <w:pStyle w:val="ListParagraph"/>
        <w:numPr>
          <w:ilvl w:val="0"/>
          <w:numId w:val="2"/>
        </w:numPr>
        <w:rPr>
          <w:b/>
          <w:bCs/>
        </w:rPr>
      </w:pPr>
      <w:hyperlink r:id="rId28" w:history="1">
        <w:r w:rsidRPr="00130293">
          <w:rPr>
            <w:rStyle w:val="Hyperlink"/>
            <w:b/>
            <w:bCs/>
          </w:rPr>
          <w:t>https://www.mdpi.com/1660-4601/18/12/6303</w:t>
        </w:r>
      </w:hyperlink>
      <w:r>
        <w:rPr>
          <w:b/>
          <w:bCs/>
        </w:rPr>
        <w:t xml:space="preserve"> - </w:t>
      </w:r>
      <w:r w:rsidRPr="00087B81">
        <w:rPr>
          <w:b/>
          <w:bCs/>
        </w:rPr>
        <w:t>Occupational Heat Stress: Multi-Country Observations and Interventions</w:t>
      </w:r>
    </w:p>
    <w:p w14:paraId="3FEAC078" w14:textId="77777777" w:rsidR="00087B81" w:rsidRPr="00087B81" w:rsidRDefault="00087B81" w:rsidP="00087B81">
      <w:pPr>
        <w:pStyle w:val="ListParagraph"/>
        <w:numPr>
          <w:ilvl w:val="0"/>
          <w:numId w:val="2"/>
        </w:numPr>
        <w:rPr>
          <w:b/>
          <w:bCs/>
        </w:rPr>
      </w:pPr>
      <w:hyperlink r:id="rId29" w:history="1">
        <w:r w:rsidRPr="00130293">
          <w:rPr>
            <w:rStyle w:val="Hyperlink"/>
            <w:b/>
            <w:bCs/>
          </w:rPr>
          <w:t>https://onlinelibrary.wiley.com/doi/abs/10.1002/ajim.22946</w:t>
        </w:r>
      </w:hyperlink>
      <w:r>
        <w:rPr>
          <w:b/>
          <w:bCs/>
        </w:rPr>
        <w:t xml:space="preserve"> - </w:t>
      </w:r>
      <w:r w:rsidRPr="00087B81">
        <w:rPr>
          <w:b/>
          <w:bCs/>
        </w:rPr>
        <w:t>Evaluation of the impact of heat stress on the occurrence of occupational injuries: Meta-analysis of observational studies</w:t>
      </w:r>
    </w:p>
    <w:p w14:paraId="0C8666C1" w14:textId="77777777" w:rsidR="00087B81" w:rsidRPr="00087B81" w:rsidRDefault="00087B81" w:rsidP="00087B81">
      <w:pPr>
        <w:pStyle w:val="ListParagraph"/>
        <w:numPr>
          <w:ilvl w:val="0"/>
          <w:numId w:val="2"/>
        </w:numPr>
        <w:rPr>
          <w:b/>
          <w:bCs/>
        </w:rPr>
      </w:pPr>
      <w:hyperlink r:id="rId30" w:history="1">
        <w:r w:rsidRPr="00130293">
          <w:rPr>
            <w:rStyle w:val="Hyperlink"/>
            <w:b/>
            <w:bCs/>
          </w:rPr>
          <w:t>https://pmc.ncbi.nlm.nih.gov/articles/PMC10334395/</w:t>
        </w:r>
      </w:hyperlink>
      <w:r>
        <w:rPr>
          <w:b/>
          <w:bCs/>
        </w:rPr>
        <w:t xml:space="preserve"> - </w:t>
      </w:r>
      <w:r w:rsidRPr="00087B81">
        <w:rPr>
          <w:b/>
          <w:bCs/>
        </w:rPr>
        <w:t>Heat Stress: A Hazardous Occupational Risk for Vulnerable Workers</w:t>
      </w:r>
    </w:p>
    <w:p w14:paraId="44F990F8" w14:textId="77777777" w:rsidR="00087B81" w:rsidRPr="00087B81" w:rsidRDefault="00087B81" w:rsidP="00087B81">
      <w:pPr>
        <w:pStyle w:val="ListParagraph"/>
        <w:numPr>
          <w:ilvl w:val="0"/>
          <w:numId w:val="2"/>
        </w:numPr>
        <w:rPr>
          <w:b/>
          <w:bCs/>
        </w:rPr>
      </w:pPr>
      <w:hyperlink r:id="rId31" w:history="1">
        <w:r w:rsidRPr="00130293">
          <w:rPr>
            <w:rStyle w:val="Hyperlink"/>
            <w:b/>
            <w:bCs/>
          </w:rPr>
          <w:t>https://www.emerald.com/jfm/article-abstract/10/1/59/213562/Developing-a-heat-stress-model-for-construction?redirectedFrom=fulltext</w:t>
        </w:r>
      </w:hyperlink>
      <w:r>
        <w:rPr>
          <w:b/>
          <w:bCs/>
        </w:rPr>
        <w:t xml:space="preserve"> - </w:t>
      </w:r>
      <w:r w:rsidRPr="00087B81">
        <w:rPr>
          <w:b/>
          <w:bCs/>
        </w:rPr>
        <w:t>Developing a heat stress model for construction workers</w:t>
      </w:r>
    </w:p>
    <w:p w14:paraId="5C35FF30" w14:textId="77777777" w:rsidR="00B10B04" w:rsidRPr="00B10B04" w:rsidRDefault="00B10B04" w:rsidP="00B10B04">
      <w:pPr>
        <w:pStyle w:val="ListParagraph"/>
        <w:numPr>
          <w:ilvl w:val="0"/>
          <w:numId w:val="2"/>
        </w:numPr>
        <w:rPr>
          <w:b/>
          <w:bCs/>
        </w:rPr>
      </w:pPr>
      <w:hyperlink r:id="rId32" w:history="1">
        <w:r w:rsidRPr="00130293">
          <w:rPr>
            <w:rStyle w:val="Hyperlink"/>
            <w:b/>
            <w:bCs/>
          </w:rPr>
          <w:t>https://www.frontiersin.org/journals/public-health/articles/10.3389/fpubh.2025.1578558/full</w:t>
        </w:r>
      </w:hyperlink>
      <w:r>
        <w:rPr>
          <w:b/>
          <w:bCs/>
        </w:rPr>
        <w:t xml:space="preserve"> - </w:t>
      </w:r>
      <w:r w:rsidRPr="00B10B04">
        <w:rPr>
          <w:b/>
          <w:bCs/>
        </w:rPr>
        <w:t>Investigation of the usage of machine learning to explore the impacts of climate change on occupational health: a systematic review and research agenda</w:t>
      </w:r>
    </w:p>
    <w:p w14:paraId="65A462BC" w14:textId="77777777" w:rsidR="00B10B04" w:rsidRPr="00B10B04" w:rsidRDefault="00B10B04" w:rsidP="00B10B04">
      <w:pPr>
        <w:pStyle w:val="ListParagraph"/>
        <w:numPr>
          <w:ilvl w:val="0"/>
          <w:numId w:val="2"/>
        </w:numPr>
        <w:rPr>
          <w:b/>
          <w:bCs/>
        </w:rPr>
      </w:pPr>
      <w:hyperlink r:id="rId33" w:history="1">
        <w:r w:rsidRPr="00130293">
          <w:rPr>
            <w:rStyle w:val="Hyperlink"/>
            <w:b/>
            <w:bCs/>
          </w:rPr>
          <w:t>https://www.mdpi.com/2306-5354/12/11/1276</w:t>
        </w:r>
      </w:hyperlink>
      <w:r>
        <w:rPr>
          <w:b/>
          <w:bCs/>
        </w:rPr>
        <w:t xml:space="preserve"> - </w:t>
      </w:r>
      <w:r w:rsidRPr="00B10B04">
        <w:rPr>
          <w:b/>
          <w:bCs/>
        </w:rPr>
        <w:t>Explainable Machine Learning for Heat-Related Illness Prediction: An XGBoost–SHAP Approach Using Korean Meteorological Data</w:t>
      </w:r>
    </w:p>
    <w:p w14:paraId="14EDCD0D" w14:textId="77777777" w:rsidR="00B10B04" w:rsidRPr="00B10B04" w:rsidRDefault="00B10B04" w:rsidP="00B10B04">
      <w:pPr>
        <w:pStyle w:val="ListParagraph"/>
        <w:numPr>
          <w:ilvl w:val="0"/>
          <w:numId w:val="2"/>
        </w:numPr>
        <w:rPr>
          <w:b/>
          <w:bCs/>
        </w:rPr>
      </w:pPr>
      <w:hyperlink r:id="rId34" w:history="1">
        <w:r w:rsidRPr="00130293">
          <w:rPr>
            <w:rStyle w:val="Hyperlink"/>
            <w:b/>
            <w:bCs/>
          </w:rPr>
          <w:t>https://papers.ssrn.com/sol3/papers.cfm?abstract_id=3994163</w:t>
        </w:r>
      </w:hyperlink>
      <w:r>
        <w:rPr>
          <w:b/>
          <w:bCs/>
        </w:rPr>
        <w:t xml:space="preserve"> - </w:t>
      </w:r>
      <w:r w:rsidRPr="00B10B04">
        <w:rPr>
          <w:b/>
          <w:bCs/>
        </w:rPr>
        <w:t>Effect of Heat Stress and Development of WBGT Based Heat Stress Prediction Models for Underground Coal Miners Using Random Forest Algorithm and Artificial Neural Network</w:t>
      </w:r>
    </w:p>
    <w:p w14:paraId="5780BB04" w14:textId="77777777" w:rsidR="00B10B04" w:rsidRPr="00B10B04" w:rsidRDefault="00B10B04" w:rsidP="00B10B04">
      <w:pPr>
        <w:pStyle w:val="ListParagraph"/>
        <w:numPr>
          <w:ilvl w:val="0"/>
          <w:numId w:val="2"/>
        </w:numPr>
        <w:rPr>
          <w:b/>
          <w:bCs/>
        </w:rPr>
      </w:pPr>
      <w:hyperlink r:id="rId35" w:history="1">
        <w:r w:rsidRPr="00130293">
          <w:rPr>
            <w:rStyle w:val="Hyperlink"/>
            <w:b/>
            <w:bCs/>
          </w:rPr>
          <w:t>https://ieeexplore.ieee.org/abstract/document/11434333?casa_token=D0ak1mMWChsAAAAA:C8KJExtcJ6MCy51norL5bO8z9Rng5ZQTwz7JwptInexL5xl3bnoSEXMta8iZGfku3GNFC4D</w:t>
        </w:r>
        <w:r w:rsidRPr="00130293">
          <w:rPr>
            <w:rStyle w:val="Hyperlink"/>
            <w:b/>
            <w:bCs/>
          </w:rPr>
          <w:lastRenderedPageBreak/>
          <w:t>E</w:t>
        </w:r>
      </w:hyperlink>
      <w:r>
        <w:rPr>
          <w:b/>
          <w:bCs/>
        </w:rPr>
        <w:t xml:space="preserve"> - </w:t>
      </w:r>
      <w:r w:rsidRPr="00B10B04">
        <w:rPr>
          <w:b/>
          <w:bCs/>
        </w:rPr>
        <w:t>Worker Health Tracker for Construction Sites: Heart Rate and Heat Exhaustion Prediction Leveraging AI Using Smart Bands</w:t>
      </w:r>
    </w:p>
    <w:p w14:paraId="17934D06" w14:textId="77777777" w:rsidR="00B10B04" w:rsidRPr="00B10B04" w:rsidRDefault="00B10B04" w:rsidP="00B10B04">
      <w:pPr>
        <w:pStyle w:val="ListParagraph"/>
        <w:numPr>
          <w:ilvl w:val="0"/>
          <w:numId w:val="2"/>
        </w:numPr>
        <w:rPr>
          <w:b/>
          <w:bCs/>
        </w:rPr>
      </w:pPr>
      <w:hyperlink r:id="rId36" w:history="1">
        <w:r w:rsidRPr="00130293">
          <w:rPr>
            <w:rStyle w:val="Hyperlink"/>
            <w:b/>
            <w:bCs/>
          </w:rPr>
          <w:t>https://www.sciencedirect.com/science/article/pii/S001393512401973X</w:t>
        </w:r>
      </w:hyperlink>
      <w:r>
        <w:rPr>
          <w:b/>
          <w:bCs/>
        </w:rPr>
        <w:t xml:space="preserve"> - </w:t>
      </w:r>
      <w:r w:rsidRPr="00B10B04">
        <w:rPr>
          <w:b/>
          <w:bCs/>
        </w:rPr>
        <w:t>Random forest analysis of the relative importance of meteorological indicators for heatstroke cases in Japan based on the degree of severity and place of occurrence</w:t>
      </w:r>
    </w:p>
    <w:p w14:paraId="4A1B7FF4" w14:textId="303092DD" w:rsidR="00E35A4E" w:rsidRDefault="00B10B04" w:rsidP="00B10B04">
      <w:pPr>
        <w:pStyle w:val="ListParagraph"/>
        <w:numPr>
          <w:ilvl w:val="0"/>
          <w:numId w:val="2"/>
        </w:numPr>
        <w:rPr>
          <w:b/>
          <w:bCs/>
        </w:rPr>
      </w:pPr>
      <w:hyperlink r:id="rId37" w:history="1">
        <w:r w:rsidRPr="00130293">
          <w:rPr>
            <w:rStyle w:val="Hyperlink"/>
            <w:b/>
            <w:bCs/>
          </w:rPr>
          <w:t>https://www.sciencedirect.com/science/article/pii/S2093791124000234</w:t>
        </w:r>
      </w:hyperlink>
      <w:r>
        <w:rPr>
          <w:b/>
          <w:bCs/>
        </w:rPr>
        <w:t xml:space="preserve"> - </w:t>
      </w:r>
      <w:r w:rsidRPr="00B10B04">
        <w:rPr>
          <w:b/>
          <w:bCs/>
        </w:rPr>
        <w:t>Severity Analysis for Occupational Heat-related Injury Using the Multinomial Logit Model</w:t>
      </w:r>
    </w:p>
    <w:p w14:paraId="6917AA1F" w14:textId="77777777" w:rsidR="00B10B04" w:rsidRDefault="00B10B04" w:rsidP="00B10B04">
      <w:pPr>
        <w:rPr>
          <w:b/>
          <w:bCs/>
        </w:rPr>
      </w:pPr>
    </w:p>
    <w:p w14:paraId="5F5F2E25" w14:textId="38A1EBCE" w:rsidR="00B10B04" w:rsidRDefault="00B10B04" w:rsidP="00B10B04">
      <w:pPr>
        <w:rPr>
          <w:b/>
          <w:bCs/>
        </w:rPr>
      </w:pPr>
      <w:r w:rsidRPr="00B10B04">
        <w:rPr>
          <w:b/>
          <w:bCs/>
        </w:rPr>
        <w:t>Theme 3: The "Wearable" Bottleneck:</w:t>
      </w:r>
    </w:p>
    <w:p w14:paraId="12B02869" w14:textId="77777777" w:rsidR="00B10B04" w:rsidRPr="00B10B04" w:rsidRDefault="00B10B04" w:rsidP="00B10B04">
      <w:pPr>
        <w:pStyle w:val="ListParagraph"/>
        <w:numPr>
          <w:ilvl w:val="0"/>
          <w:numId w:val="4"/>
        </w:numPr>
        <w:rPr>
          <w:b/>
          <w:bCs/>
        </w:rPr>
      </w:pPr>
      <w:hyperlink r:id="rId38" w:history="1">
        <w:r w:rsidRPr="00130293">
          <w:rPr>
            <w:rStyle w:val="Hyperlink"/>
            <w:b/>
            <w:bCs/>
          </w:rPr>
          <w:t>https://www.mdpi.com/1424-8220/22/1/395</w:t>
        </w:r>
      </w:hyperlink>
      <w:r>
        <w:rPr>
          <w:b/>
          <w:bCs/>
        </w:rPr>
        <w:t xml:space="preserve"> - </w:t>
      </w:r>
      <w:r w:rsidRPr="00B10B04">
        <w:rPr>
          <w:b/>
          <w:bCs/>
        </w:rPr>
        <w:t>Heat Stroke Prevention in Hot Specific Occupational Environment Enhanced by Supervised Machine Learning with Personalized Vital Signs</w:t>
      </w:r>
    </w:p>
    <w:p w14:paraId="785DC21B" w14:textId="77777777" w:rsidR="00B10B04" w:rsidRPr="00B10B04" w:rsidRDefault="00B10B04" w:rsidP="00B10B04">
      <w:pPr>
        <w:pStyle w:val="ListParagraph"/>
        <w:numPr>
          <w:ilvl w:val="0"/>
          <w:numId w:val="4"/>
        </w:numPr>
        <w:rPr>
          <w:b/>
          <w:bCs/>
        </w:rPr>
      </w:pPr>
      <w:hyperlink r:id="rId39" w:history="1">
        <w:r w:rsidRPr="00130293">
          <w:rPr>
            <w:rStyle w:val="Hyperlink"/>
            <w:b/>
            <w:bCs/>
          </w:rPr>
          <w:t>https://ieeexplore.ieee.org/abstract/document/11434333?casa_token=D0ak1mMWChsAAAAA:C8KJExtcJ6MCy51norL5bO8z9Rng5ZQTwz7JwptInexL5xl3bnoSEXMta8iZGfku3GNFC4DE</w:t>
        </w:r>
      </w:hyperlink>
      <w:r>
        <w:rPr>
          <w:b/>
          <w:bCs/>
        </w:rPr>
        <w:t xml:space="preserve"> - </w:t>
      </w:r>
      <w:r w:rsidRPr="00B10B04">
        <w:rPr>
          <w:b/>
          <w:bCs/>
        </w:rPr>
        <w:t>Worker Health Tracker for Construction Sites: Heart Rate and Heat Exhaustion Prediction Leveraging AI Using Smart Bands</w:t>
      </w:r>
    </w:p>
    <w:p w14:paraId="1856D50F" w14:textId="77777777" w:rsidR="00B10B04" w:rsidRPr="00B10B04" w:rsidRDefault="00B10B04" w:rsidP="00B10B04">
      <w:pPr>
        <w:pStyle w:val="ListParagraph"/>
        <w:numPr>
          <w:ilvl w:val="0"/>
          <w:numId w:val="4"/>
        </w:numPr>
        <w:rPr>
          <w:b/>
          <w:bCs/>
        </w:rPr>
      </w:pPr>
      <w:hyperlink r:id="rId40" w:history="1">
        <w:r w:rsidRPr="00130293">
          <w:rPr>
            <w:rStyle w:val="Hyperlink"/>
            <w:b/>
            <w:bCs/>
          </w:rPr>
          <w:t>https://www.mdpi.com/1424-8220/15/7/16956</w:t>
        </w:r>
      </w:hyperlink>
      <w:r>
        <w:rPr>
          <w:b/>
          <w:bCs/>
        </w:rPr>
        <w:t xml:space="preserve"> - </w:t>
      </w:r>
      <w:r w:rsidRPr="00B10B04">
        <w:rPr>
          <w:b/>
          <w:bCs/>
        </w:rPr>
        <w:t>Real-Time Personalized Monitoring to Estimate Occupational Heat Stress in Ambient Assisted Working</w:t>
      </w:r>
    </w:p>
    <w:p w14:paraId="4BD81558" w14:textId="77777777" w:rsidR="007549F2" w:rsidRPr="007549F2" w:rsidRDefault="007549F2" w:rsidP="007549F2">
      <w:pPr>
        <w:pStyle w:val="ListParagraph"/>
        <w:numPr>
          <w:ilvl w:val="0"/>
          <w:numId w:val="4"/>
        </w:numPr>
        <w:rPr>
          <w:b/>
          <w:bCs/>
        </w:rPr>
      </w:pPr>
      <w:hyperlink r:id="rId41" w:history="1">
        <w:r w:rsidRPr="00130293">
          <w:rPr>
            <w:rStyle w:val="Hyperlink"/>
            <w:b/>
            <w:bCs/>
          </w:rPr>
          <w:t>https://www.emerald.com/ecam/article-abstract/33/3/2200/1259787/An-IoT-based-heat-stress-management-system-for-the?redirectedFrom=fulltext</w:t>
        </w:r>
      </w:hyperlink>
      <w:r>
        <w:rPr>
          <w:b/>
          <w:bCs/>
        </w:rPr>
        <w:t xml:space="preserve"> - </w:t>
      </w:r>
      <w:r w:rsidRPr="007549F2">
        <w:rPr>
          <w:b/>
          <w:bCs/>
        </w:rPr>
        <w:t>An IoT-based heat stress management system for the construction industry </w:t>
      </w:r>
    </w:p>
    <w:p w14:paraId="69986CB1" w14:textId="77777777" w:rsidR="007549F2" w:rsidRPr="007549F2" w:rsidRDefault="007549F2" w:rsidP="007549F2">
      <w:pPr>
        <w:pStyle w:val="ListParagraph"/>
        <w:numPr>
          <w:ilvl w:val="0"/>
          <w:numId w:val="4"/>
        </w:numPr>
        <w:rPr>
          <w:b/>
          <w:bCs/>
        </w:rPr>
      </w:pPr>
      <w:hyperlink r:id="rId42" w:history="1">
        <w:r w:rsidRPr="00130293">
          <w:rPr>
            <w:rStyle w:val="Hyperlink"/>
            <w:b/>
            <w:bCs/>
          </w:rPr>
          <w:t>https://journal.umy.ac.id/index.php/jrc/article/view/27377</w:t>
        </w:r>
      </w:hyperlink>
      <w:r>
        <w:rPr>
          <w:b/>
          <w:bCs/>
        </w:rPr>
        <w:t xml:space="preserve"> - </w:t>
      </w:r>
      <w:r w:rsidRPr="007549F2">
        <w:rPr>
          <w:b/>
          <w:bCs/>
        </w:rPr>
        <w:t>Predicting Occupational Heat Stress in Critical Sectors: A Sector-Based Systematic Review of Wearable Sensing, IoT Platforms, and Machine Learning Models</w:t>
      </w:r>
    </w:p>
    <w:p w14:paraId="374B820B" w14:textId="77777777" w:rsidR="007549F2" w:rsidRPr="007549F2" w:rsidRDefault="007549F2" w:rsidP="007549F2">
      <w:pPr>
        <w:pStyle w:val="ListParagraph"/>
        <w:numPr>
          <w:ilvl w:val="0"/>
          <w:numId w:val="4"/>
        </w:numPr>
        <w:rPr>
          <w:b/>
          <w:bCs/>
        </w:rPr>
      </w:pPr>
      <w:hyperlink r:id="rId43" w:history="1">
        <w:r w:rsidRPr="00130293">
          <w:rPr>
            <w:rStyle w:val="Hyperlink"/>
            <w:b/>
            <w:bCs/>
          </w:rPr>
          <w:t>https://ieeexplore.ieee.org/abstract/document/10808859?casa_token=twLN5dQFpUUAAAAA:nstudf170HHpYHCTqrOqYLq8N_NoY_xoyl2PhMbGgOWNCy37MQ07dZKAyOt6ojrvgW2fgkaf</w:t>
        </w:r>
      </w:hyperlink>
      <w:r>
        <w:rPr>
          <w:b/>
          <w:bCs/>
        </w:rPr>
        <w:t xml:space="preserve"> - </w:t>
      </w:r>
      <w:r w:rsidRPr="007549F2">
        <w:rPr>
          <w:b/>
          <w:bCs/>
        </w:rPr>
        <w:t>Heat Stress Forecasting and Mitigation in Outdoor Worker Safety Using Gradient Boosting and IoT Technologies</w:t>
      </w:r>
    </w:p>
    <w:p w14:paraId="3C35D22A" w14:textId="61949E8A" w:rsidR="00B10B04" w:rsidRDefault="007549F2" w:rsidP="00B10B04">
      <w:pPr>
        <w:pStyle w:val="ListParagraph"/>
        <w:numPr>
          <w:ilvl w:val="0"/>
          <w:numId w:val="4"/>
        </w:numPr>
        <w:rPr>
          <w:b/>
          <w:bCs/>
        </w:rPr>
      </w:pPr>
      <w:hyperlink r:id="rId44" w:history="1">
        <w:r w:rsidRPr="00130293">
          <w:rPr>
            <w:rStyle w:val="Hyperlink"/>
            <w:b/>
            <w:bCs/>
          </w:rPr>
          <w:t>https://www.tandfonline.com/doi/full/10.1080/15623599.2025.2504550</w:t>
        </w:r>
      </w:hyperlink>
      <w:r>
        <w:rPr>
          <w:b/>
          <w:bCs/>
        </w:rPr>
        <w:t xml:space="preserve"> - </w:t>
      </w:r>
      <w:r w:rsidRPr="007549F2">
        <w:rPr>
          <w:b/>
          <w:bCs/>
        </w:rPr>
        <w:t>IoT-based smart vest for heat stress management in construction</w:t>
      </w:r>
    </w:p>
    <w:p w14:paraId="1E4D5512" w14:textId="77777777" w:rsidR="007549F2" w:rsidRPr="007549F2" w:rsidRDefault="007549F2" w:rsidP="007549F2">
      <w:pPr>
        <w:pStyle w:val="ListParagraph"/>
        <w:numPr>
          <w:ilvl w:val="0"/>
          <w:numId w:val="4"/>
        </w:numPr>
        <w:rPr>
          <w:b/>
          <w:bCs/>
        </w:rPr>
      </w:pPr>
      <w:hyperlink r:id="rId45" w:history="1">
        <w:r w:rsidRPr="00130293">
          <w:rPr>
            <w:rStyle w:val="Hyperlink"/>
            <w:b/>
            <w:bCs/>
          </w:rPr>
          <w:t>https://ieeexplore.ieee.org/abstract/document/11216312?casa_token=Cu0KJni4CmsAAAAA:Hw7m9-XcyD7x-H2sei1Rp5WKJ42mMkrocKJkeTlKVqTfobBwp8iIVnwhFP3F8PB2-4_-9IMT</w:t>
        </w:r>
      </w:hyperlink>
      <w:r>
        <w:rPr>
          <w:b/>
          <w:bCs/>
        </w:rPr>
        <w:t xml:space="preserve"> - </w:t>
      </w:r>
      <w:r w:rsidRPr="007549F2">
        <w:rPr>
          <w:b/>
          <w:bCs/>
        </w:rPr>
        <w:t>An Affordable IoT Heat Stress Solution for the Canadian Construction, Forestry, and Mining Industries</w:t>
      </w:r>
    </w:p>
    <w:p w14:paraId="6272EEC1" w14:textId="77777777" w:rsidR="007549F2" w:rsidRPr="007549F2" w:rsidRDefault="007549F2" w:rsidP="007549F2">
      <w:pPr>
        <w:pStyle w:val="ListParagraph"/>
        <w:numPr>
          <w:ilvl w:val="0"/>
          <w:numId w:val="4"/>
        </w:numPr>
        <w:rPr>
          <w:b/>
          <w:bCs/>
        </w:rPr>
      </w:pPr>
      <w:hyperlink r:id="rId46" w:history="1">
        <w:r w:rsidRPr="00130293">
          <w:rPr>
            <w:rStyle w:val="Hyperlink"/>
            <w:b/>
            <w:bCs/>
          </w:rPr>
          <w:t>https://www.sciencedirect.com/science/article/pii/S0925753524001905</w:t>
        </w:r>
      </w:hyperlink>
      <w:r>
        <w:rPr>
          <w:b/>
          <w:bCs/>
        </w:rPr>
        <w:t xml:space="preserve"> - </w:t>
      </w:r>
      <w:r w:rsidRPr="007549F2">
        <w:rPr>
          <w:b/>
          <w:bCs/>
        </w:rPr>
        <w:t>The implications of real-time and wearable technology use for occupational heat stress: A scoping review</w:t>
      </w:r>
    </w:p>
    <w:p w14:paraId="237F8310" w14:textId="77777777" w:rsidR="007549F2" w:rsidRPr="007549F2" w:rsidRDefault="007549F2" w:rsidP="007549F2">
      <w:pPr>
        <w:pStyle w:val="ListParagraph"/>
        <w:numPr>
          <w:ilvl w:val="0"/>
          <w:numId w:val="4"/>
        </w:numPr>
        <w:rPr>
          <w:b/>
          <w:bCs/>
        </w:rPr>
      </w:pPr>
      <w:hyperlink r:id="rId47" w:history="1">
        <w:r w:rsidRPr="00130293">
          <w:rPr>
            <w:rStyle w:val="Hyperlink"/>
            <w:b/>
            <w:bCs/>
          </w:rPr>
          <w:t>https://cdnsciencepub.com/doi/abs/10.1139/apnm-2018-0173</w:t>
        </w:r>
      </w:hyperlink>
      <w:r>
        <w:rPr>
          <w:b/>
          <w:bCs/>
        </w:rPr>
        <w:t xml:space="preserve"> - </w:t>
      </w:r>
      <w:r w:rsidRPr="007549F2">
        <w:rPr>
          <w:b/>
          <w:bCs/>
        </w:rPr>
        <w:t>On the use of wearable physiological monitors to assess heat strain during occupational heat stress</w:t>
      </w:r>
    </w:p>
    <w:p w14:paraId="0A8B4974" w14:textId="77777777" w:rsidR="007549F2" w:rsidRPr="007549F2" w:rsidRDefault="007549F2" w:rsidP="007549F2">
      <w:pPr>
        <w:pStyle w:val="ListParagraph"/>
        <w:numPr>
          <w:ilvl w:val="0"/>
          <w:numId w:val="4"/>
        </w:numPr>
        <w:rPr>
          <w:b/>
          <w:bCs/>
        </w:rPr>
      </w:pPr>
      <w:hyperlink r:id="rId48" w:history="1">
        <w:r w:rsidRPr="00130293">
          <w:rPr>
            <w:rStyle w:val="Hyperlink"/>
            <w:b/>
            <w:bCs/>
          </w:rPr>
          <w:t>https://link.springer.com/article/10.1007/s13762-021-03862-6</w:t>
        </w:r>
      </w:hyperlink>
      <w:r>
        <w:rPr>
          <w:b/>
          <w:bCs/>
        </w:rPr>
        <w:t xml:space="preserve"> - </w:t>
      </w:r>
      <w:r w:rsidRPr="007549F2">
        <w:rPr>
          <w:b/>
          <w:bCs/>
        </w:rPr>
        <w:t>Analyzing occupational heat stress using sensor-based monitoring: a wearable approach with environmental ergonomics perspective</w:t>
      </w:r>
    </w:p>
    <w:p w14:paraId="6588FA6B" w14:textId="77777777" w:rsidR="007549F2" w:rsidRPr="007549F2" w:rsidRDefault="007549F2" w:rsidP="007549F2">
      <w:pPr>
        <w:pStyle w:val="ListParagraph"/>
        <w:numPr>
          <w:ilvl w:val="0"/>
          <w:numId w:val="4"/>
        </w:numPr>
        <w:rPr>
          <w:b/>
          <w:bCs/>
        </w:rPr>
      </w:pPr>
      <w:hyperlink r:id="rId49" w:history="1">
        <w:r w:rsidRPr="00130293">
          <w:rPr>
            <w:rStyle w:val="Hyperlink"/>
            <w:b/>
            <w:bCs/>
          </w:rPr>
          <w:t>https://www.sciencedirect.com/science/article/abs/pii/S0925753521002393</w:t>
        </w:r>
      </w:hyperlink>
      <w:r>
        <w:rPr>
          <w:b/>
          <w:bCs/>
        </w:rPr>
        <w:t xml:space="preserve"> - </w:t>
      </w:r>
      <w:r w:rsidRPr="007549F2">
        <w:rPr>
          <w:b/>
          <w:bCs/>
        </w:rPr>
        <w:t>Assessing occupational risk of heat stress at construction: A worker-centric wearable sensor-based approach</w:t>
      </w:r>
    </w:p>
    <w:p w14:paraId="11850A9C" w14:textId="77777777" w:rsidR="007549F2" w:rsidRPr="007549F2" w:rsidRDefault="007549F2" w:rsidP="007549F2">
      <w:pPr>
        <w:pStyle w:val="ListParagraph"/>
        <w:numPr>
          <w:ilvl w:val="0"/>
          <w:numId w:val="4"/>
        </w:numPr>
        <w:rPr>
          <w:b/>
          <w:bCs/>
        </w:rPr>
      </w:pPr>
      <w:hyperlink r:id="rId50" w:history="1">
        <w:r w:rsidRPr="00130293">
          <w:rPr>
            <w:rStyle w:val="Hyperlink"/>
            <w:b/>
            <w:bCs/>
          </w:rPr>
          <w:t>https://link.springer.com/article/10.1186/s12889-025-24262-2</w:t>
        </w:r>
      </w:hyperlink>
      <w:r>
        <w:rPr>
          <w:b/>
          <w:bCs/>
        </w:rPr>
        <w:t xml:space="preserve"> - </w:t>
      </w:r>
      <w:r w:rsidRPr="007549F2">
        <w:rPr>
          <w:b/>
          <w:bCs/>
        </w:rPr>
        <w:t>Wearable device-based interventions in heat-exposed outdoor workers — a scoping review and an explanatory intervention model</w:t>
      </w:r>
    </w:p>
    <w:p w14:paraId="33B134FF" w14:textId="77777777" w:rsidR="007549F2" w:rsidRPr="007549F2" w:rsidRDefault="007549F2" w:rsidP="007549F2">
      <w:pPr>
        <w:pStyle w:val="ListParagraph"/>
        <w:numPr>
          <w:ilvl w:val="0"/>
          <w:numId w:val="4"/>
        </w:numPr>
        <w:rPr>
          <w:b/>
          <w:bCs/>
        </w:rPr>
      </w:pPr>
      <w:hyperlink r:id="rId51" w:history="1">
        <w:r w:rsidRPr="00130293">
          <w:rPr>
            <w:rStyle w:val="Hyperlink"/>
            <w:b/>
            <w:bCs/>
          </w:rPr>
          <w:t>https://etda.libraries.psu.edu/catalog/27626azo5242</w:t>
        </w:r>
      </w:hyperlink>
      <w:r>
        <w:rPr>
          <w:b/>
          <w:bCs/>
        </w:rPr>
        <w:t xml:space="preserve"> - </w:t>
      </w:r>
      <w:r w:rsidRPr="007549F2">
        <w:rPr>
          <w:b/>
          <w:bCs/>
        </w:rPr>
        <w:t>Heat Strain Risk Assessment of Field Workers: Integrating Wearable Sensing and Artificial Intelligence</w:t>
      </w:r>
    </w:p>
    <w:p w14:paraId="44F3C62E" w14:textId="77777777" w:rsidR="007549F2" w:rsidRPr="007549F2" w:rsidRDefault="007549F2" w:rsidP="007549F2">
      <w:pPr>
        <w:pStyle w:val="ListParagraph"/>
        <w:numPr>
          <w:ilvl w:val="0"/>
          <w:numId w:val="4"/>
        </w:numPr>
        <w:rPr>
          <w:b/>
          <w:bCs/>
        </w:rPr>
      </w:pPr>
      <w:hyperlink r:id="rId52" w:history="1">
        <w:r w:rsidRPr="00130293">
          <w:rPr>
            <w:rStyle w:val="Hyperlink"/>
            <w:b/>
            <w:bCs/>
          </w:rPr>
          <w:t>https://link.springer.com/article/10.1007/s13143-023-00326-4</w:t>
        </w:r>
      </w:hyperlink>
      <w:r>
        <w:rPr>
          <w:b/>
          <w:bCs/>
        </w:rPr>
        <w:t xml:space="preserve"> - </w:t>
      </w:r>
      <w:r w:rsidRPr="007549F2">
        <w:rPr>
          <w:b/>
          <w:bCs/>
        </w:rPr>
        <w:t>Field-based Heatwave Risk Assessment of Outdoor Workers Measured by Wearable Sensors</w:t>
      </w:r>
    </w:p>
    <w:p w14:paraId="16409E5E" w14:textId="77777777" w:rsidR="007549F2" w:rsidRPr="007549F2" w:rsidRDefault="007549F2" w:rsidP="007549F2">
      <w:pPr>
        <w:pStyle w:val="ListParagraph"/>
        <w:numPr>
          <w:ilvl w:val="0"/>
          <w:numId w:val="4"/>
        </w:numPr>
        <w:rPr>
          <w:b/>
          <w:bCs/>
        </w:rPr>
      </w:pPr>
      <w:hyperlink r:id="rId53" w:history="1">
        <w:r w:rsidRPr="00130293">
          <w:rPr>
            <w:rStyle w:val="Hyperlink"/>
            <w:b/>
            <w:bCs/>
          </w:rPr>
          <w:t>https://ieeexplore.ieee.org/abstract/document/9434932?casa_token=HttfcF5MFx4AAAAA:WqTmUF5xRX6BYTTwIyGPBmQcPI2Q2Ng-TYE_p-WSPeG_hF7sjzslop4BQI8GappfzNcpl8BO</w:t>
        </w:r>
      </w:hyperlink>
      <w:r>
        <w:rPr>
          <w:b/>
          <w:bCs/>
        </w:rPr>
        <w:t xml:space="preserve"> - </w:t>
      </w:r>
      <w:r w:rsidRPr="007549F2">
        <w:rPr>
          <w:b/>
          <w:bCs/>
        </w:rPr>
        <w:t>Heat Stress Risk Estimation for Workers from Wearable Sensor Data and Lifestyle Information</w:t>
      </w:r>
    </w:p>
    <w:p w14:paraId="2C41ADC3" w14:textId="77777777" w:rsidR="00FC7C6B" w:rsidRDefault="00FC7C6B" w:rsidP="00FC7C6B">
      <w:pPr>
        <w:pStyle w:val="ListParagraph"/>
        <w:numPr>
          <w:ilvl w:val="0"/>
          <w:numId w:val="4"/>
        </w:numPr>
        <w:rPr>
          <w:b/>
          <w:bCs/>
        </w:rPr>
      </w:pPr>
      <w:hyperlink r:id="rId54" w:history="1">
        <w:r w:rsidRPr="00130293">
          <w:rPr>
            <w:rStyle w:val="Hyperlink"/>
            <w:b/>
            <w:bCs/>
          </w:rPr>
          <w:t>https://www.mdpi.com/1660-4601/17/6/2102</w:t>
        </w:r>
      </w:hyperlink>
      <w:r>
        <w:rPr>
          <w:b/>
          <w:bCs/>
        </w:rPr>
        <w:t xml:space="preserve"> - </w:t>
      </w:r>
      <w:r w:rsidRPr="00FC7C6B">
        <w:rPr>
          <w:b/>
          <w:bCs/>
        </w:rPr>
        <w:t>An Occupational Heat Stress and Hydration Assessment of Agricultural Workers in North Mexico</w:t>
      </w:r>
    </w:p>
    <w:p w14:paraId="31163E75" w14:textId="77777777" w:rsidR="00CD2547" w:rsidRDefault="00CD2547" w:rsidP="00CD2547">
      <w:pPr>
        <w:rPr>
          <w:b/>
          <w:bCs/>
        </w:rPr>
      </w:pPr>
    </w:p>
    <w:p w14:paraId="6D277201" w14:textId="77777777" w:rsidR="00CD2547" w:rsidRDefault="00CD2547" w:rsidP="00CD2547">
      <w:pPr>
        <w:rPr>
          <w:b/>
          <w:bCs/>
        </w:rPr>
      </w:pPr>
    </w:p>
    <w:p w14:paraId="438A7E2E" w14:textId="79049459" w:rsidR="00CD2547" w:rsidRDefault="00CD2547" w:rsidP="00CD2547">
      <w:pPr>
        <w:rPr>
          <w:b/>
          <w:bCs/>
        </w:rPr>
      </w:pPr>
      <w:r>
        <w:rPr>
          <w:b/>
          <w:bCs/>
        </w:rPr>
        <w:t>PIPELINE ARCHITECTURE:</w:t>
      </w:r>
    </w:p>
    <w:p w14:paraId="2B956B13" w14:textId="7685F391" w:rsidR="00CD2547" w:rsidRDefault="00CD2547" w:rsidP="00CD2547">
      <w:pPr>
        <w:rPr>
          <w:b/>
          <w:bCs/>
        </w:rPr>
      </w:pPr>
      <w:r w:rsidRPr="00CD2547">
        <w:rPr>
          <w:b/>
          <w:bCs/>
          <w:noProof/>
        </w:rPr>
        <w:drawing>
          <wp:inline distT="0" distB="0" distL="0" distR="0" wp14:anchorId="0BDE0661" wp14:editId="49CB7410">
            <wp:extent cx="5731510" cy="1452880"/>
            <wp:effectExtent l="0" t="0" r="2540" b="0"/>
            <wp:docPr id="367968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68383" name=""/>
                    <pic:cNvPicPr/>
                  </pic:nvPicPr>
                  <pic:blipFill>
                    <a:blip r:embed="rId55"/>
                    <a:stretch>
                      <a:fillRect/>
                    </a:stretch>
                  </pic:blipFill>
                  <pic:spPr>
                    <a:xfrm>
                      <a:off x="0" y="0"/>
                      <a:ext cx="5731510" cy="1452880"/>
                    </a:xfrm>
                    <a:prstGeom prst="rect">
                      <a:avLst/>
                    </a:prstGeom>
                  </pic:spPr>
                </pic:pic>
              </a:graphicData>
            </a:graphic>
          </wp:inline>
        </w:drawing>
      </w:r>
    </w:p>
    <w:p w14:paraId="61FEEB46" w14:textId="4034E649" w:rsidR="00CD2547" w:rsidRDefault="00CD2547" w:rsidP="00CD2547">
      <w:pPr>
        <w:rPr>
          <w:b/>
          <w:bCs/>
        </w:rPr>
      </w:pPr>
      <w:r w:rsidRPr="00CD2547">
        <w:rPr>
          <w:b/>
          <w:bCs/>
          <w:noProof/>
        </w:rPr>
        <w:drawing>
          <wp:inline distT="0" distB="0" distL="0" distR="0" wp14:anchorId="48734A32" wp14:editId="1C10ECDD">
            <wp:extent cx="5731510" cy="1223010"/>
            <wp:effectExtent l="0" t="0" r="2540" b="0"/>
            <wp:docPr id="1988807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07851" name=""/>
                    <pic:cNvPicPr/>
                  </pic:nvPicPr>
                  <pic:blipFill>
                    <a:blip r:embed="rId56"/>
                    <a:stretch>
                      <a:fillRect/>
                    </a:stretch>
                  </pic:blipFill>
                  <pic:spPr>
                    <a:xfrm>
                      <a:off x="0" y="0"/>
                      <a:ext cx="5731510" cy="1223010"/>
                    </a:xfrm>
                    <a:prstGeom prst="rect">
                      <a:avLst/>
                    </a:prstGeom>
                  </pic:spPr>
                </pic:pic>
              </a:graphicData>
            </a:graphic>
          </wp:inline>
        </w:drawing>
      </w:r>
    </w:p>
    <w:p w14:paraId="6318267C" w14:textId="44EB89C0" w:rsidR="00CD2547" w:rsidRDefault="00CD2547" w:rsidP="00CD2547">
      <w:pPr>
        <w:rPr>
          <w:b/>
          <w:bCs/>
        </w:rPr>
      </w:pPr>
      <w:r w:rsidRPr="00CD2547">
        <w:rPr>
          <w:b/>
          <w:bCs/>
          <w:noProof/>
        </w:rPr>
        <w:drawing>
          <wp:inline distT="0" distB="0" distL="0" distR="0" wp14:anchorId="1B106B1C" wp14:editId="45CAB5A8">
            <wp:extent cx="5731510" cy="1374140"/>
            <wp:effectExtent l="0" t="0" r="2540" b="0"/>
            <wp:docPr id="357054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54424" name=""/>
                    <pic:cNvPicPr/>
                  </pic:nvPicPr>
                  <pic:blipFill>
                    <a:blip r:embed="rId57"/>
                    <a:stretch>
                      <a:fillRect/>
                    </a:stretch>
                  </pic:blipFill>
                  <pic:spPr>
                    <a:xfrm>
                      <a:off x="0" y="0"/>
                      <a:ext cx="5731510" cy="1374140"/>
                    </a:xfrm>
                    <a:prstGeom prst="rect">
                      <a:avLst/>
                    </a:prstGeom>
                  </pic:spPr>
                </pic:pic>
              </a:graphicData>
            </a:graphic>
          </wp:inline>
        </w:drawing>
      </w:r>
    </w:p>
    <w:p w14:paraId="1E26CB1B" w14:textId="316CF70F" w:rsidR="00CD2547" w:rsidRDefault="00CD2547" w:rsidP="00CD2547">
      <w:pPr>
        <w:rPr>
          <w:b/>
          <w:bCs/>
        </w:rPr>
      </w:pPr>
      <w:r w:rsidRPr="00CD2547">
        <w:rPr>
          <w:b/>
          <w:bCs/>
          <w:noProof/>
        </w:rPr>
        <w:lastRenderedPageBreak/>
        <w:drawing>
          <wp:inline distT="0" distB="0" distL="0" distR="0" wp14:anchorId="3C4ECCB9" wp14:editId="1A306FF7">
            <wp:extent cx="5731510" cy="1322070"/>
            <wp:effectExtent l="0" t="0" r="2540" b="0"/>
            <wp:docPr id="540792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792950" name=""/>
                    <pic:cNvPicPr/>
                  </pic:nvPicPr>
                  <pic:blipFill>
                    <a:blip r:embed="rId58"/>
                    <a:stretch>
                      <a:fillRect/>
                    </a:stretch>
                  </pic:blipFill>
                  <pic:spPr>
                    <a:xfrm>
                      <a:off x="0" y="0"/>
                      <a:ext cx="5731510" cy="1322070"/>
                    </a:xfrm>
                    <a:prstGeom prst="rect">
                      <a:avLst/>
                    </a:prstGeom>
                  </pic:spPr>
                </pic:pic>
              </a:graphicData>
            </a:graphic>
          </wp:inline>
        </w:drawing>
      </w:r>
    </w:p>
    <w:p w14:paraId="01BB343F" w14:textId="0DB9F894" w:rsidR="00CD2547" w:rsidRDefault="00CD2547" w:rsidP="00CD2547">
      <w:pPr>
        <w:rPr>
          <w:b/>
          <w:bCs/>
        </w:rPr>
      </w:pPr>
      <w:r w:rsidRPr="00CD2547">
        <w:rPr>
          <w:b/>
          <w:bCs/>
          <w:noProof/>
        </w:rPr>
        <w:drawing>
          <wp:inline distT="0" distB="0" distL="0" distR="0" wp14:anchorId="32820348" wp14:editId="1E6440F2">
            <wp:extent cx="5731510" cy="1298575"/>
            <wp:effectExtent l="0" t="0" r="2540" b="0"/>
            <wp:docPr id="67041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1233" name=""/>
                    <pic:cNvPicPr/>
                  </pic:nvPicPr>
                  <pic:blipFill>
                    <a:blip r:embed="rId59"/>
                    <a:stretch>
                      <a:fillRect/>
                    </a:stretch>
                  </pic:blipFill>
                  <pic:spPr>
                    <a:xfrm>
                      <a:off x="0" y="0"/>
                      <a:ext cx="5731510" cy="1298575"/>
                    </a:xfrm>
                    <a:prstGeom prst="rect">
                      <a:avLst/>
                    </a:prstGeom>
                  </pic:spPr>
                </pic:pic>
              </a:graphicData>
            </a:graphic>
          </wp:inline>
        </w:drawing>
      </w:r>
    </w:p>
    <w:p w14:paraId="61FED171" w14:textId="77777777" w:rsidR="0017006E" w:rsidRDefault="0017006E" w:rsidP="00CD2547">
      <w:pPr>
        <w:rPr>
          <w:b/>
          <w:bCs/>
        </w:rPr>
      </w:pPr>
    </w:p>
    <w:p w14:paraId="61FE52C4" w14:textId="77777777" w:rsidR="0017006E" w:rsidRDefault="0017006E" w:rsidP="00CD2547">
      <w:pPr>
        <w:rPr>
          <w:b/>
          <w:bCs/>
        </w:rPr>
      </w:pPr>
    </w:p>
    <w:p w14:paraId="1F7DE9E3" w14:textId="04890149" w:rsidR="0017006E" w:rsidRDefault="0017006E" w:rsidP="00CD2547">
      <w:pPr>
        <w:rPr>
          <w:b/>
          <w:bCs/>
        </w:rPr>
      </w:pPr>
      <w:r>
        <w:rPr>
          <w:b/>
          <w:bCs/>
        </w:rPr>
        <w:t>ABSTRACT:</w:t>
      </w:r>
    </w:p>
    <w:p w14:paraId="083B1A2B" w14:textId="77777777" w:rsidR="0017006E" w:rsidRPr="0017006E" w:rsidRDefault="0017006E" w:rsidP="0017006E">
      <w:pPr>
        <w:rPr>
          <w:b/>
          <w:bCs/>
        </w:rPr>
      </w:pPr>
      <w:r w:rsidRPr="0017006E">
        <w:rPr>
          <w:b/>
          <w:bCs/>
        </w:rPr>
        <w:t>Occupational heat stress is one of the most significant neglected public health challenges of the climate crisis. It impacts low- and middle-income country informal and daily-wage outdoor workers disproportionately. In 2024, approximately 48,000 reported clinical cases of heatstroke occurred in India. The International Labour Organization estimates that increasing temperatures together cause the loss of 167 billion productive hours worldwide each year. Workers most at risk do not have access to prohibitively expensive wearable biosensors. The existing mitigation strategies rely on that or offer coarse population-level thermal warnings, ignoring the deep physiological heterogeneity among workers.</w:t>
      </w:r>
    </w:p>
    <w:p w14:paraId="5E679AB1" w14:textId="77777777" w:rsidR="0017006E" w:rsidRPr="0017006E" w:rsidRDefault="0017006E" w:rsidP="0017006E">
      <w:pPr>
        <w:rPr>
          <w:b/>
          <w:bCs/>
        </w:rPr>
      </w:pPr>
    </w:p>
    <w:p w14:paraId="6716A1A8" w14:textId="47A6658C" w:rsidR="0017006E" w:rsidRDefault="0017006E" w:rsidP="0017006E">
      <w:pPr>
        <w:rPr>
          <w:b/>
          <w:bCs/>
        </w:rPr>
      </w:pPr>
      <w:r w:rsidRPr="0017006E">
        <w:rPr>
          <w:b/>
          <w:bCs/>
        </w:rPr>
        <w:t xml:space="preserve">The paper describes </w:t>
      </w:r>
      <w:proofErr w:type="spellStart"/>
      <w:r w:rsidRPr="0017006E">
        <w:rPr>
          <w:b/>
          <w:bCs/>
        </w:rPr>
        <w:t>HeatGuard</w:t>
      </w:r>
      <w:proofErr w:type="spellEnd"/>
      <w:r w:rsidRPr="0017006E">
        <w:rPr>
          <w:b/>
          <w:bCs/>
        </w:rPr>
        <w:t>, a smartphone-native, edge-deployable AI-based system that provides personalized predictive alerts for heat stress 30–60 minutes before a critical physiological threshold is reached. The system comprises three methodological layers: (</w:t>
      </w:r>
      <w:proofErr w:type="spellStart"/>
      <w:r w:rsidRPr="0017006E">
        <w:rPr>
          <w:b/>
          <w:bCs/>
        </w:rPr>
        <w:t>i</w:t>
      </w:r>
      <w:proofErr w:type="spellEnd"/>
      <w:r w:rsidRPr="0017006E">
        <w:rPr>
          <w:b/>
          <w:bCs/>
        </w:rPr>
        <w:t>) an open-source synthetic data generation pipeline based on ISO 7933 PHS model which reproduces 5,647 physiologically realistic worker records with respect to 27 different features that include environmental, personal, temporal lag and derived and biomechanical features; (ii) an unsupervised K-Means worker risk profiling module which clusters the workers into four clinically interpretable vulnerability personas and computes worker-specific adaptive alert thresholds; (iii) a gradient boosted decision tree classifier trained with SMOTE and Bayesian hyperparameter optimisation which reproduces a macro-averaged F1 score of 0.9561, a ROC-AUC of 0.9984 and recall of 0.9857 for Critical risk class on a stratified held-out test set.</w:t>
      </w:r>
    </w:p>
    <w:p w14:paraId="7028C0D2" w14:textId="77777777" w:rsidR="0017006E" w:rsidRDefault="0017006E" w:rsidP="0017006E">
      <w:pPr>
        <w:rPr>
          <w:b/>
          <w:bCs/>
        </w:rPr>
      </w:pPr>
    </w:p>
    <w:p w14:paraId="7563BEBB" w14:textId="3EB5DCD0" w:rsidR="0017006E" w:rsidRDefault="0017006E" w:rsidP="0017006E">
      <w:pPr>
        <w:rPr>
          <w:b/>
          <w:bCs/>
        </w:rPr>
      </w:pPr>
      <w:r w:rsidRPr="0017006E">
        <w:rPr>
          <w:b/>
          <w:bCs/>
        </w:rPr>
        <w:t xml:space="preserve">The inference pipeline is deployed and runs at around 1.03 milliseconds per prediction, allowing on-device execution to happen in real-time on mid-range Android hardware. The deployment was successful and all 14 automated checks were passed. </w:t>
      </w:r>
      <w:proofErr w:type="gramStart"/>
      <w:r w:rsidRPr="0017006E">
        <w:rPr>
          <w:b/>
          <w:bCs/>
        </w:rPr>
        <w:t>48 unit</w:t>
      </w:r>
      <w:proofErr w:type="gramEnd"/>
      <w:r w:rsidRPr="0017006E">
        <w:rPr>
          <w:b/>
          <w:bCs/>
        </w:rPr>
        <w:t xml:space="preserve">, integration and safety regression tests passed. Analysis of SHAP explainability indicates that model predictions are physiologically </w:t>
      </w:r>
      <w:r w:rsidRPr="0017006E">
        <w:rPr>
          <w:b/>
          <w:bCs/>
        </w:rPr>
        <w:lastRenderedPageBreak/>
        <w:t xml:space="preserve">sensible; core body temperature, heat index and number of acclimatisation days (ISO 7933) together explain the most predictive variance. This paper presents a reusable simulation framework, an interpretable personalisation architecture, and a deployable safety system that cumulatively take workplace health informatics for climate-vulnerable worker populations to the next level. </w:t>
      </w:r>
      <w:r>
        <w:rPr>
          <w:b/>
          <w:bCs/>
        </w:rPr>
        <w:br/>
      </w:r>
      <w:r>
        <w:rPr>
          <w:b/>
          <w:bCs/>
        </w:rPr>
        <w:br/>
        <w:t xml:space="preserve">KEYWORDS: </w:t>
      </w:r>
      <w:r w:rsidRPr="0017006E">
        <w:rPr>
          <w:b/>
          <w:bCs/>
        </w:rPr>
        <w:t xml:space="preserve">Prediction of Heat Stress on Outdoor Workers Using </w:t>
      </w:r>
      <w:proofErr w:type="spellStart"/>
      <w:r w:rsidRPr="0017006E">
        <w:rPr>
          <w:b/>
          <w:bCs/>
        </w:rPr>
        <w:t>XGBoost</w:t>
      </w:r>
      <w:proofErr w:type="spellEnd"/>
      <w:r w:rsidRPr="0017006E">
        <w:rPr>
          <w:b/>
          <w:bCs/>
        </w:rPr>
        <w:t xml:space="preserve"> with K-Means Clustering, ISO 7933 Algorithm, and SMOTE, SHAP Explainability, and Edge AI.</w:t>
      </w:r>
    </w:p>
    <w:p w14:paraId="27CE656D" w14:textId="77777777" w:rsidR="0017006E" w:rsidRDefault="0017006E" w:rsidP="0017006E">
      <w:pPr>
        <w:rPr>
          <w:b/>
          <w:bCs/>
        </w:rPr>
      </w:pPr>
    </w:p>
    <w:p w14:paraId="793A591B" w14:textId="77777777" w:rsidR="0017006E" w:rsidRPr="0017006E" w:rsidRDefault="0017006E" w:rsidP="0017006E">
      <w:pPr>
        <w:rPr>
          <w:b/>
          <w:bCs/>
        </w:rPr>
      </w:pPr>
      <w:r w:rsidRPr="0017006E">
        <w:rPr>
          <w:b/>
          <w:bCs/>
        </w:rPr>
        <w:t>METHODOLOGY</w:t>
      </w:r>
    </w:p>
    <w:p w14:paraId="4E7956B5" w14:textId="77777777" w:rsidR="0017006E" w:rsidRPr="0017006E" w:rsidRDefault="0017006E" w:rsidP="0017006E">
      <w:pPr>
        <w:rPr>
          <w:b/>
          <w:bCs/>
        </w:rPr>
      </w:pPr>
      <w:r w:rsidRPr="0017006E">
        <w:rPr>
          <w:b/>
          <w:bCs/>
        </w:rPr>
        <w:t>3.1 System Architecture Overview</w:t>
      </w:r>
    </w:p>
    <w:p w14:paraId="451C6832" w14:textId="4BB2FB1B" w:rsidR="0017006E" w:rsidRDefault="0017006E" w:rsidP="0017006E">
      <w:pPr>
        <w:rPr>
          <w:b/>
          <w:bCs/>
        </w:rPr>
      </w:pPr>
      <w:r w:rsidRPr="0017006E">
        <w:rPr>
          <w:b/>
          <w:bCs/>
        </w:rPr>
        <w:t xml:space="preserve">The </w:t>
      </w:r>
      <w:proofErr w:type="spellStart"/>
      <w:r w:rsidRPr="0017006E">
        <w:rPr>
          <w:b/>
          <w:bCs/>
        </w:rPr>
        <w:t>HeatGuard</w:t>
      </w:r>
      <w:proofErr w:type="spellEnd"/>
      <w:r w:rsidRPr="0017006E">
        <w:rPr>
          <w:b/>
          <w:bCs/>
        </w:rPr>
        <w:t xml:space="preserve"> system that is proposed is a </w:t>
      </w:r>
      <w:proofErr w:type="gramStart"/>
      <w:r w:rsidRPr="0017006E">
        <w:rPr>
          <w:b/>
          <w:bCs/>
        </w:rPr>
        <w:t>5 stage</w:t>
      </w:r>
      <w:proofErr w:type="gramEnd"/>
      <w:r w:rsidRPr="0017006E">
        <w:rPr>
          <w:b/>
          <w:bCs/>
        </w:rPr>
        <w:t xml:space="preserve"> sequential pipeline. To develop a physiologically grounded synthetic dataset in stage one, ISO 7933 Predicted Heat Strain (PHS) equations were used. The second stage is the construction of time-series lag features that record the path of heat accumulation. In phase three K-Means clustering is applied to classify workers into vulnerability personas and compute adaptive alert thresholds. Stage four involves the training of an </w:t>
      </w:r>
      <w:proofErr w:type="spellStart"/>
      <w:r w:rsidRPr="0017006E">
        <w:rPr>
          <w:b/>
          <w:bCs/>
        </w:rPr>
        <w:t>XGBoost</w:t>
      </w:r>
      <w:proofErr w:type="spellEnd"/>
      <w:r w:rsidRPr="0017006E">
        <w:rPr>
          <w:b/>
          <w:bCs/>
        </w:rPr>
        <w:t xml:space="preserve"> multiclass classifier, followed by Bayesian hyperparameter optimisation. The classifier was evaluated using metrics that are appropriate for the safety domain. Stage five incorporates the full inference engine into a RESTful </w:t>
      </w:r>
      <w:proofErr w:type="spellStart"/>
      <w:r w:rsidRPr="0017006E">
        <w:rPr>
          <w:b/>
          <w:bCs/>
        </w:rPr>
        <w:t>FastAPI</w:t>
      </w:r>
      <w:proofErr w:type="spellEnd"/>
      <w:r w:rsidRPr="0017006E">
        <w:rPr>
          <w:b/>
          <w:bCs/>
        </w:rPr>
        <w:t xml:space="preserve"> back-end and exports the trained model to ONNX format for mobile deployment. As illustrated in Figure 1, this is the end-to-end architecture.</w:t>
      </w:r>
    </w:p>
    <w:p w14:paraId="408D35E9" w14:textId="77777777" w:rsidR="0017006E" w:rsidRPr="0017006E" w:rsidRDefault="0017006E" w:rsidP="0017006E">
      <w:pPr>
        <w:rPr>
          <w:b/>
          <w:bCs/>
        </w:rPr>
      </w:pPr>
      <w:r w:rsidRPr="0017006E">
        <w:rPr>
          <w:b/>
          <w:bCs/>
        </w:rPr>
        <w:t>3.2 Synthetic Data Generation via ISO 7933 PHS Equations</w:t>
      </w:r>
    </w:p>
    <w:p w14:paraId="0459F7B3" w14:textId="77777777" w:rsidR="0017006E" w:rsidRPr="0017006E" w:rsidRDefault="0017006E" w:rsidP="0017006E">
      <w:pPr>
        <w:rPr>
          <w:b/>
          <w:bCs/>
        </w:rPr>
      </w:pPr>
      <w:r w:rsidRPr="0017006E">
        <w:rPr>
          <w:b/>
          <w:bCs/>
        </w:rPr>
        <w:t>3.2.1 Rationale for Synthetic Data</w:t>
      </w:r>
    </w:p>
    <w:p w14:paraId="5D6EA20F" w14:textId="723ABF46" w:rsidR="0017006E" w:rsidRDefault="0017006E" w:rsidP="0017006E">
      <w:pPr>
        <w:rPr>
          <w:b/>
          <w:bCs/>
        </w:rPr>
      </w:pPr>
      <w:r w:rsidRPr="0017006E">
        <w:rPr>
          <w:b/>
          <w:bCs/>
        </w:rPr>
        <w:t>Gaining permission for the collection of labelled physiological field data from workers exposed to dangerous working conditions in hot weather faces three main barriers. These barriers include the ethical limitation on inducing dangerous conditions, lengthy months-long naturalistic data collection, and the privacy sensitivity surrounding continuous health monitoring of low-income labour groups. We counter these barriers by generating synthetic data from the ISO 7933 Predicted Heat Strain (PHS) model - the international standard endorsed by both NIOSH (the National Institute for Occupational Safety and Health) and the World Health Organization - as opposed to random arbitrary distributions. This method guarantees that the synthetic dataset maintains the physiological causal structure underlying heat strain, allowing for a scientifically defensible substitute for real data collection.</w:t>
      </w:r>
    </w:p>
    <w:p w14:paraId="64AE6758" w14:textId="28FCD51A" w:rsidR="0017006E" w:rsidRDefault="0017006E" w:rsidP="0017006E">
      <w:pPr>
        <w:rPr>
          <w:b/>
          <w:bCs/>
        </w:rPr>
      </w:pPr>
      <w:r w:rsidRPr="0017006E">
        <w:rPr>
          <w:b/>
          <w:bCs/>
        </w:rPr>
        <w:t>3.2.2 Worker Parameter Sampling</w:t>
      </w:r>
    </w:p>
    <w:p w14:paraId="5D2FB510" w14:textId="18224887" w:rsidR="0017006E" w:rsidRDefault="0017006E" w:rsidP="0017006E">
      <w:pPr>
        <w:rPr>
          <w:b/>
          <w:bCs/>
        </w:rPr>
      </w:pPr>
      <w:r w:rsidRPr="0017006E">
        <w:rPr>
          <w:b/>
          <w:bCs/>
        </w:rPr>
        <w:t xml:space="preserve">Each of the synthetic workers were generated using input parameters sampled from distributions calibrated to the demographic and occupational profiles of the Indian outdoor workers as shown by published field studies. Every respondent drawn from age group 18-60 years. A normal distribution with mean 24.5 kg/m² and standard deviation 4.0 kg/m² as well as physiologically plausible range [17, 40] was used to draw body mass index (BMI). The duration of acclimatisation was formulated using a </w:t>
      </w:r>
      <w:proofErr w:type="gramStart"/>
      <w:r w:rsidRPr="0017006E">
        <w:rPr>
          <w:b/>
          <w:bCs/>
        </w:rPr>
        <w:t>Beta(</w:t>
      </w:r>
      <w:proofErr w:type="gramEnd"/>
      <w:r w:rsidRPr="0017006E">
        <w:rPr>
          <w:b/>
          <w:bCs/>
        </w:rPr>
        <w:t xml:space="preserve">2, 5) distribution scaled between 0 and 90 days, indicative of the reality that most workers in seasonal outdoor employment are not fully acclimatised. Ambient temperature was collected uniformly in the range 28 to 48 °C under the mild to extreme Indian </w:t>
      </w:r>
      <w:r w:rsidRPr="0017006E">
        <w:rPr>
          <w:b/>
          <w:bCs/>
        </w:rPr>
        <w:lastRenderedPageBreak/>
        <w:t xml:space="preserve">summer conditions. Relative humidity followed a </w:t>
      </w:r>
      <w:proofErr w:type="gramStart"/>
      <w:r w:rsidRPr="0017006E">
        <w:rPr>
          <w:b/>
          <w:bCs/>
        </w:rPr>
        <w:t>Beta(</w:t>
      </w:r>
      <w:proofErr w:type="gramEnd"/>
      <w:r w:rsidRPr="0017006E">
        <w:rPr>
          <w:b/>
          <w:bCs/>
        </w:rPr>
        <w:t>3, 2) distribution which is biased towards the lighter weights of the monsoon in India.</w:t>
      </w:r>
    </w:p>
    <w:p w14:paraId="24E34B46" w14:textId="4B07E440" w:rsidR="0017006E" w:rsidRDefault="0017006E" w:rsidP="0017006E">
      <w:pPr>
        <w:rPr>
          <w:b/>
          <w:bCs/>
        </w:rPr>
      </w:pPr>
      <w:r w:rsidRPr="0017006E">
        <w:rPr>
          <w:b/>
          <w:bCs/>
        </w:rPr>
        <w:t>3.2.3 PHS Core Temperature Equation</w:t>
      </w:r>
    </w:p>
    <w:p w14:paraId="2A2277DF" w14:textId="77777777" w:rsidR="0017006E" w:rsidRPr="0017006E" w:rsidRDefault="0017006E" w:rsidP="0017006E">
      <w:pPr>
        <w:rPr>
          <w:b/>
          <w:bCs/>
        </w:rPr>
      </w:pPr>
      <w:r w:rsidRPr="0017006E">
        <w:rPr>
          <w:b/>
          <w:bCs/>
        </w:rPr>
        <w:t>The predicted rectal temperature (Tre), which serves as the primary physiological endpoint and labelling criterion, was computed using the following PHS-derived equation:</w:t>
      </w:r>
    </w:p>
    <w:p w14:paraId="5BB0F139" w14:textId="2879CDA1" w:rsidR="0017006E" w:rsidRDefault="0017006E" w:rsidP="0017006E">
      <w:pPr>
        <w:rPr>
          <w:b/>
          <w:bCs/>
        </w:rPr>
      </w:pPr>
      <m:oMathPara>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re</m:t>
              </m:r>
            </m:sub>
          </m:sSub>
          <m:r>
            <m:rPr>
              <m:sty m:val="bi"/>
            </m:rPr>
            <w:rPr>
              <w:rFonts w:ascii="Cambria Math" w:hAnsi="Cambria Math"/>
            </w:rPr>
            <m:t>=36.8+</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1</m:t>
              </m:r>
            </m:sub>
          </m:sSub>
          <m:acc>
            <m:accPr>
              <m:chr m:val="̇"/>
              <m:ctrlPr>
                <w:rPr>
                  <w:rFonts w:ascii="Cambria Math" w:hAnsi="Cambria Math"/>
                  <w:b/>
                  <w:bCs/>
                </w:rPr>
              </m:ctrlPr>
            </m:accPr>
            <m:e>
              <m:r>
                <m:rPr>
                  <m:sty m:val="bi"/>
                </m:rPr>
                <w:rPr>
                  <w:rFonts w:ascii="Cambria Math" w:hAnsi="Cambria Math"/>
                </w:rPr>
                <m:t>M</m:t>
              </m:r>
            </m:e>
          </m:acc>
          <m:r>
            <m:rPr>
              <m:sty m:val="bi"/>
            </m:rPr>
            <w:rPr>
              <w:rFonts w:ascii="Cambria Math" w:hAnsi="Cambria Math"/>
            </w:rPr>
            <m:t>+</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2</m:t>
              </m:r>
            </m:sub>
          </m:sSub>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3</m:t>
              </m:r>
            </m:sub>
          </m:sSub>
          <m:r>
            <m:rPr>
              <m:sty m:val="bi"/>
            </m:rPr>
            <w:rPr>
              <w:rFonts w:ascii="Cambria Math" w:hAnsi="Cambria Math"/>
            </w:rPr>
            <m:t>ϕ-</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4</m:t>
              </m:r>
            </m:sub>
          </m:sSub>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a</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5</m:t>
              </m:r>
            </m:sub>
          </m:sSub>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rad</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6</m:t>
              </m:r>
            </m:sub>
          </m:sSub>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accl</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7</m:t>
              </m:r>
            </m:sub>
          </m:sSub>
          <m:r>
            <m:rPr>
              <m:sty m:val="bi"/>
            </m:rPr>
            <w:rPr>
              <w:rFonts w:ascii="Cambria Math" w:hAnsi="Cambria Math"/>
            </w:rPr>
            <m:t>(</m:t>
          </m:r>
          <m:r>
            <m:rPr>
              <m:nor/>
            </m:rPr>
            <w:rPr>
              <w:b/>
              <w:bCs/>
            </w:rPr>
            <m:t>BMI</m:t>
          </m:r>
          <m:r>
            <m:rPr>
              <m:sty m:val="bi"/>
            </m:rPr>
            <w:rPr>
              <w:rFonts w:ascii="Cambria Math" w:hAnsi="Cambria Math"/>
            </w:rPr>
            <m:t>-22.5)+</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8</m:t>
              </m:r>
            </m:sub>
          </m:sSub>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w</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9</m:t>
              </m:r>
            </m:sub>
          </m:sSub>
          <m:r>
            <m:rPr>
              <m:sty m:val="bi"/>
            </m:rPr>
            <w:rPr>
              <w:rFonts w:ascii="Cambria Math" w:hAnsi="Cambria Math"/>
            </w:rPr>
            <m:t>(A-35)-</m:t>
          </m:r>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10</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l</m:t>
              </m:r>
            </m:sub>
          </m:sSub>
          <m:r>
            <m:rPr>
              <m:sty m:val="bi"/>
            </m:rPr>
            <w:rPr>
              <w:rFonts w:ascii="Cambria Math" w:hAnsi="Cambria Math"/>
            </w:rPr>
            <m:t>-3)</m:t>
          </m:r>
          <m:r>
            <w:rPr>
              <w:b/>
              <w:bCs/>
              <w:i/>
            </w:rPr>
            <w:br/>
          </m:r>
        </m:oMath>
      </m:oMathPara>
      <w:r w:rsidRPr="0017006E">
        <w:rPr>
          <w:b/>
          <w:bCs/>
        </w:rPr>
        <w:t xml:space="preserve">where </w:t>
      </w:r>
      <m:oMath>
        <m:acc>
          <m:accPr>
            <m:chr m:val="̇"/>
            <m:ctrlPr>
              <w:rPr>
                <w:rFonts w:ascii="Cambria Math" w:hAnsi="Cambria Math"/>
                <w:b/>
                <w:bCs/>
              </w:rPr>
            </m:ctrlPr>
          </m:accPr>
          <m:e>
            <m:r>
              <m:rPr>
                <m:sty m:val="bi"/>
              </m:rPr>
              <w:rPr>
                <w:rFonts w:ascii="Cambria Math" w:hAnsi="Cambria Math"/>
              </w:rPr>
              <m:t>M</m:t>
            </m:r>
          </m:e>
        </m:acc>
      </m:oMath>
      <w:r w:rsidRPr="0017006E">
        <w:rPr>
          <w:b/>
          <w:bCs/>
        </w:rPr>
        <w:t xml:space="preserve">denotes metabolic rate (W),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a</m:t>
            </m:r>
          </m:sub>
        </m:sSub>
      </m:oMath>
      <w:r w:rsidRPr="0017006E">
        <w:rPr>
          <w:b/>
          <w:bCs/>
        </w:rPr>
        <w:t xml:space="preserve">ambient temperature (°C), </w:t>
      </w:r>
      <m:oMath>
        <m:r>
          <m:rPr>
            <m:sty m:val="bi"/>
          </m:rPr>
          <w:rPr>
            <w:rFonts w:ascii="Cambria Math" w:hAnsi="Cambria Math"/>
          </w:rPr>
          <m:t>ϕ</m:t>
        </m:r>
      </m:oMath>
      <w:r w:rsidRPr="0017006E">
        <w:rPr>
          <w:b/>
          <w:bCs/>
        </w:rPr>
        <w:t xml:space="preserve">relative humidity (%), </w:t>
      </w:r>
      <m:oMath>
        <m:sSub>
          <m:sSubPr>
            <m:ctrlPr>
              <w:rPr>
                <w:rFonts w:ascii="Cambria Math" w:hAnsi="Cambria Math"/>
                <w:b/>
                <w:bCs/>
              </w:rPr>
            </m:ctrlPr>
          </m:sSubPr>
          <m:e>
            <m:r>
              <m:rPr>
                <m:sty m:val="bi"/>
              </m:rPr>
              <w:rPr>
                <w:rFonts w:ascii="Cambria Math" w:hAnsi="Cambria Math"/>
              </w:rPr>
              <m:t>v</m:t>
            </m:r>
          </m:e>
          <m:sub>
            <m:r>
              <m:rPr>
                <m:sty m:val="bi"/>
              </m:rPr>
              <w:rPr>
                <w:rFonts w:ascii="Cambria Math" w:hAnsi="Cambria Math"/>
              </w:rPr>
              <m:t>a</m:t>
            </m:r>
          </m:sub>
        </m:sSub>
      </m:oMath>
      <w:r w:rsidRPr="0017006E">
        <w:rPr>
          <w:b/>
          <w:bCs/>
        </w:rPr>
        <w:t xml:space="preserve">wind speed (m/s), </w:t>
      </w:r>
      <m:oMath>
        <m:sSub>
          <m:sSubPr>
            <m:ctrlPr>
              <w:rPr>
                <w:rFonts w:ascii="Cambria Math" w:hAnsi="Cambria Math"/>
                <w:b/>
                <w:bCs/>
              </w:rPr>
            </m:ctrlPr>
          </m:sSubPr>
          <m:e>
            <m:r>
              <m:rPr>
                <m:sty m:val="bi"/>
              </m:rPr>
              <w:rPr>
                <w:rFonts w:ascii="Cambria Math" w:hAnsi="Cambria Math"/>
              </w:rPr>
              <m:t>E</m:t>
            </m:r>
          </m:e>
          <m:sub>
            <m:r>
              <m:rPr>
                <m:sty m:val="bi"/>
              </m:rPr>
              <w:rPr>
                <w:rFonts w:ascii="Cambria Math" w:hAnsi="Cambria Math"/>
              </w:rPr>
              <m:t>rad</m:t>
            </m:r>
          </m:sub>
        </m:sSub>
      </m:oMath>
      <w:r w:rsidRPr="0017006E">
        <w:rPr>
          <w:b/>
          <w:bCs/>
        </w:rPr>
        <w:t xml:space="preserve">solar radiation (W/m²),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accl</m:t>
            </m:r>
          </m:sub>
        </m:sSub>
      </m:oMath>
      <w:r w:rsidRPr="0017006E">
        <w:rPr>
          <w:b/>
          <w:bCs/>
        </w:rPr>
        <w:t xml:space="preserve">acclimatisation days,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w</m:t>
            </m:r>
          </m:sub>
        </m:sSub>
      </m:oMath>
      <w:r w:rsidRPr="0017006E">
        <w:rPr>
          <w:b/>
          <w:bCs/>
        </w:rPr>
        <w:t xml:space="preserve">shift hours elapsed, </w:t>
      </w:r>
      <m:oMath>
        <m:r>
          <m:rPr>
            <m:sty m:val="bi"/>
          </m:rPr>
          <w:rPr>
            <w:rFonts w:ascii="Cambria Math" w:hAnsi="Cambria Math"/>
          </w:rPr>
          <m:t>A</m:t>
        </m:r>
      </m:oMath>
      <w:r w:rsidRPr="0017006E">
        <w:rPr>
          <w:b/>
          <w:bCs/>
        </w:rPr>
        <w:t xml:space="preserve">worker age (years), </w:t>
      </w:r>
      <m:oMath>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l</m:t>
            </m:r>
          </m:sub>
        </m:sSub>
      </m:oMath>
      <w:r w:rsidRPr="0017006E">
        <w:rPr>
          <w:b/>
          <w:bCs/>
        </w:rPr>
        <w:t xml:space="preserve">hydration level (ordinal 1–5), and </w:t>
      </w:r>
      <m:oMath>
        <m:d>
          <m:dPr>
            <m:begChr m:val="{"/>
            <m:endChr m:val="}"/>
            <m:ctrlPr>
              <w:rPr>
                <w:rFonts w:ascii="Cambria Math" w:hAnsi="Cambria Math"/>
                <w:b/>
                <w:bCs/>
              </w:rPr>
            </m:ctrlPr>
          </m:dPr>
          <m:e>
            <m:sSub>
              <m:sSubPr>
                <m:ctrlPr>
                  <w:rPr>
                    <w:rFonts w:ascii="Cambria Math" w:hAnsi="Cambria Math"/>
                    <w:b/>
                    <w:bCs/>
                  </w:rPr>
                </m:ctrlPr>
              </m:sSubPr>
              <m:e>
                <m:r>
                  <m:rPr>
                    <m:sty m:val="bi"/>
                  </m:rPr>
                  <w:rPr>
                    <w:rFonts w:ascii="Cambria Math" w:hAnsi="Cambria Math"/>
                  </w:rPr>
                  <m:t>α</m:t>
                </m:r>
              </m:e>
              <m:sub>
                <m:r>
                  <m:rPr>
                    <m:sty m:val="bi"/>
                  </m:rPr>
                  <w:rPr>
                    <w:rFonts w:ascii="Cambria Math" w:hAnsi="Cambria Math"/>
                  </w:rPr>
                  <m:t>i</m:t>
                </m:r>
              </m:sub>
            </m:sSub>
          </m:e>
        </m:d>
      </m:oMath>
      <w:r w:rsidRPr="0017006E">
        <w:rPr>
          <w:b/>
          <w:bCs/>
        </w:rPr>
        <w:t xml:space="preserve">are empirically calibrated coefficients derived from the ISO 7933 parameter tables. The resulting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re</m:t>
            </m:r>
          </m:sub>
        </m:sSub>
      </m:oMath>
      <w:r w:rsidRPr="0017006E">
        <w:rPr>
          <w:b/>
          <w:bCs/>
        </w:rPr>
        <w:t>values were clipped to the physiological range [36.0, 39.5°C] to enforce biological plausibility.</w:t>
      </w:r>
    </w:p>
    <w:p w14:paraId="179FDD3B" w14:textId="140DCB97" w:rsidR="0017006E" w:rsidRDefault="004409F7" w:rsidP="0017006E">
      <w:pPr>
        <w:rPr>
          <w:b/>
          <w:bCs/>
        </w:rPr>
      </w:pPr>
      <w:r w:rsidRPr="004409F7">
        <w:rPr>
          <w:b/>
          <w:bCs/>
        </w:rPr>
        <w:t>An additional non-linear synergistic penalty was incorporated to capture the thermoregulatory failure that is exponentially intensified when ambient temperature exceeds 35°C along with when relative humidity exceeds 60%. Under this co-occurrence, the combined environmental load term scales as (</w:t>
      </w:r>
      <w:proofErr w:type="spellStart"/>
      <w:r w:rsidRPr="004409F7">
        <w:rPr>
          <w:b/>
          <w:bCs/>
        </w:rPr>
        <w:t>Ta×ϕ</w:t>
      </w:r>
      <w:proofErr w:type="spellEnd"/>
      <w:r w:rsidRPr="004409F7">
        <w:rPr>
          <w:b/>
          <w:bCs/>
        </w:rPr>
        <w:t>/100)1.5. The calculations take into account the well-known dampening of evaporative cooling capacity when both temperature and humidity are high.</w:t>
      </w:r>
    </w:p>
    <w:p w14:paraId="26D44A24" w14:textId="7F429513" w:rsidR="004409F7" w:rsidRDefault="004409F7" w:rsidP="0017006E">
      <w:pPr>
        <w:rPr>
          <w:b/>
          <w:bCs/>
        </w:rPr>
      </w:pPr>
      <w:r w:rsidRPr="004409F7">
        <w:rPr>
          <w:b/>
          <w:bCs/>
        </w:rPr>
        <w:t>3.2.4 Risk Label Assignment</w:t>
      </w:r>
    </w:p>
    <w:p w14:paraId="14297C0B" w14:textId="51BAAC8D" w:rsidR="004409F7" w:rsidRDefault="004409F7" w:rsidP="0017006E">
      <w:pPr>
        <w:rPr>
          <w:b/>
          <w:bCs/>
        </w:rPr>
      </w:pPr>
      <w:r w:rsidRPr="004409F7">
        <w:rPr>
          <w:b/>
          <w:bCs/>
        </w:rPr>
        <w:t xml:space="preserve">Workers were classified into one of four risk classes based on </w:t>
      </w:r>
      <w:proofErr w:type="spellStart"/>
      <w:r w:rsidRPr="004409F7">
        <w:rPr>
          <w:b/>
          <w:bCs/>
        </w:rPr>
        <w:t>TreT</w:t>
      </w:r>
      <w:proofErr w:type="spellEnd"/>
      <w:r w:rsidRPr="004409F7">
        <w:rPr>
          <w:b/>
          <w:bCs/>
        </w:rPr>
        <w:t>_{re} computations. According to ISO 7933 &amp; NIOSH threshold guidance, Tre fall into four categories: Low, Moderate, High, and Critical. These thresholds are as follows: Low (</w:t>
      </w:r>
      <w:proofErr w:type="spellStart"/>
      <w:r w:rsidRPr="004409F7">
        <w:rPr>
          <w:b/>
          <w:bCs/>
        </w:rPr>
        <w:t>TreT</w:t>
      </w:r>
      <w:proofErr w:type="spellEnd"/>
      <w:r w:rsidRPr="004409F7">
        <w:rPr>
          <w:b/>
          <w:bCs/>
        </w:rPr>
        <w:t>_{re}. Tre &lt; 37.5°C), Moderate50 (37.5–38.0°C), High (38.0–38.5°C), Critical (</w:t>
      </w:r>
      <w:proofErr w:type="spellStart"/>
      <w:r w:rsidRPr="004409F7">
        <w:rPr>
          <w:b/>
          <w:bCs/>
        </w:rPr>
        <w:t>TreT</w:t>
      </w:r>
      <w:proofErr w:type="spellEnd"/>
      <w:r w:rsidRPr="004409F7">
        <w:rPr>
          <w:b/>
          <w:bCs/>
        </w:rPr>
        <w:t>_{re}. Tre ≥ 38.5°C). The final labelled dataset had 5647 workers’ records. The distribution of classes was intentionally skewed towards danger-side classes in order to assist in making more safety-first oriented models. Low 7.1% Moderate 7.3% High 11.8% Critical 73.8% This choice of distribution is consistent with the physiological reality of extreme Indian summer conditions in the simulation parameter space, and reflects a policy choice that is biased towards detecting dangerous cases over being accurate on safe cases.</w:t>
      </w:r>
    </w:p>
    <w:p w14:paraId="26CC4E21" w14:textId="06731658" w:rsidR="004409F7" w:rsidRDefault="004409F7" w:rsidP="0017006E">
      <w:pPr>
        <w:rPr>
          <w:b/>
          <w:bCs/>
        </w:rPr>
      </w:pPr>
      <w:r w:rsidRPr="004409F7">
        <w:rPr>
          <w:b/>
          <w:bCs/>
        </w:rPr>
        <w:t>3.2.5 Gaussian Sensor Noise Injection</w:t>
      </w:r>
    </w:p>
    <w:p w14:paraId="7CC4F2F9" w14:textId="742329BA" w:rsidR="004409F7" w:rsidRDefault="004409F7" w:rsidP="0017006E">
      <w:pPr>
        <w:rPr>
          <w:b/>
          <w:bCs/>
        </w:rPr>
      </w:pPr>
      <w:r w:rsidRPr="004409F7">
        <w:rPr>
          <w:b/>
          <w:bCs/>
        </w:rPr>
        <w:t>To mimic smartphone sensor inaccuracies in the real world, calibrated Gaussian noise was injected in all the sensor features before training. The noise standard deviations were set to σ = 0.5°C for ambient temperature (accuracy of consumer thermistor), σ = 2.0% for relative humidity (MEMS humidity sensor), σ = 2.5 bpm for heart rate (accelerometer-based PPG estimation), and σ = 0.2 m/s for wind speed (microphone-based approximation). This injection step guarantees that the model which will be trained is robust with respect to the measurement noise.</w:t>
      </w:r>
    </w:p>
    <w:p w14:paraId="7B50864F" w14:textId="37F64988" w:rsidR="004409F7" w:rsidRDefault="004409F7" w:rsidP="0017006E">
      <w:pPr>
        <w:rPr>
          <w:b/>
          <w:bCs/>
        </w:rPr>
      </w:pPr>
      <w:r w:rsidRPr="004409F7">
        <w:rPr>
          <w:b/>
          <w:bCs/>
        </w:rPr>
        <w:t>3.2.6 Predictive Target Construction (t+30 Formulation)</w:t>
      </w:r>
    </w:p>
    <w:p w14:paraId="3DFF1A70" w14:textId="54416B82" w:rsidR="004409F7" w:rsidRDefault="004409F7" w:rsidP="0017006E">
      <w:pPr>
        <w:rPr>
          <w:b/>
          <w:bCs/>
        </w:rPr>
      </w:pPr>
      <w:r w:rsidRPr="004409F7">
        <w:rPr>
          <w:b/>
          <w:bCs/>
        </w:rPr>
        <w:t xml:space="preserve">What is important to note with regard to methodology in this work is that the prediction target is not the worker's present risk state but rather that which is expected 30 minutes later. A second “T” was computed to implement this predictive horizon. The value at time t plus 30 minutes was determined using the same PHS equations applied to projected physiological parameters. These were environmental conditions with an assumed linear drift, continued metabolic load and incremental hydration depletion. Risk labels derived from this future state. By choosing such a </w:t>
      </w:r>
      <w:r w:rsidRPr="004409F7">
        <w:rPr>
          <w:b/>
          <w:bCs/>
        </w:rPr>
        <w:lastRenderedPageBreak/>
        <w:t>design, we convert the system from a reactive monitor to a truly proactive warning system, which fits in with the clinical goal of intervening before symptoms start.</w:t>
      </w:r>
    </w:p>
    <w:p w14:paraId="36FC6331" w14:textId="6AD0BFAA" w:rsidR="004409F7" w:rsidRDefault="004409F7" w:rsidP="0017006E">
      <w:pPr>
        <w:rPr>
          <w:b/>
          <w:bCs/>
        </w:rPr>
      </w:pPr>
      <w:r w:rsidRPr="004409F7">
        <w:rPr>
          <w:b/>
          <w:bCs/>
        </w:rPr>
        <w:t>3.3 Time-Series Lag Feature Construction</w:t>
      </w:r>
    </w:p>
    <w:p w14:paraId="05BA0312" w14:textId="35E48992" w:rsidR="004409F7" w:rsidRDefault="004409F7" w:rsidP="0017006E">
      <w:pPr>
        <w:rPr>
          <w:b/>
          <w:bCs/>
        </w:rPr>
      </w:pPr>
      <w:r w:rsidRPr="004409F7">
        <w:rPr>
          <w:b/>
          <w:bCs/>
        </w:rPr>
        <w:t>To endow a static tabular classifier with temporal awareness equivalent to a recurrent sequence model, physiological measurements were explicitly represented at three time points: current (</w:t>
      </w:r>
      <m:oMath>
        <m:r>
          <m:rPr>
            <m:sty m:val="bi"/>
          </m:rPr>
          <w:rPr>
            <w:rFonts w:ascii="Cambria Math" w:hAnsi="Cambria Math"/>
          </w:rPr>
          <m:t>t</m:t>
        </m:r>
      </m:oMath>
      <w:r w:rsidRPr="004409F7">
        <w:rPr>
          <w:b/>
          <w:bCs/>
        </w:rPr>
        <w:t>), 15 minutes prior (</w:t>
      </w:r>
      <m:oMath>
        <m:r>
          <m:rPr>
            <m:sty m:val="bi"/>
          </m:rPr>
          <w:rPr>
            <w:rFonts w:ascii="Cambria Math" w:hAnsi="Cambria Math"/>
          </w:rPr>
          <m:t>t-15</m:t>
        </m:r>
      </m:oMath>
      <w:r w:rsidRPr="004409F7">
        <w:rPr>
          <w:b/>
          <w:bCs/>
        </w:rPr>
        <w:t>), and 30 minutes prior (</w:t>
      </w:r>
      <m:oMath>
        <m:r>
          <m:rPr>
            <m:sty m:val="bi"/>
          </m:rPr>
          <w:rPr>
            <w:rFonts w:ascii="Cambria Math" w:hAnsi="Cambria Math"/>
          </w:rPr>
          <m:t>t-30</m:t>
        </m:r>
      </m:oMath>
      <w:r w:rsidRPr="004409F7">
        <w:rPr>
          <w:b/>
          <w:bCs/>
        </w:rPr>
        <w:t xml:space="preserve">). This yielded six additional lag columns: ambient temperature at </w:t>
      </w:r>
      <m:oMath>
        <m:r>
          <m:rPr>
            <m:sty m:val="bi"/>
          </m:rPr>
          <w:rPr>
            <w:rFonts w:ascii="Cambria Math" w:hAnsi="Cambria Math"/>
          </w:rPr>
          <m:t>t-15</m:t>
        </m:r>
      </m:oMath>
      <w:r w:rsidRPr="004409F7">
        <w:rPr>
          <w:b/>
          <w:bCs/>
        </w:rPr>
        <w:t xml:space="preserve">and </w:t>
      </w:r>
      <m:oMath>
        <m:r>
          <m:rPr>
            <m:sty m:val="bi"/>
          </m:rPr>
          <w:rPr>
            <w:rFonts w:ascii="Cambria Math" w:hAnsi="Cambria Math"/>
          </w:rPr>
          <m:t>t-30</m:t>
        </m:r>
      </m:oMath>
      <w:r w:rsidRPr="004409F7">
        <w:rPr>
          <w:b/>
          <w:bCs/>
        </w:rPr>
        <w:t xml:space="preserve">, relative humidity at </w:t>
      </w:r>
      <m:oMath>
        <m:r>
          <m:rPr>
            <m:sty m:val="bi"/>
          </m:rPr>
          <w:rPr>
            <w:rFonts w:ascii="Cambria Math" w:hAnsi="Cambria Math"/>
          </w:rPr>
          <m:t>t-15</m:t>
        </m:r>
      </m:oMath>
      <w:r w:rsidRPr="004409F7">
        <w:rPr>
          <w:b/>
          <w:bCs/>
        </w:rPr>
        <w:t xml:space="preserve">and </w:t>
      </w:r>
      <m:oMath>
        <m:r>
          <m:rPr>
            <m:sty m:val="bi"/>
          </m:rPr>
          <w:rPr>
            <w:rFonts w:ascii="Cambria Math" w:hAnsi="Cambria Math"/>
          </w:rPr>
          <m:t>t-30</m:t>
        </m:r>
      </m:oMath>
      <w:r w:rsidRPr="004409F7">
        <w:rPr>
          <w:b/>
          <w:bCs/>
        </w:rPr>
        <w:t xml:space="preserve">, and heart rate at </w:t>
      </w:r>
      <m:oMath>
        <m:r>
          <m:rPr>
            <m:sty m:val="bi"/>
          </m:rPr>
          <w:rPr>
            <w:rFonts w:ascii="Cambria Math" w:hAnsi="Cambria Math"/>
          </w:rPr>
          <m:t>t-15</m:t>
        </m:r>
      </m:oMath>
      <w:r w:rsidRPr="004409F7">
        <w:rPr>
          <w:b/>
          <w:bCs/>
        </w:rPr>
        <w:t xml:space="preserve">and </w:t>
      </w:r>
      <m:oMath>
        <m:r>
          <m:rPr>
            <m:sty m:val="bi"/>
          </m:rPr>
          <w:rPr>
            <w:rFonts w:ascii="Cambria Math" w:hAnsi="Cambria Math"/>
          </w:rPr>
          <m:t>t-30</m:t>
        </m:r>
      </m:oMath>
      <w:r w:rsidRPr="004409F7">
        <w:rPr>
          <w:b/>
          <w:bCs/>
        </w:rPr>
        <w:t>.</w:t>
      </w:r>
    </w:p>
    <w:p w14:paraId="5CA3E770" w14:textId="1F5D43B4" w:rsidR="004409F7" w:rsidRDefault="004409F7" w:rsidP="0017006E">
      <w:pPr>
        <w:rPr>
          <w:b/>
          <w:bCs/>
        </w:rPr>
      </w:pPr>
      <w:r w:rsidRPr="004409F7">
        <w:rPr>
          <w:b/>
          <w:bCs/>
        </w:rPr>
        <w:t>Heart rate lags were generated using a dynamic physiology model that ties the HR trajectory to the interaction of work hours elapsed, acclimatisation level, and metabolic rate. A worker who has just started their shift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w</m:t>
            </m:r>
          </m:sub>
        </m:sSub>
        <m:r>
          <m:rPr>
            <m:sty m:val="bi"/>
          </m:rPr>
          <w:rPr>
            <w:rFonts w:ascii="Cambria Math" w:hAnsi="Cambria Math"/>
          </w:rPr>
          <m:t>&lt;0.5</m:t>
        </m:r>
      </m:oMath>
      <w:r w:rsidRPr="004409F7">
        <w:rPr>
          <w:b/>
          <w:bCs/>
        </w:rPr>
        <w:t xml:space="preserve"> hours) and possesses minimal acclimatisation will exhibit a steep HR rise from their resting baseline over the 30-minute window, while a veteran worker deep into an acclimatised shift will show a high but stable plateau. This dynamic formulation ensures that the lag features capture physiologically meaningful trajectories rather than arbitrary numerical offsets. Three derived trajectory features were additionally constructed: </w:t>
      </w:r>
      <m:oMath>
        <m:r>
          <m:rPr>
            <m:sty m:val="b"/>
          </m:rPr>
          <w:rPr>
            <w:rFonts w:ascii="Cambria Math" w:hAnsi="Cambria Math"/>
          </w:rPr>
          <m:t>Δ</m:t>
        </m:r>
      </m:oMath>
      <w:r w:rsidRPr="004409F7">
        <w:rPr>
          <w:b/>
          <w:bCs/>
        </w:rPr>
        <w:t>HR</w:t>
      </w:r>
      <m:oMath>
        <m:sSub>
          <m:sSubPr>
            <m:ctrlPr>
              <w:rPr>
                <w:rFonts w:ascii="Cambria Math" w:hAnsi="Cambria Math"/>
                <w:b/>
                <w:bCs/>
              </w:rPr>
            </m:ctrlPr>
          </m:sSubPr>
          <m:e/>
          <m:sub>
            <m:r>
              <m:rPr>
                <m:sty m:val="bi"/>
              </m:rPr>
              <w:rPr>
                <w:rFonts w:ascii="Cambria Math" w:hAnsi="Cambria Math"/>
              </w:rPr>
              <m:t>t-15</m:t>
            </m:r>
          </m:sub>
        </m:sSub>
      </m:oMath>
      <w:r w:rsidRPr="004409F7">
        <w:rPr>
          <w:b/>
          <w:bCs/>
        </w:rPr>
        <w:t xml:space="preserve"> (heart rate change from </w:t>
      </w:r>
      <m:oMath>
        <m:r>
          <m:rPr>
            <m:sty m:val="bi"/>
          </m:rPr>
          <w:rPr>
            <w:rFonts w:ascii="Cambria Math" w:hAnsi="Cambria Math"/>
          </w:rPr>
          <m:t>t-15</m:t>
        </m:r>
      </m:oMath>
      <w:r w:rsidRPr="004409F7">
        <w:rPr>
          <w:b/>
          <w:bCs/>
        </w:rPr>
        <w:t xml:space="preserve">to </w:t>
      </w:r>
      <m:oMath>
        <m:r>
          <m:rPr>
            <m:sty m:val="bi"/>
          </m:rPr>
          <w:rPr>
            <w:rFonts w:ascii="Cambria Math" w:hAnsi="Cambria Math"/>
          </w:rPr>
          <m:t>t</m:t>
        </m:r>
      </m:oMath>
      <w:r w:rsidRPr="004409F7">
        <w:rPr>
          <w:b/>
          <w:bCs/>
        </w:rPr>
        <w:t xml:space="preserve">), </w:t>
      </w:r>
      <m:oMath>
        <m:r>
          <m:rPr>
            <m:sty m:val="b"/>
          </m:rPr>
          <w:rPr>
            <w:rFonts w:ascii="Cambria Math" w:hAnsi="Cambria Math"/>
          </w:rPr>
          <m:t>Δ</m:t>
        </m:r>
      </m:oMath>
      <w:r w:rsidRPr="004409F7">
        <w:rPr>
          <w:b/>
          <w:bCs/>
        </w:rPr>
        <w:t>HR</w:t>
      </w:r>
      <m:oMath>
        <m:sSub>
          <m:sSubPr>
            <m:ctrlPr>
              <w:rPr>
                <w:rFonts w:ascii="Cambria Math" w:hAnsi="Cambria Math"/>
                <w:b/>
                <w:bCs/>
              </w:rPr>
            </m:ctrlPr>
          </m:sSubPr>
          <m:e/>
          <m:sub>
            <m:r>
              <m:rPr>
                <m:sty m:val="bi"/>
              </m:rPr>
              <w:rPr>
                <w:rFonts w:ascii="Cambria Math" w:hAnsi="Cambria Math"/>
              </w:rPr>
              <m:t>t-30</m:t>
            </m:r>
          </m:sub>
        </m:sSub>
      </m:oMath>
      <w:r w:rsidRPr="004409F7">
        <w:rPr>
          <w:b/>
          <w:bCs/>
        </w:rPr>
        <w:t xml:space="preserve"> (change from </w:t>
      </w:r>
      <m:oMath>
        <m:r>
          <m:rPr>
            <m:sty m:val="bi"/>
          </m:rPr>
          <w:rPr>
            <w:rFonts w:ascii="Cambria Math" w:hAnsi="Cambria Math"/>
          </w:rPr>
          <m:t>t-30</m:t>
        </m:r>
      </m:oMath>
      <w:r w:rsidRPr="004409F7">
        <w:rPr>
          <w:b/>
          <w:bCs/>
        </w:rPr>
        <w:t xml:space="preserve">to </w:t>
      </w:r>
      <m:oMath>
        <m:r>
          <m:rPr>
            <m:sty m:val="bi"/>
          </m:rPr>
          <w:rPr>
            <w:rFonts w:ascii="Cambria Math" w:hAnsi="Cambria Math"/>
          </w:rPr>
          <m:t>t</m:t>
        </m:r>
      </m:oMath>
      <w:r w:rsidRPr="004409F7">
        <w:rPr>
          <w:b/>
          <w:bCs/>
        </w:rPr>
        <w:t xml:space="preserve">), and </w:t>
      </w:r>
      <m:oMath>
        <m:r>
          <m:rPr>
            <m:sty m:val="b"/>
          </m:rPr>
          <w:rPr>
            <w:rFonts w:ascii="Cambria Math" w:hAnsi="Cambria Math"/>
          </w:rPr>
          <m:t>Δ</m:t>
        </m:r>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a,t-15</m:t>
            </m:r>
          </m:sub>
        </m:sSub>
      </m:oMath>
      <w:r w:rsidRPr="004409F7">
        <w:rPr>
          <w:b/>
          <w:bCs/>
        </w:rPr>
        <w:t xml:space="preserve">(ambient temperature change from </w:t>
      </w:r>
      <m:oMath>
        <m:r>
          <m:rPr>
            <m:sty m:val="bi"/>
          </m:rPr>
          <w:rPr>
            <w:rFonts w:ascii="Cambria Math" w:hAnsi="Cambria Math"/>
          </w:rPr>
          <m:t>t-15</m:t>
        </m:r>
      </m:oMath>
      <w:r w:rsidRPr="004409F7">
        <w:rPr>
          <w:b/>
          <w:bCs/>
        </w:rPr>
        <w:t xml:space="preserve">to </w:t>
      </w:r>
      <m:oMath>
        <m:r>
          <m:rPr>
            <m:sty m:val="bi"/>
          </m:rPr>
          <w:rPr>
            <w:rFonts w:ascii="Cambria Math" w:hAnsi="Cambria Math"/>
          </w:rPr>
          <m:t>t</m:t>
        </m:r>
      </m:oMath>
      <w:r w:rsidRPr="004409F7">
        <w:rPr>
          <w:b/>
          <w:bCs/>
        </w:rPr>
        <w:t>).</w:t>
      </w:r>
    </w:p>
    <w:p w14:paraId="4C2643EA" w14:textId="77777777" w:rsidR="004409F7" w:rsidRPr="004409F7" w:rsidRDefault="004409F7" w:rsidP="004409F7">
      <w:pPr>
        <w:rPr>
          <w:b/>
          <w:bCs/>
        </w:rPr>
      </w:pPr>
      <w:r w:rsidRPr="004409F7">
        <w:rPr>
          <w:b/>
          <w:bCs/>
        </w:rPr>
        <w:t xml:space="preserve">The choice of </w:t>
      </w:r>
      <w:proofErr w:type="spellStart"/>
      <w:r w:rsidRPr="004409F7">
        <w:rPr>
          <w:b/>
          <w:bCs/>
        </w:rPr>
        <w:t>XGBoost</w:t>
      </w:r>
      <w:proofErr w:type="spellEnd"/>
      <w:r w:rsidRPr="004409F7">
        <w:rPr>
          <w:b/>
          <w:bCs/>
        </w:rPr>
        <w:t xml:space="preserve"> with explicit lag features over Long Short-Term Memory (LSTM) recurrent networks was deliberate. LSTMs require substantially larger sequential datasets for stable training, exhibit higher latency during inference (15–50 </w:t>
      </w:r>
      <w:proofErr w:type="spellStart"/>
      <w:r w:rsidRPr="004409F7">
        <w:rPr>
          <w:b/>
          <w:bCs/>
        </w:rPr>
        <w:t>ms</w:t>
      </w:r>
      <w:proofErr w:type="spellEnd"/>
      <w:r w:rsidRPr="004409F7">
        <w:rPr>
          <w:b/>
          <w:bCs/>
        </w:rPr>
        <w:t xml:space="preserve"> versus &lt; 2 </w:t>
      </w:r>
      <w:proofErr w:type="spellStart"/>
      <w:r w:rsidRPr="004409F7">
        <w:rPr>
          <w:b/>
          <w:bCs/>
        </w:rPr>
        <w:t>ms</w:t>
      </w:r>
      <w:proofErr w:type="spellEnd"/>
      <w:r w:rsidRPr="004409F7">
        <w:rPr>
          <w:b/>
          <w:bCs/>
        </w:rPr>
        <w:t>), and demand computationally heavier mobile runtimes. Empirical evidence in the ML literature confirms that gradient boosted trees with engineered lag features achieve comparable or superior performance to LSTMs on tabular time-series problems with fewer than 10,000 samples [</w:t>
      </w:r>
      <w:proofErr w:type="spellStart"/>
      <w:r w:rsidRPr="004409F7">
        <w:rPr>
          <w:b/>
          <w:bCs/>
        </w:rPr>
        <w:t>Bentéjac</w:t>
      </w:r>
      <w:proofErr w:type="spellEnd"/>
      <w:r w:rsidRPr="004409F7">
        <w:rPr>
          <w:b/>
          <w:bCs/>
        </w:rPr>
        <w:t xml:space="preserve"> et al., 2021].</w:t>
      </w:r>
    </w:p>
    <w:p w14:paraId="73085447" w14:textId="77777777" w:rsidR="004409F7" w:rsidRPr="004409F7" w:rsidRDefault="004409F7" w:rsidP="004409F7">
      <w:pPr>
        <w:rPr>
          <w:b/>
          <w:bCs/>
        </w:rPr>
      </w:pPr>
      <w:r w:rsidRPr="004409F7">
        <w:rPr>
          <w:b/>
          <w:bCs/>
        </w:rPr>
        <w:t>3.4 Derived and Composite Features</w:t>
      </w:r>
    </w:p>
    <w:p w14:paraId="219613B1" w14:textId="5E91F37C" w:rsidR="004409F7" w:rsidRPr="004409F7" w:rsidRDefault="004409F7" w:rsidP="004409F7">
      <w:pPr>
        <w:rPr>
          <w:b/>
          <w:bCs/>
        </w:rPr>
      </w:pPr>
      <w:r w:rsidRPr="004409F7">
        <w:rPr>
          <w:b/>
          <w:bCs/>
        </w:rPr>
        <w:t>Beyond raw measurements and their lags, five derived features were engineered to capture compound heat stress signals. The Rothfuss–</w:t>
      </w:r>
      <w:proofErr w:type="spellStart"/>
      <w:r w:rsidRPr="004409F7">
        <w:rPr>
          <w:b/>
          <w:bCs/>
        </w:rPr>
        <w:t>Terjung</w:t>
      </w:r>
      <w:proofErr w:type="spellEnd"/>
      <w:r w:rsidRPr="004409F7">
        <w:rPr>
          <w:b/>
          <w:bCs/>
        </w:rPr>
        <w:t xml:space="preserve"> heat index was computed from ambient temperature and relative humidity to represent the perceived temperature experienced by the body. The product of ambient temperature and relative humidity divided by 100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a</m:t>
            </m:r>
          </m:sub>
        </m:sSub>
        <m:r>
          <m:rPr>
            <m:sty m:val="bi"/>
          </m:rPr>
          <w:rPr>
            <w:rFonts w:ascii="Cambria Math" w:hAnsi="Cambria Math"/>
          </w:rPr>
          <m:t>×ϕ</m:t>
        </m:r>
        <m:r>
          <m:rPr>
            <m:sty m:val="b"/>
          </m:rPr>
          <w:rPr>
            <w:rFonts w:ascii="Cambria Math" w:hAnsi="Cambria Math"/>
          </w:rPr>
          <m:t>/</m:t>
        </m:r>
        <m:r>
          <m:rPr>
            <m:sty m:val="bi"/>
          </m:rPr>
          <w:rPr>
            <w:rFonts w:ascii="Cambria Math" w:hAnsi="Cambria Math"/>
          </w:rPr>
          <m:t>100</m:t>
        </m:r>
      </m:oMath>
      <w:r w:rsidRPr="004409F7">
        <w:rPr>
          <w:b/>
          <w:bCs/>
        </w:rPr>
        <w:t xml:space="preserve">) was included as an explicit non-linear interaction term capturing evaporative cooling suppression. These derived features collectively provide the XGBoost model with a richer representation of the heat stress environment than raw sensor readings alone. </w:t>
      </w:r>
    </w:p>
    <w:p w14:paraId="157E365C" w14:textId="77777777" w:rsidR="004409F7" w:rsidRPr="004409F7" w:rsidRDefault="004409F7" w:rsidP="004409F7">
      <w:pPr>
        <w:rPr>
          <w:b/>
          <w:bCs/>
        </w:rPr>
      </w:pPr>
      <w:r w:rsidRPr="004409F7">
        <w:rPr>
          <w:b/>
          <w:bCs/>
        </w:rPr>
        <w:t>The final feature matrix comprised 27 columns: 3 personal, 4 environmental (current), 4 environmental (lag), 3 work-related, 4 physiological (current and lag), 1 PHS-derived output, 5 derived composites, and 3 Phase 2 cluster-derived features (described in Section 3.5).</w:t>
      </w:r>
    </w:p>
    <w:p w14:paraId="25F81EB9" w14:textId="77777777" w:rsidR="004409F7" w:rsidRPr="004409F7" w:rsidRDefault="004409F7" w:rsidP="004409F7">
      <w:pPr>
        <w:rPr>
          <w:b/>
          <w:bCs/>
        </w:rPr>
      </w:pPr>
      <w:r w:rsidRPr="004409F7">
        <w:rPr>
          <w:b/>
          <w:bCs/>
        </w:rPr>
        <w:t>3.5 Worker Risk Profiling via K-Means Clustering</w:t>
      </w:r>
    </w:p>
    <w:p w14:paraId="3ABF54A2" w14:textId="77777777" w:rsidR="004409F7" w:rsidRPr="004409F7" w:rsidRDefault="004409F7" w:rsidP="004409F7">
      <w:pPr>
        <w:rPr>
          <w:b/>
          <w:bCs/>
        </w:rPr>
      </w:pPr>
      <w:r w:rsidRPr="004409F7">
        <w:rPr>
          <w:b/>
          <w:bCs/>
        </w:rPr>
        <w:t>3.5.1 Feature Selection for Clustering</w:t>
      </w:r>
    </w:p>
    <w:p w14:paraId="591E91E2" w14:textId="33657CF5" w:rsidR="004409F7" w:rsidRPr="004409F7" w:rsidRDefault="004409F7" w:rsidP="004409F7">
      <w:pPr>
        <w:rPr>
          <w:b/>
          <w:bCs/>
        </w:rPr>
      </w:pPr>
      <w:r w:rsidRPr="004409F7">
        <w:rPr>
          <w:b/>
          <w:bCs/>
        </w:rPr>
        <w:t xml:space="preserve">K-Means clustering was applied exclusively to stable worker-intrinsic features that characterise physiological vulnerability independently of transient environmental conditions. Six features were selected: age, BMI, acclimatisation days, metabolic rate, hydration level, and </w:t>
      </w:r>
      <m:oMath>
        <m:r>
          <m:rPr>
            <m:sty m:val="b"/>
          </m:rPr>
          <w:rPr>
            <w:rFonts w:ascii="Cambria Math" w:hAnsi="Cambria Math"/>
          </w:rPr>
          <m:t>Δ</m:t>
        </m:r>
      </m:oMath>
      <w:r w:rsidRPr="004409F7">
        <w:rPr>
          <w:b/>
          <w:bCs/>
        </w:rPr>
        <w:t>HR</w:t>
      </w:r>
      <m:oMath>
        <m:sSub>
          <m:sSubPr>
            <m:ctrlPr>
              <w:rPr>
                <w:rFonts w:ascii="Cambria Math" w:hAnsi="Cambria Math"/>
                <w:b/>
                <w:bCs/>
              </w:rPr>
            </m:ctrlPr>
          </m:sSubPr>
          <m:e/>
          <m:sub>
            <m:r>
              <m:rPr>
                <m:sty m:val="bi"/>
              </m:rPr>
              <w:rPr>
                <w:rFonts w:ascii="Cambria Math" w:hAnsi="Cambria Math"/>
              </w:rPr>
              <m:t>t-30</m:t>
            </m:r>
          </m:sub>
        </m:sSub>
      </m:oMath>
      <w:r w:rsidRPr="004409F7">
        <w:rPr>
          <w:b/>
          <w:bCs/>
        </w:rPr>
        <w:t>. The inclusion of the dynamic heart rate trajectory (</w:t>
      </w:r>
      <m:oMath>
        <m:r>
          <m:rPr>
            <m:sty m:val="b"/>
          </m:rPr>
          <w:rPr>
            <w:rFonts w:ascii="Cambria Math" w:hAnsi="Cambria Math"/>
          </w:rPr>
          <m:t>Δ</m:t>
        </m:r>
      </m:oMath>
      <w:r w:rsidRPr="004409F7">
        <w:rPr>
          <w:b/>
          <w:bCs/>
        </w:rPr>
        <w:t>HR</w:t>
      </w:r>
      <m:oMath>
        <m:sSub>
          <m:sSubPr>
            <m:ctrlPr>
              <w:rPr>
                <w:rFonts w:ascii="Cambria Math" w:hAnsi="Cambria Math"/>
                <w:b/>
                <w:bCs/>
              </w:rPr>
            </m:ctrlPr>
          </m:sSubPr>
          <m:e/>
          <m:sub>
            <m:r>
              <m:rPr>
                <m:sty m:val="bi"/>
              </m:rPr>
              <w:rPr>
                <w:rFonts w:ascii="Cambria Math" w:hAnsi="Cambria Math"/>
              </w:rPr>
              <m:t>t-30</m:t>
            </m:r>
          </m:sub>
        </m:sSub>
      </m:oMath>
      <w:r w:rsidRPr="004409F7">
        <w:rPr>
          <w:b/>
          <w:bCs/>
        </w:rPr>
        <w:t xml:space="preserve">) as a clustering feature, rather than a purely static biometric, was motivated by the Phase 1 dynamic lag upgrade: this quantity encodes a worker's cardiovascular response signature — an intrinsic physiological characteristic that </w:t>
      </w:r>
      <w:r w:rsidRPr="004409F7">
        <w:rPr>
          <w:b/>
          <w:bCs/>
        </w:rPr>
        <w:lastRenderedPageBreak/>
        <w:t>remains relatively stable across shifts for a given worker, even as its absolute magnitude varies with environmental load. Environmental variables (ambient temperature, humidity, solar radiation) were deliberately excluded from the clustering feature set to ensure that cluster as</w:t>
      </w:r>
      <w:proofErr w:type="spellStart"/>
      <w:r w:rsidRPr="004409F7">
        <w:rPr>
          <w:b/>
          <w:bCs/>
        </w:rPr>
        <w:t>signments</w:t>
      </w:r>
      <w:proofErr w:type="spellEnd"/>
      <w:r w:rsidRPr="004409F7">
        <w:rPr>
          <w:b/>
          <w:bCs/>
        </w:rPr>
        <w:t xml:space="preserve"> represent persistent worker profiles rather than situational snapshots. </w:t>
      </w:r>
    </w:p>
    <w:p w14:paraId="04CF6C70" w14:textId="77777777" w:rsidR="004409F7" w:rsidRPr="004409F7" w:rsidRDefault="004409F7" w:rsidP="004409F7">
      <w:pPr>
        <w:rPr>
          <w:b/>
          <w:bCs/>
        </w:rPr>
      </w:pPr>
      <w:r w:rsidRPr="004409F7">
        <w:rPr>
          <w:b/>
          <w:bCs/>
        </w:rPr>
        <w:t>3.5.2 Optimal Cluster Selection</w:t>
      </w:r>
    </w:p>
    <w:p w14:paraId="247FB64B" w14:textId="71FD448C" w:rsidR="004409F7" w:rsidRPr="004409F7" w:rsidRDefault="004409F7" w:rsidP="004409F7">
      <w:pPr>
        <w:rPr>
          <w:b/>
          <w:bCs/>
        </w:rPr>
      </w:pPr>
      <w:r w:rsidRPr="004409F7">
        <w:rPr>
          <w:b/>
          <w:bCs/>
        </w:rPr>
        <w:t>The optimal number of clusters was determined through simultaneous evaluation of four complementary metrics: within-cluster sum of squares (inertia) for elbow detection, Silhouette coefficient for within-cluster cohesion, Davies-Bouldin index for between-cluster separation, and Calinski-</w:t>
      </w:r>
      <w:proofErr w:type="spellStart"/>
      <w:r w:rsidRPr="004409F7">
        <w:rPr>
          <w:b/>
          <w:bCs/>
        </w:rPr>
        <w:t>Harabász</w:t>
      </w:r>
      <w:proofErr w:type="spellEnd"/>
      <w:r w:rsidRPr="004409F7">
        <w:rPr>
          <w:b/>
          <w:bCs/>
        </w:rPr>
        <w:t xml:space="preserve"> variance ratio criterion. A composite score was computed as a weighted combination of normalised metric values, with Silhouette coefficient receiving the highest weight (0.35) given its direct interpretability in terms of cluster quality. The analysis was conducted over the range </w:t>
      </w:r>
      <m:oMath>
        <m:r>
          <m:rPr>
            <m:sty m:val="bi"/>
          </m:rPr>
          <w:rPr>
            <w:rFonts w:ascii="Cambria Math" w:hAnsi="Cambria Math"/>
          </w:rPr>
          <m:t>k=2</m:t>
        </m:r>
      </m:oMath>
      <w:r w:rsidRPr="004409F7">
        <w:rPr>
          <w:b/>
          <w:bCs/>
        </w:rPr>
        <w:t xml:space="preserve">to </w:t>
      </w:r>
      <m:oMath>
        <m:r>
          <m:rPr>
            <m:sty m:val="bi"/>
          </m:rPr>
          <w:rPr>
            <w:rFonts w:ascii="Cambria Math" w:hAnsi="Cambria Math"/>
          </w:rPr>
          <m:t>k=9</m:t>
        </m:r>
      </m:oMath>
      <w:r w:rsidRPr="004409F7">
        <w:rPr>
          <w:b/>
          <w:bCs/>
        </w:rPr>
        <w:t xml:space="preserve">. While the automatic selector identified </w:t>
      </w:r>
      <m:oMath>
        <m:r>
          <m:rPr>
            <m:sty m:val="bi"/>
          </m:rPr>
          <w:rPr>
            <w:rFonts w:ascii="Cambria Math" w:hAnsi="Cambria Math"/>
          </w:rPr>
          <m:t>k=2</m:t>
        </m:r>
      </m:oMath>
      <w:r w:rsidRPr="004409F7">
        <w:rPr>
          <w:b/>
          <w:bCs/>
        </w:rPr>
        <w:t xml:space="preserve">as optimal under the composite criterion, the analysis is designed to support </w:t>
      </w:r>
      <m:oMath>
        <m:r>
          <m:rPr>
            <m:sty m:val="bi"/>
          </m:rPr>
          <w:rPr>
            <w:rFonts w:ascii="Cambria Math" w:hAnsi="Cambria Math"/>
          </w:rPr>
          <m:t>k=3</m:t>
        </m:r>
      </m:oMath>
      <w:r w:rsidRPr="004409F7">
        <w:rPr>
          <w:b/>
          <w:bCs/>
        </w:rPr>
        <w:t xml:space="preserve">or </w:t>
      </w:r>
      <m:oMath>
        <m:r>
          <m:rPr>
            <m:sty m:val="bi"/>
          </m:rPr>
          <w:rPr>
            <w:rFonts w:ascii="Cambria Math" w:hAnsi="Cambria Math"/>
          </w:rPr>
          <m:t>k=4</m:t>
        </m:r>
      </m:oMath>
      <w:r w:rsidRPr="004409F7">
        <w:rPr>
          <w:b/>
          <w:bCs/>
        </w:rPr>
        <w:t xml:space="preserve">to recover the full set of clinically interpretable personas. We adopt </w:t>
      </w:r>
      <m:oMath>
        <m:r>
          <m:rPr>
            <m:sty m:val="bi"/>
          </m:rPr>
          <w:rPr>
            <w:rFonts w:ascii="Cambria Math" w:hAnsi="Cambria Math"/>
          </w:rPr>
          <m:t>k=4</m:t>
        </m:r>
      </m:oMath>
      <w:r w:rsidRPr="004409F7">
        <w:rPr>
          <w:b/>
          <w:bCs/>
        </w:rPr>
        <w:t xml:space="preserve">for reporting purposes, yielding four worker archetypes: Acclimatised Veteran, Fit Young Worker, High-Exertion Risk, and High-BMI Novice, ranked in ascending order of vulnerability. </w:t>
      </w:r>
    </w:p>
    <w:p w14:paraId="52811829" w14:textId="77777777" w:rsidR="004409F7" w:rsidRPr="004409F7" w:rsidRDefault="004409F7" w:rsidP="004409F7">
      <w:pPr>
        <w:rPr>
          <w:b/>
          <w:bCs/>
        </w:rPr>
      </w:pPr>
      <w:r w:rsidRPr="004409F7">
        <w:rPr>
          <w:b/>
          <w:bCs/>
        </w:rPr>
        <w:t>3.5.3 Vulnerability Scoring and Adaptive Thresholds</w:t>
      </w:r>
    </w:p>
    <w:p w14:paraId="3D88D096" w14:textId="540D1C2C" w:rsidR="004409F7" w:rsidRPr="004409F7" w:rsidRDefault="004409F7" w:rsidP="004409F7">
      <w:pPr>
        <w:rPr>
          <w:b/>
          <w:bCs/>
        </w:rPr>
      </w:pPr>
      <w:r w:rsidRPr="004409F7">
        <w:rPr>
          <w:b/>
          <w:bCs/>
        </w:rPr>
        <w:t xml:space="preserve">A composite vulnerability score was computed for each worker as a weighted sum of standardised cluster features, with acclimatisation days carrying the largest negative weight (−0.35, representing a protective factor) and BMI carrying the largest positive weight (+0.30). A worker-specific adaptive alert multiplier was derived from this score using linear interpolation across the observed vulnerability range, mapping the most-resilient cluster (Acclimatised Veteran) to a multiplier of 1.15 and the most-vulnerable cluster (High-BMI Novice) to 0.80. At inference time, the alert fires when </w:t>
      </w:r>
      <m:oMath>
        <m:r>
          <m:rPr>
            <m:sty m:val="bi"/>
          </m:rPr>
          <w:rPr>
            <w:rFonts w:ascii="Cambria Math" w:hAnsi="Cambria Math"/>
          </w:rPr>
          <m:t>P(</m:t>
        </m:r>
        <m:r>
          <m:rPr>
            <m:nor/>
          </m:rPr>
          <w:rPr>
            <w:b/>
            <w:bCs/>
          </w:rPr>
          <m:t>High</m:t>
        </m:r>
        <m:r>
          <m:rPr>
            <m:sty m:val="bi"/>
          </m:rPr>
          <w:rPr>
            <w:rFonts w:ascii="Cambria Math" w:hAnsi="Cambria Math"/>
          </w:rPr>
          <m:t>)+P(</m:t>
        </m:r>
        <m:r>
          <m:rPr>
            <m:nor/>
          </m:rPr>
          <w:rPr>
            <w:b/>
            <w:bCs/>
          </w:rPr>
          <m:t>Critical</m:t>
        </m:r>
        <m:r>
          <m:rPr>
            <m:sty m:val="bi"/>
          </m:rPr>
          <w:rPr>
            <w:rFonts w:ascii="Cambria Math" w:hAnsi="Cambria Math"/>
          </w:rPr>
          <m:t>)≥0.50×m</m:t>
        </m:r>
      </m:oMath>
      <w:r w:rsidRPr="004409F7">
        <w:rPr>
          <w:b/>
          <w:bCs/>
        </w:rPr>
        <w:t xml:space="preserve">, where </w:t>
      </w:r>
      <m:oMath>
        <m:r>
          <m:rPr>
            <m:sty m:val="bi"/>
          </m:rPr>
          <w:rPr>
            <w:rFonts w:ascii="Cambria Math" w:hAnsi="Cambria Math"/>
          </w:rPr>
          <m:t>m</m:t>
        </m:r>
      </m:oMath>
      <w:r w:rsidRPr="004409F7">
        <w:rPr>
          <w:b/>
          <w:bCs/>
        </w:rPr>
        <w:t xml:space="preserve">is the worker's adaptive multiplier. This design means the High-BMI Novice cluster receives an alert at a probability threshold of 0.40, providing 10 additional probability-percentage-points of safety margin compared with a naive fixed-threshold system. </w:t>
      </w:r>
    </w:p>
    <w:p w14:paraId="44B6CF5A" w14:textId="77777777" w:rsidR="004409F7" w:rsidRPr="004409F7" w:rsidRDefault="004409F7" w:rsidP="004409F7">
      <w:pPr>
        <w:rPr>
          <w:b/>
          <w:bCs/>
        </w:rPr>
      </w:pPr>
      <w:r w:rsidRPr="004409F7">
        <w:rPr>
          <w:b/>
          <w:bCs/>
        </w:rPr>
        <w:t xml:space="preserve">3.6 </w:t>
      </w:r>
      <w:proofErr w:type="spellStart"/>
      <w:r w:rsidRPr="004409F7">
        <w:rPr>
          <w:b/>
          <w:bCs/>
        </w:rPr>
        <w:t>XGBoost</w:t>
      </w:r>
      <w:proofErr w:type="spellEnd"/>
      <w:r w:rsidRPr="004409F7">
        <w:rPr>
          <w:b/>
          <w:bCs/>
        </w:rPr>
        <w:t xml:space="preserve"> Model Training</w:t>
      </w:r>
    </w:p>
    <w:p w14:paraId="343D86C3" w14:textId="77777777" w:rsidR="004409F7" w:rsidRPr="004409F7" w:rsidRDefault="004409F7" w:rsidP="004409F7">
      <w:pPr>
        <w:rPr>
          <w:b/>
          <w:bCs/>
        </w:rPr>
      </w:pPr>
      <w:r w:rsidRPr="004409F7">
        <w:rPr>
          <w:b/>
          <w:bCs/>
        </w:rPr>
        <w:t>3.6.1 Data Partitioning</w:t>
      </w:r>
    </w:p>
    <w:p w14:paraId="3767C33A" w14:textId="77777777" w:rsidR="004409F7" w:rsidRPr="004409F7" w:rsidRDefault="004409F7" w:rsidP="004409F7">
      <w:pPr>
        <w:rPr>
          <w:b/>
          <w:bCs/>
        </w:rPr>
      </w:pPr>
      <w:r w:rsidRPr="004409F7">
        <w:rPr>
          <w:b/>
          <w:bCs/>
        </w:rPr>
        <w:t>The dataset was partitioned using a stratified two-step procedure to maintain class proportions across all splits. A held-out test set constituting 15% of the full dataset was first carved out and set aside for final unbiased evaluation. The remaining 85% was further divided into a training set (82.4% of remainder, yielding 70% of total) and a validation set (17.6% of remainder, yielding 15% of total). Stratification was enforced at each split using the risk class label as the stratification key.</w:t>
      </w:r>
    </w:p>
    <w:p w14:paraId="22B9607D" w14:textId="77777777" w:rsidR="004409F7" w:rsidRPr="004409F7" w:rsidRDefault="004409F7" w:rsidP="004409F7">
      <w:pPr>
        <w:rPr>
          <w:b/>
          <w:bCs/>
        </w:rPr>
      </w:pPr>
      <w:r w:rsidRPr="004409F7">
        <w:rPr>
          <w:b/>
          <w:bCs/>
        </w:rPr>
        <w:t>3.6.2 Class Imbalance Handling</w:t>
      </w:r>
    </w:p>
    <w:p w14:paraId="3CB75BC6" w14:textId="77777777" w:rsidR="004409F7" w:rsidRPr="004409F7" w:rsidRDefault="004409F7" w:rsidP="004409F7">
      <w:pPr>
        <w:rPr>
          <w:b/>
          <w:bCs/>
        </w:rPr>
      </w:pPr>
      <w:r w:rsidRPr="004409F7">
        <w:rPr>
          <w:b/>
          <w:bCs/>
        </w:rPr>
        <w:t>Given the pronounced class imbalance in the dataset (Critical class constituting approximately 74% of samples), the Synthetic Minority Oversampling Technique (SMOTE) was applied exclusively to the training set to generate synthetic minority-class examples through interpolation among k-nearest neighbours (k = 3). SMOTE was deliberately not applied to the validation or test sets, preserving these partitions as genuine representatives of the natural class distribution for honest performance estimation. Following SMOTE, all four risk classes were equalised to the majority class count within the training partition.</w:t>
      </w:r>
    </w:p>
    <w:p w14:paraId="614895E4" w14:textId="77777777" w:rsidR="004409F7" w:rsidRPr="004409F7" w:rsidRDefault="004409F7" w:rsidP="004409F7">
      <w:pPr>
        <w:rPr>
          <w:b/>
          <w:bCs/>
        </w:rPr>
      </w:pPr>
      <w:r w:rsidRPr="004409F7">
        <w:rPr>
          <w:b/>
          <w:bCs/>
        </w:rPr>
        <w:lastRenderedPageBreak/>
        <w:t>3.6.3 Hyperparameter Optimisation</w:t>
      </w:r>
    </w:p>
    <w:p w14:paraId="38AB394D" w14:textId="6EEBA596" w:rsidR="004409F7" w:rsidRPr="004409F7" w:rsidRDefault="004409F7" w:rsidP="004409F7">
      <w:pPr>
        <w:rPr>
          <w:b/>
          <w:bCs/>
        </w:rPr>
      </w:pPr>
      <w:r w:rsidRPr="004409F7">
        <w:rPr>
          <w:b/>
          <w:bCs/>
        </w:rPr>
        <w:t xml:space="preserve">Bayesian hyperparameter optimisation was conducted using the </w:t>
      </w:r>
      <w:proofErr w:type="spellStart"/>
      <w:r w:rsidRPr="004409F7">
        <w:rPr>
          <w:b/>
          <w:bCs/>
        </w:rPr>
        <w:t>Optuna</w:t>
      </w:r>
      <w:proofErr w:type="spellEnd"/>
      <w:r w:rsidRPr="004409F7">
        <w:rPr>
          <w:b/>
          <w:bCs/>
        </w:rPr>
        <w:t xml:space="preserve"> framework with Tree-structured Parzen Estimation (TPE) as the sampler and Median Pruner for early termination of unpromising trials. A total of 30 trials were evaluated. The objective function was defined as the macro-averaged F1 score on the validation set, subject to two hard safety constraints: recall for the High class must equal or exceed 0.75, and recall for the Critical class must equal or exceed 0.80. Any trial violating either constraint received an objective score of 0.0, effectively eliminating it from consideration regardless of its aggregate F1 performance. This dual-objective formulation — optimising F1 subject to minimum safety recall constraints — represents a clinically appropriate adaptation of standard hyperparameter search for safety-critical ML systems. The final selected hyperparameters included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estimators</m:t>
            </m:r>
          </m:sub>
        </m:sSub>
        <m:r>
          <m:rPr>
            <m:sty m:val="bi"/>
          </m:rPr>
          <w:rPr>
            <w:rFonts w:ascii="Cambria Math" w:hAnsi="Cambria Math"/>
          </w:rPr>
          <m:t>=596</m:t>
        </m:r>
      </m:oMath>
      <w:r w:rsidRPr="004409F7">
        <w:rPr>
          <w:b/>
          <w:bCs/>
        </w:rPr>
        <w:t xml:space="preserve">, </w:t>
      </w:r>
      <m:oMath>
        <m:r>
          <m:rPr>
            <m:sty m:val="bi"/>
          </m:rPr>
          <w:rPr>
            <w:rFonts w:ascii="Cambria Math" w:hAnsi="Cambria Math"/>
          </w:rPr>
          <m:t>max</m:t>
        </m:r>
        <m:r>
          <m:rPr>
            <m:sty m:val="b"/>
          </m:rPr>
          <w:rPr>
            <w:rFonts w:ascii="Cambria Math" w:hAnsi="Cambria Math"/>
          </w:rPr>
          <m:t>_</m:t>
        </m:r>
        <m:r>
          <m:rPr>
            <m:sty m:val="bi"/>
          </m:rPr>
          <w:rPr>
            <w:rFonts w:ascii="Cambria Math" w:hAnsi="Cambria Math"/>
          </w:rPr>
          <m:t>depth=3</m:t>
        </m:r>
      </m:oMath>
      <w:r w:rsidRPr="004409F7">
        <w:rPr>
          <w:b/>
          <w:bCs/>
        </w:rPr>
        <w:t xml:space="preserve">, </w:t>
      </w:r>
      <m:oMath>
        <m:r>
          <m:rPr>
            <m:sty m:val="bi"/>
          </m:rPr>
          <w:rPr>
            <w:rFonts w:ascii="Cambria Math" w:hAnsi="Cambria Math"/>
          </w:rPr>
          <m:t>learning</m:t>
        </m:r>
        <m:r>
          <m:rPr>
            <m:sty m:val="b"/>
          </m:rPr>
          <w:rPr>
            <w:rFonts w:ascii="Cambria Math" w:hAnsi="Cambria Math"/>
          </w:rPr>
          <m:t>_</m:t>
        </m:r>
        <m:r>
          <m:rPr>
            <m:sty m:val="bi"/>
          </m:rPr>
          <w:rPr>
            <w:rFonts w:ascii="Cambria Math" w:hAnsi="Cambria Math"/>
          </w:rPr>
          <m:t>rate=0.271</m:t>
        </m:r>
      </m:oMath>
      <w:r w:rsidRPr="004409F7">
        <w:rPr>
          <w:b/>
          <w:bCs/>
        </w:rPr>
        <w:t xml:space="preserve">, </w:t>
      </w:r>
      <m:oMath>
        <m:r>
          <m:rPr>
            <m:sty m:val="bi"/>
          </m:rPr>
          <w:rPr>
            <w:rFonts w:ascii="Cambria Math" w:hAnsi="Cambria Math"/>
          </w:rPr>
          <m:t>subsample=0.933</m:t>
        </m:r>
      </m:oMath>
      <w:r w:rsidRPr="004409F7">
        <w:rPr>
          <w:b/>
          <w:bCs/>
        </w:rPr>
        <w:t xml:space="preserve">, and </w:t>
      </w:r>
      <m:oMath>
        <m:r>
          <m:rPr>
            <m:sty m:val="bi"/>
          </m:rPr>
          <w:rPr>
            <w:rFonts w:ascii="Cambria Math" w:hAnsi="Cambria Math"/>
          </w:rPr>
          <m:t>colsample</m:t>
        </m:r>
        <m:r>
          <m:rPr>
            <m:sty m:val="b"/>
          </m:rPr>
          <w:rPr>
            <w:rFonts w:ascii="Cambria Math" w:hAnsi="Cambria Math"/>
          </w:rPr>
          <m:t>_</m:t>
        </m:r>
        <m:r>
          <m:rPr>
            <m:sty m:val="bi"/>
          </m:rPr>
          <w:rPr>
            <w:rFonts w:ascii="Cambria Math" w:hAnsi="Cambria Math"/>
          </w:rPr>
          <m:t>bytree=0.606</m:t>
        </m:r>
      </m:oMath>
      <w:r w:rsidRPr="004409F7">
        <w:rPr>
          <w:b/>
          <w:bCs/>
        </w:rPr>
        <w:t xml:space="preserve">. </w:t>
      </w:r>
    </w:p>
    <w:p w14:paraId="1BC200E9" w14:textId="77777777" w:rsidR="004409F7" w:rsidRPr="004409F7" w:rsidRDefault="004409F7" w:rsidP="004409F7">
      <w:pPr>
        <w:rPr>
          <w:b/>
          <w:bCs/>
        </w:rPr>
      </w:pPr>
      <w:r w:rsidRPr="004409F7">
        <w:rPr>
          <w:b/>
          <w:bCs/>
        </w:rPr>
        <w:t>3.6.4 Training and Early Stopping</w:t>
      </w:r>
    </w:p>
    <w:p w14:paraId="7CA9BE7C" w14:textId="77777777" w:rsidR="004409F7" w:rsidRPr="004409F7" w:rsidRDefault="004409F7" w:rsidP="004409F7">
      <w:pPr>
        <w:rPr>
          <w:b/>
          <w:bCs/>
        </w:rPr>
      </w:pPr>
      <w:r w:rsidRPr="004409F7">
        <w:rPr>
          <w:b/>
          <w:bCs/>
        </w:rPr>
        <w:t xml:space="preserve">The final model was trained using </w:t>
      </w:r>
      <w:proofErr w:type="spellStart"/>
      <w:r w:rsidRPr="004409F7">
        <w:rPr>
          <w:b/>
          <w:bCs/>
        </w:rPr>
        <w:t>XGBoost's</w:t>
      </w:r>
      <w:proofErr w:type="spellEnd"/>
      <w:r w:rsidRPr="004409F7">
        <w:rPr>
          <w:b/>
          <w:bCs/>
        </w:rPr>
        <w:t xml:space="preserve"> </w:t>
      </w:r>
      <w:proofErr w:type="spellStart"/>
      <w:proofErr w:type="gramStart"/>
      <w:r w:rsidRPr="004409F7">
        <w:rPr>
          <w:b/>
          <w:bCs/>
        </w:rPr>
        <w:t>multi:softprob</w:t>
      </w:r>
      <w:proofErr w:type="spellEnd"/>
      <w:proofErr w:type="gramEnd"/>
      <w:r w:rsidRPr="004409F7">
        <w:rPr>
          <w:b/>
          <w:bCs/>
        </w:rPr>
        <w:t xml:space="preserve"> objective, which outputs calibrated class probabilities. Early stopping with a patience of 50 boosting rounds was applied against validation log-loss to prevent overfitting. The histogram-based tree construction method (</w:t>
      </w:r>
      <w:proofErr w:type="spellStart"/>
      <w:r w:rsidRPr="004409F7">
        <w:rPr>
          <w:b/>
          <w:bCs/>
        </w:rPr>
        <w:t>tree_method</w:t>
      </w:r>
      <w:proofErr w:type="spellEnd"/>
      <w:r w:rsidRPr="004409F7">
        <w:rPr>
          <w:b/>
          <w:bCs/>
        </w:rPr>
        <w:t xml:space="preserve"> = hist) was used for computational efficiency. The multi-class log-loss and classification error were jointly monitored on both training and validation sets across all boosting rounds.</w:t>
      </w:r>
    </w:p>
    <w:p w14:paraId="16FDA511" w14:textId="77777777" w:rsidR="004409F7" w:rsidRPr="004409F7" w:rsidRDefault="004409F7" w:rsidP="004409F7">
      <w:pPr>
        <w:rPr>
          <w:b/>
          <w:bCs/>
        </w:rPr>
      </w:pPr>
      <w:r w:rsidRPr="004409F7">
        <w:rPr>
          <w:b/>
          <w:bCs/>
        </w:rPr>
        <w:t>3.6.5 Evaluation Metrics</w:t>
      </w:r>
    </w:p>
    <w:p w14:paraId="1BB24722" w14:textId="77777777" w:rsidR="004409F7" w:rsidRPr="004409F7" w:rsidRDefault="004409F7" w:rsidP="004409F7">
      <w:pPr>
        <w:rPr>
          <w:b/>
          <w:bCs/>
        </w:rPr>
      </w:pPr>
      <w:r w:rsidRPr="004409F7">
        <w:rPr>
          <w:b/>
          <w:bCs/>
        </w:rPr>
        <w:t>Evaluation was conducted on the held-out test set. Following established conventions in clinical and safety-critical AI evaluation [Obermeyer &amp; Emanuel, 2016], accuracy was explicitly not used as the primary metric. The evaluation hierarchy was: (</w:t>
      </w:r>
      <w:proofErr w:type="spellStart"/>
      <w:r w:rsidRPr="004409F7">
        <w:rPr>
          <w:b/>
          <w:bCs/>
        </w:rPr>
        <w:t>i</w:t>
      </w:r>
      <w:proofErr w:type="spellEnd"/>
      <w:r w:rsidRPr="004409F7">
        <w:rPr>
          <w:b/>
          <w:bCs/>
        </w:rPr>
        <w:t xml:space="preserve">) Sensitivity (Recall) for the High and Critical classes as the primary safety metrics, directly measuring the system's ability to avoid missed detections; (ii) macro-averaged F1 score as the primary aggregate metric, giving equal weight to minority and majority classes; (iii) macro-averaged ROC-AUC using one-vs-rest </w:t>
      </w:r>
      <w:proofErr w:type="spellStart"/>
      <w:r w:rsidRPr="004409F7">
        <w:rPr>
          <w:b/>
          <w:bCs/>
        </w:rPr>
        <w:t>binarisation</w:t>
      </w:r>
      <w:proofErr w:type="spellEnd"/>
      <w:r w:rsidRPr="004409F7">
        <w:rPr>
          <w:b/>
          <w:bCs/>
        </w:rPr>
        <w:t>, demonstrating threshold-independent discriminative ability; and (iv) accuracy reported for completeness but not used for model selection. Five-fold stratified cross-validation was additionally performed on the full training partition, with SMOTE applied within each fold to prevent data leakage.</w:t>
      </w:r>
    </w:p>
    <w:p w14:paraId="215FA18B" w14:textId="77777777" w:rsidR="004409F7" w:rsidRPr="004409F7" w:rsidRDefault="004409F7" w:rsidP="004409F7">
      <w:pPr>
        <w:rPr>
          <w:b/>
          <w:bCs/>
        </w:rPr>
      </w:pPr>
      <w:r w:rsidRPr="004409F7">
        <w:rPr>
          <w:b/>
          <w:bCs/>
        </w:rPr>
        <w:t>3.7 SHAP Explainability Analysis</w:t>
      </w:r>
    </w:p>
    <w:p w14:paraId="6CC52231" w14:textId="77777777" w:rsidR="004409F7" w:rsidRPr="004409F7" w:rsidRDefault="004409F7" w:rsidP="004409F7">
      <w:pPr>
        <w:rPr>
          <w:b/>
          <w:bCs/>
        </w:rPr>
      </w:pPr>
      <w:proofErr w:type="spellStart"/>
      <w:r w:rsidRPr="004409F7">
        <w:rPr>
          <w:b/>
          <w:bCs/>
        </w:rPr>
        <w:t>TreeExplainer</w:t>
      </w:r>
      <w:proofErr w:type="spellEnd"/>
      <w:r w:rsidRPr="004409F7">
        <w:rPr>
          <w:b/>
          <w:bCs/>
        </w:rPr>
        <w:t xml:space="preserve"> from the SHAP library was applied to the final trained model on the test partition to compute exact Shapley values for each prediction. Global feature importance was summarised as the mean absolute SHAP value averaged across all test instances and all four output classes. Per-class SHAP analysis was additionally performed to understand which features drive predictions for each individual risk level. Dependency plots were constructed for the three highest-importance features to visualise the functional relationship between feature value and SHAP contribution to the Critical class probability.</w:t>
      </w:r>
    </w:p>
    <w:p w14:paraId="61BDA3B1" w14:textId="77777777" w:rsidR="004409F7" w:rsidRPr="004409F7" w:rsidRDefault="004409F7" w:rsidP="004409F7">
      <w:pPr>
        <w:rPr>
          <w:b/>
          <w:bCs/>
        </w:rPr>
      </w:pPr>
      <w:r w:rsidRPr="004409F7">
        <w:rPr>
          <w:b/>
          <w:bCs/>
        </w:rPr>
        <w:t>3.8 Inference Pipeline and Deployment</w:t>
      </w:r>
    </w:p>
    <w:p w14:paraId="433D9ABD" w14:textId="77777777" w:rsidR="004409F7" w:rsidRPr="004409F7" w:rsidRDefault="004409F7" w:rsidP="004409F7">
      <w:pPr>
        <w:rPr>
          <w:b/>
          <w:bCs/>
        </w:rPr>
      </w:pPr>
      <w:r w:rsidRPr="004409F7">
        <w:rPr>
          <w:b/>
          <w:bCs/>
        </w:rPr>
        <w:t xml:space="preserve">The complete inference pipeline — including PHS feature </w:t>
      </w:r>
      <w:proofErr w:type="spellStart"/>
      <w:r w:rsidRPr="004409F7">
        <w:rPr>
          <w:b/>
          <w:bCs/>
        </w:rPr>
        <w:t>recomputation</w:t>
      </w:r>
      <w:proofErr w:type="spellEnd"/>
      <w:r w:rsidRPr="004409F7">
        <w:rPr>
          <w:b/>
          <w:bCs/>
        </w:rPr>
        <w:t xml:space="preserve">, K-Means cluster assignment, vulnerability scoring, 27-feature vector assembly, </w:t>
      </w:r>
      <w:proofErr w:type="spellStart"/>
      <w:r w:rsidRPr="004409F7">
        <w:rPr>
          <w:b/>
          <w:bCs/>
        </w:rPr>
        <w:t>XGBoost</w:t>
      </w:r>
      <w:proofErr w:type="spellEnd"/>
      <w:r w:rsidRPr="004409F7">
        <w:rPr>
          <w:b/>
          <w:bCs/>
        </w:rPr>
        <w:t xml:space="preserve"> prediction, and adaptive threshold evaluation — was packaged as a </w:t>
      </w:r>
      <w:proofErr w:type="spellStart"/>
      <w:r w:rsidRPr="004409F7">
        <w:rPr>
          <w:b/>
          <w:bCs/>
        </w:rPr>
        <w:t>FastAPI</w:t>
      </w:r>
      <w:proofErr w:type="spellEnd"/>
      <w:r w:rsidRPr="004409F7">
        <w:rPr>
          <w:b/>
          <w:bCs/>
        </w:rPr>
        <w:t xml:space="preserve"> REST service. The model was additionally exported to ONNX format for on-device inference via ONNX Runtime for React Native, enabling </w:t>
      </w:r>
      <w:r w:rsidRPr="004409F7">
        <w:rPr>
          <w:b/>
          <w:bCs/>
        </w:rPr>
        <w:lastRenderedPageBreak/>
        <w:t>offline operation independent of network connectivity. An interactive browser-based smartphone prototype was developed to demonstrate the full alert workflow across four pre-defined clinical scenarios. A 14-check automated deployment validation suite confirmed model integrity, artefact completeness, inference speed, and end-to-end prediction correctness prior to release.</w:t>
      </w:r>
    </w:p>
    <w:p w14:paraId="2D660B8B" w14:textId="77777777" w:rsidR="004409F7" w:rsidRPr="004409F7" w:rsidRDefault="004409F7" w:rsidP="004409F7">
      <w:pPr>
        <w:rPr>
          <w:b/>
          <w:bCs/>
        </w:rPr>
      </w:pPr>
      <w:r w:rsidRPr="004409F7">
        <w:rPr>
          <w:b/>
          <w:bCs/>
        </w:rPr>
        <w:pict w14:anchorId="145ED2B2">
          <v:rect id="_x0000_i1055" style="width:0;height:1.5pt" o:hralign="center" o:hrstd="t" o:hr="t" fillcolor="#a0a0a0" stroked="f"/>
        </w:pict>
      </w:r>
    </w:p>
    <w:p w14:paraId="3ED5A6E4" w14:textId="77777777" w:rsidR="004409F7" w:rsidRPr="004409F7" w:rsidRDefault="004409F7" w:rsidP="004409F7">
      <w:pPr>
        <w:rPr>
          <w:b/>
          <w:bCs/>
        </w:rPr>
      </w:pPr>
      <w:r w:rsidRPr="004409F7">
        <w:rPr>
          <w:b/>
          <w:bCs/>
        </w:rPr>
        <w:pict w14:anchorId="14C5A160">
          <v:rect id="_x0000_i1056" style="width:0;height:1.5pt" o:hralign="center" o:hrstd="t" o:hr="t" fillcolor="#a0a0a0" stroked="f"/>
        </w:pict>
      </w:r>
    </w:p>
    <w:p w14:paraId="2570590A" w14:textId="77777777" w:rsidR="004409F7" w:rsidRPr="004409F7" w:rsidRDefault="004409F7" w:rsidP="004409F7">
      <w:pPr>
        <w:rPr>
          <w:b/>
          <w:bCs/>
        </w:rPr>
      </w:pPr>
      <w:r w:rsidRPr="004409F7">
        <w:rPr>
          <w:b/>
          <w:bCs/>
        </w:rPr>
        <w:t>RESULTS AND DISCUSSION</w:t>
      </w:r>
    </w:p>
    <w:p w14:paraId="621490CC" w14:textId="77777777" w:rsidR="004409F7" w:rsidRPr="004409F7" w:rsidRDefault="004409F7" w:rsidP="004409F7">
      <w:pPr>
        <w:rPr>
          <w:b/>
          <w:bCs/>
        </w:rPr>
      </w:pPr>
      <w:r w:rsidRPr="004409F7">
        <w:rPr>
          <w:b/>
          <w:bCs/>
        </w:rPr>
        <w:t>4.1 Dataset Characteristics</w:t>
      </w:r>
    </w:p>
    <w:p w14:paraId="4A03DCD7" w14:textId="4C79A5CB" w:rsidR="004409F7" w:rsidRPr="004409F7" w:rsidRDefault="004409F7" w:rsidP="004409F7">
      <w:pPr>
        <w:rPr>
          <w:b/>
          <w:bCs/>
        </w:rPr>
      </w:pPr>
      <w:r w:rsidRPr="004409F7">
        <w:rPr>
          <w:b/>
          <w:bCs/>
        </w:rPr>
        <w:t xml:space="preserve">The final synthetic dataset comprised 5,647 worker records across 27 features, with the class distribution strongly weighted toward high-stress conditions: Low risk 7.1%, Moderate 7.3%, High 11.8%, and Critical 73.8%. This distributional structure is consistent with the design intent of simulating outdoor work conditions during peak Indian summer heat (ambient temperature range 28–48°C), under which the ISO 7933 equations produce predominantly critical-range </w:t>
      </w:r>
      <m:oMath>
        <m:sSub>
          <m:sSubPr>
            <m:ctrlPr>
              <w:rPr>
                <w:rFonts w:ascii="Cambria Math" w:hAnsi="Cambria Math"/>
                <w:b/>
                <w:bCs/>
              </w:rPr>
            </m:ctrlPr>
          </m:sSubPr>
          <m:e>
            <m:r>
              <m:rPr>
                <m:sty m:val="bi"/>
              </m:rPr>
              <w:rPr>
                <w:rFonts w:ascii="Cambria Math" w:hAnsi="Cambria Math"/>
              </w:rPr>
              <m:t>T</m:t>
            </m:r>
          </m:e>
          <m:sub>
            <m:r>
              <m:rPr>
                <m:sty m:val="bi"/>
              </m:rPr>
              <w:rPr>
                <w:rFonts w:ascii="Cambria Math" w:hAnsi="Cambria Math"/>
              </w:rPr>
              <m:t>re</m:t>
            </m:r>
          </m:sub>
        </m:sSub>
      </m:oMath>
      <w:r w:rsidRPr="004409F7">
        <w:rPr>
          <w:b/>
          <w:bCs/>
        </w:rPr>
        <w:t xml:space="preserve">values. The deliberate over-representation of high-severity cases reflects a safety-first modelling philosophy: in an occupational health context, false negatives (missed heatstroke events) carry consequences that are categorically more severe than false positives (unnecessary rest breaks). The synthetic generation pipeline and all associated coefficients are publicly released to support reproducibility and future adaptation to alternative climate regions. </w:t>
      </w:r>
    </w:p>
    <w:p w14:paraId="113C122E" w14:textId="77777777" w:rsidR="004409F7" w:rsidRPr="004409F7" w:rsidRDefault="004409F7" w:rsidP="004409F7">
      <w:pPr>
        <w:rPr>
          <w:b/>
          <w:bCs/>
        </w:rPr>
      </w:pPr>
      <w:r w:rsidRPr="004409F7">
        <w:rPr>
          <w:b/>
          <w:bCs/>
        </w:rPr>
        <w:t>4.2 Worker Risk Profiling</w:t>
      </w:r>
    </w:p>
    <w:p w14:paraId="48921BAB" w14:textId="3F7FEF44" w:rsidR="004409F7" w:rsidRPr="004409F7" w:rsidRDefault="004409F7" w:rsidP="004409F7">
      <w:pPr>
        <w:rPr>
          <w:b/>
          <w:bCs/>
        </w:rPr>
      </w:pPr>
      <w:r w:rsidRPr="004409F7">
        <w:rPr>
          <w:b/>
          <w:bCs/>
        </w:rPr>
        <w:t>K-Means clustering on the six worker-intrinsic features yielded four clearly interpretable personas. The Acclimatised Veteran cluster was characterised by high mean acclimatisation (41.3 days), low BMI, and minimal HR trajectory (</w:t>
      </w:r>
      <m:oMath>
        <m:r>
          <m:rPr>
            <m:sty m:val="b"/>
          </m:rPr>
          <w:rPr>
            <w:rFonts w:ascii="Cambria Math" w:hAnsi="Cambria Math"/>
          </w:rPr>
          <m:t>Δ</m:t>
        </m:r>
      </m:oMath>
      <w:r w:rsidRPr="004409F7">
        <w:rPr>
          <w:b/>
          <w:bCs/>
        </w:rPr>
        <w:t>HR</w:t>
      </w:r>
      <m:oMath>
        <m:sSub>
          <m:sSubPr>
            <m:ctrlPr>
              <w:rPr>
                <w:rFonts w:ascii="Cambria Math" w:hAnsi="Cambria Math"/>
                <w:b/>
                <w:bCs/>
              </w:rPr>
            </m:ctrlPr>
          </m:sSubPr>
          <m:e/>
          <m:sub>
            <m:r>
              <m:rPr>
                <m:sty m:val="bi"/>
              </m:rPr>
              <w:rPr>
                <w:rFonts w:ascii="Cambria Math" w:hAnsi="Cambria Math"/>
              </w:rPr>
              <m:t>t-30</m:t>
            </m:r>
          </m:sub>
        </m:sSub>
      </m:oMath>
      <w:r w:rsidRPr="004409F7">
        <w:rPr>
          <w:b/>
          <w:bCs/>
        </w:rPr>
        <w:t xml:space="preserve"> mean = 1.33 bpm), reflecting a physiologically adapted workforce with high heat tolerance. The High-BMI Novice cluster — the most vulnerable group — exhibited low acclimatisation (mean 21.3 days), elevated metabolic rates (mean 275.7 W), low hydration levels (mean 2.55 on the 1–5 ordinal scale), and a markedly elevated HR trajectory (</w:t>
      </w:r>
      <m:oMath>
        <m:r>
          <m:rPr>
            <m:sty m:val="b"/>
          </m:rPr>
          <w:rPr>
            <w:rFonts w:ascii="Cambria Math" w:hAnsi="Cambria Math"/>
          </w:rPr>
          <m:t>Δ</m:t>
        </m:r>
      </m:oMath>
      <w:r w:rsidRPr="004409F7">
        <w:rPr>
          <w:b/>
          <w:bCs/>
        </w:rPr>
        <w:t>HR</w:t>
      </w:r>
      <m:oMath>
        <m:sSub>
          <m:sSubPr>
            <m:ctrlPr>
              <w:rPr>
                <w:rFonts w:ascii="Cambria Math" w:hAnsi="Cambria Math"/>
                <w:b/>
                <w:bCs/>
              </w:rPr>
            </m:ctrlPr>
          </m:sSubPr>
          <m:e/>
          <m:sub>
            <m:r>
              <m:rPr>
                <m:sty m:val="bi"/>
              </m:rPr>
              <w:rPr>
                <w:rFonts w:ascii="Cambria Math" w:hAnsi="Cambria Math"/>
              </w:rPr>
              <m:t>t-30</m:t>
            </m:r>
          </m:sub>
        </m:sSub>
      </m:oMath>
      <w:r w:rsidRPr="004409F7">
        <w:rPr>
          <w:b/>
          <w:bCs/>
        </w:rPr>
        <w:t xml:space="preserve"> mean = 5.58 bpm), indicating active cardiovascular heat loading. Risk class distributions within clusters validated the profiling quality: the Acclimatised Veteran cluster contained 19.2% Low-risk and 24.5% Critical-risk workers, compared with 0.0% Low and 82.9% Critical in the High-BMI Novice cluster. </w:t>
      </w:r>
    </w:p>
    <w:p w14:paraId="283C485D" w14:textId="77777777" w:rsidR="004409F7" w:rsidRPr="004409F7" w:rsidRDefault="004409F7" w:rsidP="004409F7">
      <w:pPr>
        <w:rPr>
          <w:b/>
          <w:bCs/>
        </w:rPr>
      </w:pPr>
      <w:r w:rsidRPr="004409F7">
        <w:rPr>
          <w:b/>
          <w:bCs/>
        </w:rPr>
        <w:t>The Silhouette coefficient of approximately 0.16 confirms that cluster boundaries are soft rather than sharply defined, reflecting genuine physiological overlap across the worker population rather than an algorithmic failure. This is expected given the continuous and correlated nature of physiological variables. Importantly, soft cluster boundaries do not undermine the utility of cluster assignment for personalisation: even modest differentiation in vulnerability scores translates into measurable differences in alert timing. The adaptive multiplier range of 0.80 to 1.15 means that a High-BMI Novice worker receives an alert at a probability threshold of 0.40, while an Acclimatised Veteran's threshold sits at 0.575 — a clinically meaningful 43% relative shift in alert sensitivity.</w:t>
      </w:r>
    </w:p>
    <w:p w14:paraId="2BB0D813" w14:textId="77777777" w:rsidR="004409F7" w:rsidRPr="004409F7" w:rsidRDefault="004409F7" w:rsidP="004409F7">
      <w:pPr>
        <w:rPr>
          <w:b/>
          <w:bCs/>
        </w:rPr>
      </w:pPr>
      <w:r w:rsidRPr="004409F7">
        <w:rPr>
          <w:b/>
          <w:bCs/>
        </w:rPr>
        <w:t xml:space="preserve">Critically, </w:t>
      </w:r>
      <w:proofErr w:type="spellStart"/>
      <w:r w:rsidRPr="004409F7">
        <w:rPr>
          <w:b/>
          <w:bCs/>
        </w:rPr>
        <w:t>cluster_id</w:t>
      </w:r>
      <w:proofErr w:type="spellEnd"/>
      <w:r w:rsidRPr="004409F7">
        <w:rPr>
          <w:b/>
          <w:bCs/>
        </w:rPr>
        <w:t xml:space="preserve"> emerged as the third most influential feature in global SHAP analysis (mean |SHAP| = 0.2508), demonstrating that the Phase 2 clustering stage made a statistically measurable contribution to model performance beyond the information already encoded in the raw personal biometric features.</w:t>
      </w:r>
    </w:p>
    <w:p w14:paraId="3A5E24E6" w14:textId="77777777" w:rsidR="004409F7" w:rsidRPr="004409F7" w:rsidRDefault="004409F7" w:rsidP="004409F7">
      <w:pPr>
        <w:rPr>
          <w:b/>
          <w:bCs/>
        </w:rPr>
      </w:pPr>
      <w:r w:rsidRPr="004409F7">
        <w:rPr>
          <w:b/>
          <w:bCs/>
        </w:rPr>
        <w:t>4.3 Model Performance</w:t>
      </w:r>
    </w:p>
    <w:p w14:paraId="48BA56C8" w14:textId="77777777" w:rsidR="004409F7" w:rsidRPr="004409F7" w:rsidRDefault="004409F7" w:rsidP="004409F7">
      <w:pPr>
        <w:rPr>
          <w:b/>
          <w:bCs/>
        </w:rPr>
      </w:pPr>
      <w:r w:rsidRPr="004409F7">
        <w:rPr>
          <w:b/>
          <w:bCs/>
        </w:rPr>
        <w:lastRenderedPageBreak/>
        <w:t>4.3.1 Test Set Results</w:t>
      </w:r>
    </w:p>
    <w:p w14:paraId="2FA01E95" w14:textId="77777777" w:rsidR="004409F7" w:rsidRPr="004409F7" w:rsidRDefault="004409F7" w:rsidP="004409F7">
      <w:pPr>
        <w:rPr>
          <w:b/>
          <w:bCs/>
        </w:rPr>
      </w:pPr>
      <w:r w:rsidRPr="004409F7">
        <w:rPr>
          <w:b/>
          <w:bCs/>
        </w:rPr>
        <w:t xml:space="preserve">Table 1 summarises the test set evaluation results for the final </w:t>
      </w:r>
      <w:proofErr w:type="spellStart"/>
      <w:r w:rsidRPr="004409F7">
        <w:rPr>
          <w:b/>
          <w:bCs/>
        </w:rPr>
        <w:t>XGBoost</w:t>
      </w:r>
      <w:proofErr w:type="spellEnd"/>
      <w:r w:rsidRPr="004409F7">
        <w:rPr>
          <w:b/>
          <w:bCs/>
        </w:rPr>
        <w:t xml:space="preserve"> model on the held-out 15% partition (n = 847 workers).</w:t>
      </w:r>
    </w:p>
    <w:p w14:paraId="2CC2117F" w14:textId="77777777" w:rsidR="004409F7" w:rsidRPr="004409F7" w:rsidRDefault="004409F7" w:rsidP="004409F7">
      <w:pPr>
        <w:rPr>
          <w:b/>
          <w:bCs/>
        </w:rPr>
      </w:pPr>
      <w:r w:rsidRPr="004409F7">
        <w:rPr>
          <w:b/>
          <w:bCs/>
        </w:rPr>
        <w:t>Table 1. Test Set Performance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0"/>
        <w:gridCol w:w="2033"/>
      </w:tblGrid>
      <w:tr w:rsidR="004409F7" w:rsidRPr="004409F7" w14:paraId="7E2308C0" w14:textId="77777777">
        <w:trPr>
          <w:tblHeader/>
          <w:tblCellSpacing w:w="15" w:type="dxa"/>
        </w:trPr>
        <w:tc>
          <w:tcPr>
            <w:tcW w:w="0" w:type="auto"/>
            <w:vAlign w:val="center"/>
            <w:hideMark/>
          </w:tcPr>
          <w:p w14:paraId="2C260709" w14:textId="77777777" w:rsidR="004409F7" w:rsidRPr="004409F7" w:rsidRDefault="004409F7" w:rsidP="004409F7">
            <w:pPr>
              <w:rPr>
                <w:b/>
                <w:bCs/>
              </w:rPr>
            </w:pPr>
            <w:r w:rsidRPr="004409F7">
              <w:rPr>
                <w:b/>
                <w:bCs/>
              </w:rPr>
              <w:t>Metric</w:t>
            </w:r>
          </w:p>
        </w:tc>
        <w:tc>
          <w:tcPr>
            <w:tcW w:w="0" w:type="auto"/>
            <w:vAlign w:val="center"/>
            <w:hideMark/>
          </w:tcPr>
          <w:p w14:paraId="49E8AC33" w14:textId="77777777" w:rsidR="004409F7" w:rsidRPr="004409F7" w:rsidRDefault="004409F7" w:rsidP="004409F7">
            <w:pPr>
              <w:rPr>
                <w:b/>
                <w:bCs/>
              </w:rPr>
            </w:pPr>
            <w:r w:rsidRPr="004409F7">
              <w:rPr>
                <w:b/>
                <w:bCs/>
              </w:rPr>
              <w:t>Value</w:t>
            </w:r>
          </w:p>
        </w:tc>
      </w:tr>
      <w:tr w:rsidR="004409F7" w:rsidRPr="004409F7" w14:paraId="5D31761B" w14:textId="77777777">
        <w:trPr>
          <w:tblCellSpacing w:w="15" w:type="dxa"/>
        </w:trPr>
        <w:tc>
          <w:tcPr>
            <w:tcW w:w="0" w:type="auto"/>
            <w:vAlign w:val="center"/>
            <w:hideMark/>
          </w:tcPr>
          <w:p w14:paraId="2113A0FE" w14:textId="77777777" w:rsidR="004409F7" w:rsidRPr="004409F7" w:rsidRDefault="004409F7" w:rsidP="004409F7">
            <w:pPr>
              <w:rPr>
                <w:b/>
                <w:bCs/>
              </w:rPr>
            </w:pPr>
            <w:r w:rsidRPr="004409F7">
              <w:rPr>
                <w:b/>
                <w:bCs/>
              </w:rPr>
              <w:t>F1-macro</w:t>
            </w:r>
          </w:p>
        </w:tc>
        <w:tc>
          <w:tcPr>
            <w:tcW w:w="0" w:type="auto"/>
            <w:vAlign w:val="center"/>
            <w:hideMark/>
          </w:tcPr>
          <w:p w14:paraId="0913F1D7" w14:textId="77777777" w:rsidR="004409F7" w:rsidRPr="004409F7" w:rsidRDefault="004409F7" w:rsidP="004409F7">
            <w:pPr>
              <w:rPr>
                <w:b/>
                <w:bCs/>
              </w:rPr>
            </w:pPr>
            <w:r w:rsidRPr="004409F7">
              <w:rPr>
                <w:b/>
                <w:bCs/>
              </w:rPr>
              <w:t>0.9561</w:t>
            </w:r>
          </w:p>
        </w:tc>
      </w:tr>
      <w:tr w:rsidR="004409F7" w:rsidRPr="004409F7" w14:paraId="4051A7D2" w14:textId="77777777">
        <w:trPr>
          <w:tblCellSpacing w:w="15" w:type="dxa"/>
        </w:trPr>
        <w:tc>
          <w:tcPr>
            <w:tcW w:w="0" w:type="auto"/>
            <w:vAlign w:val="center"/>
            <w:hideMark/>
          </w:tcPr>
          <w:p w14:paraId="4D8CE211" w14:textId="77777777" w:rsidR="004409F7" w:rsidRPr="004409F7" w:rsidRDefault="004409F7" w:rsidP="004409F7">
            <w:pPr>
              <w:rPr>
                <w:b/>
                <w:bCs/>
              </w:rPr>
            </w:pPr>
            <w:r w:rsidRPr="004409F7">
              <w:rPr>
                <w:b/>
                <w:bCs/>
              </w:rPr>
              <w:t xml:space="preserve">ROC-AUC (macro, </w:t>
            </w:r>
            <w:proofErr w:type="spellStart"/>
            <w:r w:rsidRPr="004409F7">
              <w:rPr>
                <w:b/>
                <w:bCs/>
              </w:rPr>
              <w:t>OvR</w:t>
            </w:r>
            <w:proofErr w:type="spellEnd"/>
            <w:r w:rsidRPr="004409F7">
              <w:rPr>
                <w:b/>
                <w:bCs/>
              </w:rPr>
              <w:t>)</w:t>
            </w:r>
          </w:p>
        </w:tc>
        <w:tc>
          <w:tcPr>
            <w:tcW w:w="0" w:type="auto"/>
            <w:vAlign w:val="center"/>
            <w:hideMark/>
          </w:tcPr>
          <w:p w14:paraId="30C99479" w14:textId="77777777" w:rsidR="004409F7" w:rsidRPr="004409F7" w:rsidRDefault="004409F7" w:rsidP="004409F7">
            <w:pPr>
              <w:rPr>
                <w:b/>
                <w:bCs/>
              </w:rPr>
            </w:pPr>
            <w:r w:rsidRPr="004409F7">
              <w:rPr>
                <w:b/>
                <w:bCs/>
              </w:rPr>
              <w:t>0.9984</w:t>
            </w:r>
          </w:p>
        </w:tc>
      </w:tr>
      <w:tr w:rsidR="004409F7" w:rsidRPr="004409F7" w14:paraId="7B5D19B2" w14:textId="77777777">
        <w:trPr>
          <w:tblCellSpacing w:w="15" w:type="dxa"/>
        </w:trPr>
        <w:tc>
          <w:tcPr>
            <w:tcW w:w="0" w:type="auto"/>
            <w:vAlign w:val="center"/>
            <w:hideMark/>
          </w:tcPr>
          <w:p w14:paraId="179FF02B" w14:textId="77777777" w:rsidR="004409F7" w:rsidRPr="004409F7" w:rsidRDefault="004409F7" w:rsidP="004409F7">
            <w:pPr>
              <w:rPr>
                <w:b/>
                <w:bCs/>
              </w:rPr>
            </w:pPr>
            <w:r w:rsidRPr="004409F7">
              <w:rPr>
                <w:b/>
                <w:bCs/>
              </w:rPr>
              <w:t>Accuracy</w:t>
            </w:r>
          </w:p>
        </w:tc>
        <w:tc>
          <w:tcPr>
            <w:tcW w:w="0" w:type="auto"/>
            <w:vAlign w:val="center"/>
            <w:hideMark/>
          </w:tcPr>
          <w:p w14:paraId="6DCD6308" w14:textId="77777777" w:rsidR="004409F7" w:rsidRPr="004409F7" w:rsidRDefault="004409F7" w:rsidP="004409F7">
            <w:pPr>
              <w:rPr>
                <w:b/>
                <w:bCs/>
              </w:rPr>
            </w:pPr>
            <w:r w:rsidRPr="004409F7">
              <w:rPr>
                <w:b/>
                <w:bCs/>
              </w:rPr>
              <w:t>0.9750 (not headline)</w:t>
            </w:r>
          </w:p>
        </w:tc>
      </w:tr>
    </w:tbl>
    <w:p w14:paraId="3DAFC22B" w14:textId="77777777" w:rsidR="004409F7" w:rsidRPr="004409F7" w:rsidRDefault="004409F7" w:rsidP="004409F7">
      <w:pPr>
        <w:rPr>
          <w:b/>
          <w:bCs/>
        </w:rPr>
      </w:pPr>
      <w:r w:rsidRPr="004409F7">
        <w:rPr>
          <w:b/>
          <w:bCs/>
        </w:rPr>
        <w:t>Table 2. Per-Class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9"/>
        <w:gridCol w:w="1728"/>
        <w:gridCol w:w="840"/>
        <w:gridCol w:w="904"/>
        <w:gridCol w:w="888"/>
        <w:gridCol w:w="806"/>
      </w:tblGrid>
      <w:tr w:rsidR="004409F7" w:rsidRPr="004409F7" w14:paraId="4A820A77" w14:textId="77777777">
        <w:trPr>
          <w:tblHeader/>
          <w:tblCellSpacing w:w="15" w:type="dxa"/>
        </w:trPr>
        <w:tc>
          <w:tcPr>
            <w:tcW w:w="0" w:type="auto"/>
            <w:vAlign w:val="center"/>
            <w:hideMark/>
          </w:tcPr>
          <w:p w14:paraId="1AB8B2E1" w14:textId="77777777" w:rsidR="004409F7" w:rsidRPr="004409F7" w:rsidRDefault="004409F7" w:rsidP="004409F7">
            <w:pPr>
              <w:rPr>
                <w:b/>
                <w:bCs/>
              </w:rPr>
            </w:pPr>
            <w:r w:rsidRPr="004409F7">
              <w:rPr>
                <w:b/>
                <w:bCs/>
              </w:rPr>
              <w:t>Risk Class</w:t>
            </w:r>
          </w:p>
        </w:tc>
        <w:tc>
          <w:tcPr>
            <w:tcW w:w="0" w:type="auto"/>
            <w:vAlign w:val="center"/>
            <w:hideMark/>
          </w:tcPr>
          <w:p w14:paraId="3AB3319D" w14:textId="77777777" w:rsidR="004409F7" w:rsidRPr="004409F7" w:rsidRDefault="004409F7" w:rsidP="004409F7">
            <w:pPr>
              <w:rPr>
                <w:b/>
                <w:bCs/>
              </w:rPr>
            </w:pPr>
            <w:r w:rsidRPr="004409F7">
              <w:rPr>
                <w:b/>
                <w:bCs/>
              </w:rPr>
              <w:t>Sensitivity (Recall)</w:t>
            </w:r>
          </w:p>
        </w:tc>
        <w:tc>
          <w:tcPr>
            <w:tcW w:w="0" w:type="auto"/>
            <w:vAlign w:val="center"/>
            <w:hideMark/>
          </w:tcPr>
          <w:p w14:paraId="07831FA4" w14:textId="77777777" w:rsidR="004409F7" w:rsidRPr="004409F7" w:rsidRDefault="004409F7" w:rsidP="004409F7">
            <w:pPr>
              <w:rPr>
                <w:b/>
                <w:bCs/>
              </w:rPr>
            </w:pPr>
            <w:r w:rsidRPr="004409F7">
              <w:rPr>
                <w:b/>
                <w:bCs/>
              </w:rPr>
              <w:t>F1-Score</w:t>
            </w:r>
          </w:p>
        </w:tc>
        <w:tc>
          <w:tcPr>
            <w:tcW w:w="0" w:type="auto"/>
            <w:vAlign w:val="center"/>
            <w:hideMark/>
          </w:tcPr>
          <w:p w14:paraId="4C61949E" w14:textId="77777777" w:rsidR="004409F7" w:rsidRPr="004409F7" w:rsidRDefault="004409F7" w:rsidP="004409F7">
            <w:pPr>
              <w:rPr>
                <w:b/>
                <w:bCs/>
              </w:rPr>
            </w:pPr>
            <w:r w:rsidRPr="004409F7">
              <w:rPr>
                <w:b/>
                <w:bCs/>
              </w:rPr>
              <w:t>ROC-AUC</w:t>
            </w:r>
          </w:p>
        </w:tc>
        <w:tc>
          <w:tcPr>
            <w:tcW w:w="0" w:type="auto"/>
            <w:vAlign w:val="center"/>
            <w:hideMark/>
          </w:tcPr>
          <w:p w14:paraId="568F5A86" w14:textId="77777777" w:rsidR="004409F7" w:rsidRPr="004409F7" w:rsidRDefault="004409F7" w:rsidP="004409F7">
            <w:pPr>
              <w:rPr>
                <w:b/>
                <w:bCs/>
              </w:rPr>
            </w:pPr>
            <w:r w:rsidRPr="004409F7">
              <w:rPr>
                <w:b/>
                <w:bCs/>
              </w:rPr>
              <w:t>Precision</w:t>
            </w:r>
          </w:p>
        </w:tc>
        <w:tc>
          <w:tcPr>
            <w:tcW w:w="0" w:type="auto"/>
            <w:vAlign w:val="center"/>
            <w:hideMark/>
          </w:tcPr>
          <w:p w14:paraId="54909A73" w14:textId="77777777" w:rsidR="004409F7" w:rsidRPr="004409F7" w:rsidRDefault="004409F7" w:rsidP="004409F7">
            <w:pPr>
              <w:rPr>
                <w:b/>
                <w:bCs/>
              </w:rPr>
            </w:pPr>
            <w:r w:rsidRPr="004409F7">
              <w:rPr>
                <w:b/>
                <w:bCs/>
              </w:rPr>
              <w:t>Support</w:t>
            </w:r>
          </w:p>
        </w:tc>
      </w:tr>
      <w:tr w:rsidR="004409F7" w:rsidRPr="004409F7" w14:paraId="62356204" w14:textId="77777777">
        <w:trPr>
          <w:tblCellSpacing w:w="15" w:type="dxa"/>
        </w:trPr>
        <w:tc>
          <w:tcPr>
            <w:tcW w:w="0" w:type="auto"/>
            <w:vAlign w:val="center"/>
            <w:hideMark/>
          </w:tcPr>
          <w:p w14:paraId="79D84527" w14:textId="77777777" w:rsidR="004409F7" w:rsidRPr="004409F7" w:rsidRDefault="004409F7" w:rsidP="004409F7">
            <w:pPr>
              <w:rPr>
                <w:b/>
                <w:bCs/>
              </w:rPr>
            </w:pPr>
            <w:r w:rsidRPr="004409F7">
              <w:rPr>
                <w:b/>
                <w:bCs/>
              </w:rPr>
              <w:t>Low</w:t>
            </w:r>
          </w:p>
        </w:tc>
        <w:tc>
          <w:tcPr>
            <w:tcW w:w="0" w:type="auto"/>
            <w:vAlign w:val="center"/>
            <w:hideMark/>
          </w:tcPr>
          <w:p w14:paraId="78E1E5C5" w14:textId="77777777" w:rsidR="004409F7" w:rsidRPr="004409F7" w:rsidRDefault="004409F7" w:rsidP="004409F7">
            <w:pPr>
              <w:rPr>
                <w:b/>
                <w:bCs/>
              </w:rPr>
            </w:pPr>
            <w:r w:rsidRPr="004409F7">
              <w:rPr>
                <w:b/>
                <w:bCs/>
              </w:rPr>
              <w:t>1.0000</w:t>
            </w:r>
          </w:p>
        </w:tc>
        <w:tc>
          <w:tcPr>
            <w:tcW w:w="0" w:type="auto"/>
            <w:vAlign w:val="center"/>
            <w:hideMark/>
          </w:tcPr>
          <w:p w14:paraId="0D38B978" w14:textId="77777777" w:rsidR="004409F7" w:rsidRPr="004409F7" w:rsidRDefault="004409F7" w:rsidP="004409F7">
            <w:pPr>
              <w:rPr>
                <w:b/>
                <w:bCs/>
              </w:rPr>
            </w:pPr>
            <w:r w:rsidRPr="004409F7">
              <w:rPr>
                <w:b/>
                <w:bCs/>
              </w:rPr>
              <w:t>0.9756</w:t>
            </w:r>
          </w:p>
        </w:tc>
        <w:tc>
          <w:tcPr>
            <w:tcW w:w="0" w:type="auto"/>
            <w:vAlign w:val="center"/>
            <w:hideMark/>
          </w:tcPr>
          <w:p w14:paraId="542FF0A8" w14:textId="77777777" w:rsidR="004409F7" w:rsidRPr="004409F7" w:rsidRDefault="004409F7" w:rsidP="004409F7">
            <w:pPr>
              <w:rPr>
                <w:b/>
                <w:bCs/>
              </w:rPr>
            </w:pPr>
            <w:r w:rsidRPr="004409F7">
              <w:rPr>
                <w:b/>
                <w:bCs/>
              </w:rPr>
              <w:t>1.0000</w:t>
            </w:r>
          </w:p>
        </w:tc>
        <w:tc>
          <w:tcPr>
            <w:tcW w:w="0" w:type="auto"/>
            <w:vAlign w:val="center"/>
            <w:hideMark/>
          </w:tcPr>
          <w:p w14:paraId="4E30427C" w14:textId="77777777" w:rsidR="004409F7" w:rsidRPr="004409F7" w:rsidRDefault="004409F7" w:rsidP="004409F7">
            <w:pPr>
              <w:rPr>
                <w:b/>
                <w:bCs/>
              </w:rPr>
            </w:pPr>
            <w:r w:rsidRPr="004409F7">
              <w:rPr>
                <w:b/>
                <w:bCs/>
              </w:rPr>
              <w:t>0.9524</w:t>
            </w:r>
          </w:p>
        </w:tc>
        <w:tc>
          <w:tcPr>
            <w:tcW w:w="0" w:type="auto"/>
            <w:vAlign w:val="center"/>
            <w:hideMark/>
          </w:tcPr>
          <w:p w14:paraId="2C7366A4" w14:textId="77777777" w:rsidR="004409F7" w:rsidRPr="004409F7" w:rsidRDefault="004409F7" w:rsidP="004409F7">
            <w:pPr>
              <w:rPr>
                <w:b/>
                <w:bCs/>
              </w:rPr>
            </w:pPr>
            <w:r w:rsidRPr="004409F7">
              <w:rPr>
                <w:b/>
                <w:bCs/>
              </w:rPr>
              <w:t>60</w:t>
            </w:r>
          </w:p>
        </w:tc>
      </w:tr>
      <w:tr w:rsidR="004409F7" w:rsidRPr="004409F7" w14:paraId="5C275540" w14:textId="77777777">
        <w:trPr>
          <w:tblCellSpacing w:w="15" w:type="dxa"/>
        </w:trPr>
        <w:tc>
          <w:tcPr>
            <w:tcW w:w="0" w:type="auto"/>
            <w:vAlign w:val="center"/>
            <w:hideMark/>
          </w:tcPr>
          <w:p w14:paraId="34FE1563" w14:textId="77777777" w:rsidR="004409F7" w:rsidRPr="004409F7" w:rsidRDefault="004409F7" w:rsidP="004409F7">
            <w:pPr>
              <w:rPr>
                <w:b/>
                <w:bCs/>
              </w:rPr>
            </w:pPr>
            <w:r w:rsidRPr="004409F7">
              <w:rPr>
                <w:b/>
                <w:bCs/>
              </w:rPr>
              <w:t>Moderate</w:t>
            </w:r>
          </w:p>
        </w:tc>
        <w:tc>
          <w:tcPr>
            <w:tcW w:w="0" w:type="auto"/>
            <w:vAlign w:val="center"/>
            <w:hideMark/>
          </w:tcPr>
          <w:p w14:paraId="128739F4" w14:textId="77777777" w:rsidR="004409F7" w:rsidRPr="004409F7" w:rsidRDefault="004409F7" w:rsidP="004409F7">
            <w:pPr>
              <w:rPr>
                <w:b/>
                <w:bCs/>
              </w:rPr>
            </w:pPr>
            <w:r w:rsidRPr="004409F7">
              <w:rPr>
                <w:b/>
                <w:bCs/>
              </w:rPr>
              <w:t>0.9000</w:t>
            </w:r>
          </w:p>
        </w:tc>
        <w:tc>
          <w:tcPr>
            <w:tcW w:w="0" w:type="auto"/>
            <w:vAlign w:val="center"/>
            <w:hideMark/>
          </w:tcPr>
          <w:p w14:paraId="68C707F3" w14:textId="77777777" w:rsidR="004409F7" w:rsidRPr="004409F7" w:rsidRDefault="004409F7" w:rsidP="004409F7">
            <w:pPr>
              <w:rPr>
                <w:b/>
                <w:bCs/>
              </w:rPr>
            </w:pPr>
            <w:r w:rsidRPr="004409F7">
              <w:rPr>
                <w:b/>
                <w:bCs/>
              </w:rPr>
              <w:t>0.9474</w:t>
            </w:r>
          </w:p>
        </w:tc>
        <w:tc>
          <w:tcPr>
            <w:tcW w:w="0" w:type="auto"/>
            <w:vAlign w:val="center"/>
            <w:hideMark/>
          </w:tcPr>
          <w:p w14:paraId="3688EBF7" w14:textId="77777777" w:rsidR="004409F7" w:rsidRPr="004409F7" w:rsidRDefault="004409F7" w:rsidP="004409F7">
            <w:pPr>
              <w:rPr>
                <w:b/>
                <w:bCs/>
              </w:rPr>
            </w:pPr>
            <w:r w:rsidRPr="004409F7">
              <w:rPr>
                <w:b/>
                <w:bCs/>
              </w:rPr>
              <w:t>1.0000</w:t>
            </w:r>
          </w:p>
        </w:tc>
        <w:tc>
          <w:tcPr>
            <w:tcW w:w="0" w:type="auto"/>
            <w:vAlign w:val="center"/>
            <w:hideMark/>
          </w:tcPr>
          <w:p w14:paraId="3DD131C8" w14:textId="77777777" w:rsidR="004409F7" w:rsidRPr="004409F7" w:rsidRDefault="004409F7" w:rsidP="004409F7">
            <w:pPr>
              <w:rPr>
                <w:b/>
                <w:bCs/>
              </w:rPr>
            </w:pPr>
            <w:r w:rsidRPr="004409F7">
              <w:rPr>
                <w:b/>
                <w:bCs/>
              </w:rPr>
              <w:t>1.0000</w:t>
            </w:r>
          </w:p>
        </w:tc>
        <w:tc>
          <w:tcPr>
            <w:tcW w:w="0" w:type="auto"/>
            <w:vAlign w:val="center"/>
            <w:hideMark/>
          </w:tcPr>
          <w:p w14:paraId="1D6F9156" w14:textId="77777777" w:rsidR="004409F7" w:rsidRPr="004409F7" w:rsidRDefault="004409F7" w:rsidP="004409F7">
            <w:pPr>
              <w:rPr>
                <w:b/>
                <w:bCs/>
              </w:rPr>
            </w:pPr>
            <w:r w:rsidRPr="004409F7">
              <w:rPr>
                <w:b/>
                <w:bCs/>
              </w:rPr>
              <w:t>60</w:t>
            </w:r>
          </w:p>
        </w:tc>
      </w:tr>
      <w:tr w:rsidR="004409F7" w:rsidRPr="004409F7" w14:paraId="7E036ADF" w14:textId="77777777">
        <w:trPr>
          <w:tblCellSpacing w:w="15" w:type="dxa"/>
        </w:trPr>
        <w:tc>
          <w:tcPr>
            <w:tcW w:w="0" w:type="auto"/>
            <w:vAlign w:val="center"/>
            <w:hideMark/>
          </w:tcPr>
          <w:p w14:paraId="6BFE5D40" w14:textId="77777777" w:rsidR="004409F7" w:rsidRPr="004409F7" w:rsidRDefault="004409F7" w:rsidP="004409F7">
            <w:pPr>
              <w:rPr>
                <w:b/>
                <w:bCs/>
              </w:rPr>
            </w:pPr>
            <w:r w:rsidRPr="004409F7">
              <w:rPr>
                <w:b/>
                <w:bCs/>
              </w:rPr>
              <w:t>High</w:t>
            </w:r>
          </w:p>
        </w:tc>
        <w:tc>
          <w:tcPr>
            <w:tcW w:w="0" w:type="auto"/>
            <w:vAlign w:val="center"/>
            <w:hideMark/>
          </w:tcPr>
          <w:p w14:paraId="184C5AC3" w14:textId="77777777" w:rsidR="004409F7" w:rsidRPr="004409F7" w:rsidRDefault="004409F7" w:rsidP="004409F7">
            <w:pPr>
              <w:rPr>
                <w:b/>
                <w:bCs/>
              </w:rPr>
            </w:pPr>
            <w:r w:rsidRPr="004409F7">
              <w:rPr>
                <w:b/>
                <w:bCs/>
              </w:rPr>
              <w:t>0.9200</w:t>
            </w:r>
          </w:p>
        </w:tc>
        <w:tc>
          <w:tcPr>
            <w:tcW w:w="0" w:type="auto"/>
            <w:vAlign w:val="center"/>
            <w:hideMark/>
          </w:tcPr>
          <w:p w14:paraId="44429DB7" w14:textId="77777777" w:rsidR="004409F7" w:rsidRPr="004409F7" w:rsidRDefault="004409F7" w:rsidP="004409F7">
            <w:pPr>
              <w:rPr>
                <w:b/>
                <w:bCs/>
              </w:rPr>
            </w:pPr>
            <w:r w:rsidRPr="004409F7">
              <w:rPr>
                <w:b/>
                <w:bCs/>
              </w:rPr>
              <w:t>0.9388</w:t>
            </w:r>
          </w:p>
        </w:tc>
        <w:tc>
          <w:tcPr>
            <w:tcW w:w="0" w:type="auto"/>
            <w:vAlign w:val="center"/>
            <w:hideMark/>
          </w:tcPr>
          <w:p w14:paraId="4AA95C22" w14:textId="77777777" w:rsidR="004409F7" w:rsidRPr="004409F7" w:rsidRDefault="004409F7" w:rsidP="004409F7">
            <w:pPr>
              <w:rPr>
                <w:b/>
                <w:bCs/>
              </w:rPr>
            </w:pPr>
            <w:r w:rsidRPr="004409F7">
              <w:rPr>
                <w:b/>
                <w:bCs/>
              </w:rPr>
              <w:t>0.9984</w:t>
            </w:r>
          </w:p>
        </w:tc>
        <w:tc>
          <w:tcPr>
            <w:tcW w:w="0" w:type="auto"/>
            <w:vAlign w:val="center"/>
            <w:hideMark/>
          </w:tcPr>
          <w:p w14:paraId="5E405858" w14:textId="77777777" w:rsidR="004409F7" w:rsidRPr="004409F7" w:rsidRDefault="004409F7" w:rsidP="004409F7">
            <w:pPr>
              <w:rPr>
                <w:b/>
                <w:bCs/>
              </w:rPr>
            </w:pPr>
            <w:r w:rsidRPr="004409F7">
              <w:rPr>
                <w:b/>
                <w:bCs/>
              </w:rPr>
              <w:t>0.9583</w:t>
            </w:r>
          </w:p>
        </w:tc>
        <w:tc>
          <w:tcPr>
            <w:tcW w:w="0" w:type="auto"/>
            <w:vAlign w:val="center"/>
            <w:hideMark/>
          </w:tcPr>
          <w:p w14:paraId="658A198F" w14:textId="77777777" w:rsidR="004409F7" w:rsidRPr="004409F7" w:rsidRDefault="004409F7" w:rsidP="004409F7">
            <w:pPr>
              <w:rPr>
                <w:b/>
                <w:bCs/>
              </w:rPr>
            </w:pPr>
            <w:r w:rsidRPr="004409F7">
              <w:rPr>
                <w:b/>
                <w:bCs/>
              </w:rPr>
              <w:t>100</w:t>
            </w:r>
          </w:p>
        </w:tc>
      </w:tr>
      <w:tr w:rsidR="004409F7" w:rsidRPr="004409F7" w14:paraId="2928A356" w14:textId="77777777">
        <w:trPr>
          <w:tblCellSpacing w:w="15" w:type="dxa"/>
        </w:trPr>
        <w:tc>
          <w:tcPr>
            <w:tcW w:w="0" w:type="auto"/>
            <w:vAlign w:val="center"/>
            <w:hideMark/>
          </w:tcPr>
          <w:p w14:paraId="6427EABD" w14:textId="77777777" w:rsidR="004409F7" w:rsidRPr="004409F7" w:rsidRDefault="004409F7" w:rsidP="004409F7">
            <w:pPr>
              <w:rPr>
                <w:b/>
                <w:bCs/>
              </w:rPr>
            </w:pPr>
            <w:r w:rsidRPr="004409F7">
              <w:rPr>
                <w:b/>
                <w:bCs/>
              </w:rPr>
              <w:t>Critical</w:t>
            </w:r>
          </w:p>
        </w:tc>
        <w:tc>
          <w:tcPr>
            <w:tcW w:w="0" w:type="auto"/>
            <w:vAlign w:val="center"/>
            <w:hideMark/>
          </w:tcPr>
          <w:p w14:paraId="6A654D11" w14:textId="77777777" w:rsidR="004409F7" w:rsidRPr="004409F7" w:rsidRDefault="004409F7" w:rsidP="004409F7">
            <w:pPr>
              <w:rPr>
                <w:b/>
                <w:bCs/>
              </w:rPr>
            </w:pPr>
            <w:r w:rsidRPr="004409F7">
              <w:rPr>
                <w:b/>
                <w:bCs/>
              </w:rPr>
              <w:t>0.9857</w:t>
            </w:r>
          </w:p>
        </w:tc>
        <w:tc>
          <w:tcPr>
            <w:tcW w:w="0" w:type="auto"/>
            <w:vAlign w:val="center"/>
            <w:hideMark/>
          </w:tcPr>
          <w:p w14:paraId="4B4A8168" w14:textId="77777777" w:rsidR="004409F7" w:rsidRPr="004409F7" w:rsidRDefault="004409F7" w:rsidP="004409F7">
            <w:pPr>
              <w:rPr>
                <w:b/>
                <w:bCs/>
              </w:rPr>
            </w:pPr>
            <w:r w:rsidRPr="004409F7">
              <w:rPr>
                <w:b/>
                <w:bCs/>
              </w:rPr>
              <w:t>0.9920</w:t>
            </w:r>
          </w:p>
        </w:tc>
        <w:tc>
          <w:tcPr>
            <w:tcW w:w="0" w:type="auto"/>
            <w:vAlign w:val="center"/>
            <w:hideMark/>
          </w:tcPr>
          <w:p w14:paraId="045352C5" w14:textId="77777777" w:rsidR="004409F7" w:rsidRPr="004409F7" w:rsidRDefault="004409F7" w:rsidP="004409F7">
            <w:pPr>
              <w:rPr>
                <w:b/>
                <w:bCs/>
              </w:rPr>
            </w:pPr>
            <w:r w:rsidRPr="004409F7">
              <w:rPr>
                <w:b/>
                <w:bCs/>
              </w:rPr>
              <w:t>0.9980</w:t>
            </w:r>
          </w:p>
        </w:tc>
        <w:tc>
          <w:tcPr>
            <w:tcW w:w="0" w:type="auto"/>
            <w:vAlign w:val="center"/>
            <w:hideMark/>
          </w:tcPr>
          <w:p w14:paraId="0B9AF6D5" w14:textId="77777777" w:rsidR="004409F7" w:rsidRPr="004409F7" w:rsidRDefault="004409F7" w:rsidP="004409F7">
            <w:pPr>
              <w:rPr>
                <w:b/>
                <w:bCs/>
              </w:rPr>
            </w:pPr>
            <w:r w:rsidRPr="004409F7">
              <w:rPr>
                <w:b/>
                <w:bCs/>
              </w:rPr>
              <w:t>0.9985</w:t>
            </w:r>
          </w:p>
        </w:tc>
        <w:tc>
          <w:tcPr>
            <w:tcW w:w="0" w:type="auto"/>
            <w:vAlign w:val="center"/>
            <w:hideMark/>
          </w:tcPr>
          <w:p w14:paraId="52FC03BF" w14:textId="77777777" w:rsidR="004409F7" w:rsidRPr="004409F7" w:rsidRDefault="004409F7" w:rsidP="004409F7">
            <w:pPr>
              <w:rPr>
                <w:b/>
                <w:bCs/>
              </w:rPr>
            </w:pPr>
            <w:r w:rsidRPr="004409F7">
              <w:rPr>
                <w:b/>
                <w:bCs/>
              </w:rPr>
              <w:t>627</w:t>
            </w:r>
          </w:p>
        </w:tc>
      </w:tr>
    </w:tbl>
    <w:p w14:paraId="170ED1C4" w14:textId="77777777" w:rsidR="004409F7" w:rsidRPr="004409F7" w:rsidRDefault="004409F7" w:rsidP="004409F7">
      <w:pPr>
        <w:rPr>
          <w:b/>
          <w:bCs/>
        </w:rPr>
      </w:pPr>
      <w:r w:rsidRPr="004409F7">
        <w:rPr>
          <w:b/>
          <w:bCs/>
        </w:rPr>
        <w:t>The most salient finding from a safety engineering perspective is the recall performance on the two danger classes. The model correctly identified 92.0% of all High-risk workers and 98.57% of all Critical-risk workers in the held-out test set, both comfortably exceeding the minimum safety thresholds of 0.75 and 0.80 respectively that were enforced as hard constraints during hyperparameter optimisation. In practical terms, out of every 100 workers on the cusp of heat collapse, the system misses fewer than two.</w:t>
      </w:r>
    </w:p>
    <w:p w14:paraId="2E921689" w14:textId="77777777" w:rsidR="004409F7" w:rsidRPr="004409F7" w:rsidRDefault="004409F7" w:rsidP="004409F7">
      <w:pPr>
        <w:rPr>
          <w:b/>
          <w:bCs/>
        </w:rPr>
      </w:pPr>
      <w:r w:rsidRPr="004409F7">
        <w:rPr>
          <w:b/>
          <w:bCs/>
        </w:rPr>
        <w:t>The macro-averaged F1 score of 0.9561 reflects strong balanced performance across all four classes, including the minority Low and Moderate classes that contained only 60 test instances each. The near-perfect ROC-AUC values (≥ 0.998 for all classes) confirm that the model's discriminative ability is robust across the full range of classification thresholds, not merely at the operational decision point.</w:t>
      </w:r>
    </w:p>
    <w:p w14:paraId="35774070" w14:textId="77777777" w:rsidR="004409F7" w:rsidRPr="004409F7" w:rsidRDefault="004409F7" w:rsidP="004409F7">
      <w:pPr>
        <w:rPr>
          <w:b/>
          <w:bCs/>
        </w:rPr>
      </w:pPr>
      <w:r w:rsidRPr="004409F7">
        <w:rPr>
          <w:b/>
          <w:bCs/>
        </w:rPr>
        <w:t>4.3.2 Cross-Validation Results</w:t>
      </w:r>
    </w:p>
    <w:p w14:paraId="3AEFEB25" w14:textId="77777777" w:rsidR="004409F7" w:rsidRPr="004409F7" w:rsidRDefault="004409F7" w:rsidP="004409F7">
      <w:pPr>
        <w:rPr>
          <w:b/>
          <w:bCs/>
        </w:rPr>
      </w:pPr>
      <w:r w:rsidRPr="004409F7">
        <w:rPr>
          <w:b/>
          <w:bCs/>
        </w:rPr>
        <w:t xml:space="preserve">Five-fold stratified cross-validation on the full training partition yielded F1-macro of 0.9901 ± 0.0029, </w:t>
      </w:r>
      <w:proofErr w:type="gramStart"/>
      <w:r w:rsidRPr="004409F7">
        <w:rPr>
          <w:b/>
          <w:bCs/>
        </w:rPr>
        <w:t>Recall(</w:t>
      </w:r>
      <w:proofErr w:type="gramEnd"/>
      <w:r w:rsidRPr="004409F7">
        <w:rPr>
          <w:b/>
          <w:bCs/>
        </w:rPr>
        <w:t xml:space="preserve">High) of 0.9936 ± 0.0052, and </w:t>
      </w:r>
      <w:proofErr w:type="gramStart"/>
      <w:r w:rsidRPr="004409F7">
        <w:rPr>
          <w:b/>
          <w:bCs/>
        </w:rPr>
        <w:t>Recall(</w:t>
      </w:r>
      <w:proofErr w:type="gramEnd"/>
      <w:r w:rsidRPr="004409F7">
        <w:rPr>
          <w:b/>
          <w:bCs/>
        </w:rPr>
        <w:t>Critical) of 0.9965 ± 0.0035. The tight standard deviations across folds confirm that model performance is stable and not a function of a particularly favourable train-test split.</w:t>
      </w:r>
    </w:p>
    <w:p w14:paraId="211CB7D8" w14:textId="77777777" w:rsidR="004409F7" w:rsidRPr="004409F7" w:rsidRDefault="004409F7" w:rsidP="004409F7">
      <w:pPr>
        <w:rPr>
          <w:b/>
          <w:bCs/>
        </w:rPr>
      </w:pPr>
      <w:r w:rsidRPr="004409F7">
        <w:rPr>
          <w:b/>
          <w:bCs/>
        </w:rPr>
        <w:t>4.3.3 Learning Dynamics</w:t>
      </w:r>
    </w:p>
    <w:p w14:paraId="65C5A54B" w14:textId="77777777" w:rsidR="004409F7" w:rsidRPr="004409F7" w:rsidRDefault="004409F7" w:rsidP="004409F7">
      <w:pPr>
        <w:rPr>
          <w:b/>
          <w:bCs/>
        </w:rPr>
      </w:pPr>
      <w:r w:rsidRPr="004409F7">
        <w:rPr>
          <w:b/>
          <w:bCs/>
        </w:rPr>
        <w:t xml:space="preserve">The training log-loss converged to 0.0058 at the best boosting iteration, with validation log-loss at 0.0122 — a gap of 0.0064. This narrow train-validation divergence confirms that the model did not overfit meaningfully to the training partition, a result attributable to the combined effect of SMOTE equalisation, early stopping, and the L1/L2 regularisation applied through the optimised </w:t>
      </w:r>
      <w:proofErr w:type="spellStart"/>
      <w:r w:rsidRPr="004409F7">
        <w:rPr>
          <w:b/>
          <w:bCs/>
        </w:rPr>
        <w:t>reg_alpha</w:t>
      </w:r>
      <w:proofErr w:type="spellEnd"/>
      <w:r w:rsidRPr="004409F7">
        <w:rPr>
          <w:b/>
          <w:bCs/>
        </w:rPr>
        <w:t xml:space="preserve"> and </w:t>
      </w:r>
      <w:proofErr w:type="spellStart"/>
      <w:r w:rsidRPr="004409F7">
        <w:rPr>
          <w:b/>
          <w:bCs/>
        </w:rPr>
        <w:t>reg_lambda</w:t>
      </w:r>
      <w:proofErr w:type="spellEnd"/>
      <w:r w:rsidRPr="004409F7">
        <w:rPr>
          <w:b/>
          <w:bCs/>
        </w:rPr>
        <w:t xml:space="preserve"> hyperparameters.</w:t>
      </w:r>
    </w:p>
    <w:p w14:paraId="6A63278D" w14:textId="77777777" w:rsidR="004409F7" w:rsidRPr="004409F7" w:rsidRDefault="004409F7" w:rsidP="004409F7">
      <w:pPr>
        <w:rPr>
          <w:b/>
          <w:bCs/>
        </w:rPr>
      </w:pPr>
      <w:r w:rsidRPr="004409F7">
        <w:rPr>
          <w:b/>
          <w:bCs/>
        </w:rPr>
        <w:lastRenderedPageBreak/>
        <w:t>4.4 SHAP Interpretability Analysis</w:t>
      </w:r>
    </w:p>
    <w:p w14:paraId="78F14F58" w14:textId="77777777" w:rsidR="004409F7" w:rsidRPr="004409F7" w:rsidRDefault="004409F7" w:rsidP="004409F7">
      <w:pPr>
        <w:rPr>
          <w:b/>
          <w:bCs/>
        </w:rPr>
      </w:pPr>
      <w:r w:rsidRPr="004409F7">
        <w:rPr>
          <w:b/>
          <w:bCs/>
        </w:rPr>
        <w:t>The SHAP-based global feature importance analysis revealed a prediction architecture that is physiologically coherent and consistent with established heat stress medicine. ISO 7933 estimated core body temperature (</w:t>
      </w:r>
      <w:proofErr w:type="spellStart"/>
      <w:r w:rsidRPr="004409F7">
        <w:rPr>
          <w:b/>
          <w:bCs/>
        </w:rPr>
        <w:t>core_temp_tre</w:t>
      </w:r>
      <w:proofErr w:type="spellEnd"/>
      <w:r w:rsidRPr="004409F7">
        <w:rPr>
          <w:b/>
          <w:bCs/>
        </w:rPr>
        <w:t>) was the single most influential predictor with a mean |SHAP| value of 2.544, reflecting approximately an order of magnitude greater influence than any other individual feature. This dominance is physiologically expected: core temperature is the proximate cause of heatstroke pathophysiology, making it the strongest single predictor of imminent danger.</w:t>
      </w:r>
    </w:p>
    <w:p w14:paraId="5C7DDE39" w14:textId="77777777" w:rsidR="004409F7" w:rsidRPr="004409F7" w:rsidRDefault="004409F7" w:rsidP="004409F7">
      <w:pPr>
        <w:rPr>
          <w:b/>
          <w:bCs/>
        </w:rPr>
      </w:pPr>
      <w:r w:rsidRPr="004409F7">
        <w:rPr>
          <w:b/>
          <w:bCs/>
        </w:rPr>
        <w:t>Table 3. SHAP Global Feature Importance (Top 10)</w:t>
      </w:r>
    </w:p>
    <w:p w14:paraId="63C32944" w14:textId="77777777" w:rsidR="004409F7" w:rsidRPr="004409F7" w:rsidRDefault="004409F7" w:rsidP="004409F7">
      <w:pPr>
        <w:rPr>
          <w:b/>
          <w:bCs/>
        </w:rPr>
      </w:pPr>
      <w:r w:rsidRPr="004409F7">
        <w:rPr>
          <w:b/>
          <w:bCs/>
        </w:rPr>
        <w:t xml:space="preserve">| Rank | Feature | Mean |SHAP| | Physiological Role | |---|---|---|---| | 1 | </w:t>
      </w:r>
      <w:proofErr w:type="spellStart"/>
      <w:r w:rsidRPr="004409F7">
        <w:rPr>
          <w:b/>
          <w:bCs/>
        </w:rPr>
        <w:t>core_temp_tre</w:t>
      </w:r>
      <w:proofErr w:type="spellEnd"/>
      <w:r w:rsidRPr="004409F7">
        <w:rPr>
          <w:b/>
          <w:bCs/>
        </w:rPr>
        <w:t xml:space="preserve"> | 2.544 | PHS-estimated body temperature — primary signal | | 2 | </w:t>
      </w:r>
      <w:proofErr w:type="spellStart"/>
      <w:r w:rsidRPr="004409F7">
        <w:rPr>
          <w:b/>
          <w:bCs/>
        </w:rPr>
        <w:t>acclimatisation_days</w:t>
      </w:r>
      <w:proofErr w:type="spellEnd"/>
      <w:r w:rsidRPr="004409F7">
        <w:rPr>
          <w:b/>
          <w:bCs/>
        </w:rPr>
        <w:t xml:space="preserve"> | 0.326 | Protective factor — heat adaptation | | 3 | </w:t>
      </w:r>
      <w:proofErr w:type="spellStart"/>
      <w:r w:rsidRPr="004409F7">
        <w:rPr>
          <w:b/>
          <w:bCs/>
        </w:rPr>
        <w:t>cluster_id</w:t>
      </w:r>
      <w:proofErr w:type="spellEnd"/>
      <w:r w:rsidRPr="004409F7">
        <w:rPr>
          <w:b/>
          <w:bCs/>
        </w:rPr>
        <w:t xml:space="preserve"> | 0.251 | Worker persona — personalisation signal | | 4 | </w:t>
      </w:r>
      <w:proofErr w:type="spellStart"/>
      <w:r w:rsidRPr="004409F7">
        <w:rPr>
          <w:b/>
          <w:bCs/>
        </w:rPr>
        <w:t>vulnerability_score</w:t>
      </w:r>
      <w:proofErr w:type="spellEnd"/>
      <w:r w:rsidRPr="004409F7">
        <w:rPr>
          <w:b/>
          <w:bCs/>
        </w:rPr>
        <w:t xml:space="preserve"> | 0.161 | Composite risk index from Phase 2 | | 5 | </w:t>
      </w:r>
      <w:proofErr w:type="spellStart"/>
      <w:r w:rsidRPr="004409F7">
        <w:rPr>
          <w:b/>
          <w:bCs/>
        </w:rPr>
        <w:t>heat_index</w:t>
      </w:r>
      <w:proofErr w:type="spellEnd"/>
      <w:r w:rsidRPr="004409F7">
        <w:rPr>
          <w:b/>
          <w:bCs/>
        </w:rPr>
        <w:t xml:space="preserve"> | 0.134 | Non-linear temp × humidity interaction | | 6 | </w:t>
      </w:r>
      <w:proofErr w:type="spellStart"/>
      <w:r w:rsidRPr="004409F7">
        <w:rPr>
          <w:b/>
          <w:bCs/>
        </w:rPr>
        <w:t>temp_humidity_product</w:t>
      </w:r>
      <w:proofErr w:type="spellEnd"/>
      <w:r w:rsidRPr="004409F7">
        <w:rPr>
          <w:b/>
          <w:bCs/>
        </w:rPr>
        <w:t xml:space="preserve"> | 0.126 | Phase 1 synergy term | | 7 | </w:t>
      </w:r>
      <w:proofErr w:type="spellStart"/>
      <w:r w:rsidRPr="004409F7">
        <w:rPr>
          <w:b/>
          <w:bCs/>
        </w:rPr>
        <w:t>work_hours</w:t>
      </w:r>
      <w:proofErr w:type="spellEnd"/>
      <w:r w:rsidRPr="004409F7">
        <w:rPr>
          <w:b/>
          <w:bCs/>
        </w:rPr>
        <w:t xml:space="preserve"> | 0.106 | Cumulative thermal load over shift | | 8 | </w:t>
      </w:r>
      <w:proofErr w:type="spellStart"/>
      <w:r w:rsidRPr="004409F7">
        <w:rPr>
          <w:b/>
          <w:bCs/>
        </w:rPr>
        <w:t>wind_speed</w:t>
      </w:r>
      <w:proofErr w:type="spellEnd"/>
      <w:r w:rsidRPr="004409F7">
        <w:rPr>
          <w:b/>
          <w:bCs/>
        </w:rPr>
        <w:t xml:space="preserve"> | 0.092 | Cooling effect (negative contribution) | | 9 | </w:t>
      </w:r>
      <w:proofErr w:type="spellStart"/>
      <w:r w:rsidRPr="004409F7">
        <w:rPr>
          <w:b/>
          <w:bCs/>
        </w:rPr>
        <w:t>solar_radiation</w:t>
      </w:r>
      <w:proofErr w:type="spellEnd"/>
      <w:r w:rsidRPr="004409F7">
        <w:rPr>
          <w:b/>
          <w:bCs/>
        </w:rPr>
        <w:t xml:space="preserve"> | 0.066 | Radiant heat load | | 10 | hr_delta_t30 | 0.051 | Dynamic HR trajectory — Phase 1 lag upgrade |</w:t>
      </w:r>
    </w:p>
    <w:p w14:paraId="5112F982" w14:textId="77777777" w:rsidR="004409F7" w:rsidRPr="004409F7" w:rsidRDefault="004409F7" w:rsidP="004409F7">
      <w:pPr>
        <w:rPr>
          <w:b/>
          <w:bCs/>
        </w:rPr>
      </w:pPr>
      <w:r w:rsidRPr="004409F7">
        <w:rPr>
          <w:b/>
          <w:bCs/>
        </w:rPr>
        <w:t>The SHAP importance ranking validates all three Phase 1 mathematical upgrades. The non-linear interaction between ambient temperature and humidity (</w:t>
      </w:r>
      <w:proofErr w:type="spellStart"/>
      <w:r w:rsidRPr="004409F7">
        <w:rPr>
          <w:b/>
          <w:bCs/>
        </w:rPr>
        <w:t>heat_index</w:t>
      </w:r>
      <w:proofErr w:type="spellEnd"/>
      <w:r w:rsidRPr="004409F7">
        <w:rPr>
          <w:b/>
          <w:bCs/>
        </w:rPr>
        <w:t xml:space="preserve">, rank 5; </w:t>
      </w:r>
      <w:proofErr w:type="spellStart"/>
      <w:r w:rsidRPr="004409F7">
        <w:rPr>
          <w:b/>
          <w:bCs/>
        </w:rPr>
        <w:t>temp_humidity_product</w:t>
      </w:r>
      <w:proofErr w:type="spellEnd"/>
      <w:r w:rsidRPr="004409F7">
        <w:rPr>
          <w:b/>
          <w:bCs/>
        </w:rPr>
        <w:t xml:space="preserve">, rank 6) collectively influence predictions more than any single environmental variable in isolation, confirming the importance of modelling the synergistic failure of evaporative cooling. The dynamic heart rate trajectory (hr_delta_t30, rank 10) encodes the acceleration of cardiovascular heat loading that the static heart rate snapshot cannot capture alone — the early-warning trajectory signal that enables the 30-minute predictive horizon. The dominance of </w:t>
      </w:r>
      <w:proofErr w:type="spellStart"/>
      <w:r w:rsidRPr="004409F7">
        <w:rPr>
          <w:b/>
          <w:bCs/>
        </w:rPr>
        <w:t>acclimatisation_days</w:t>
      </w:r>
      <w:proofErr w:type="spellEnd"/>
      <w:r w:rsidRPr="004409F7">
        <w:rPr>
          <w:b/>
          <w:bCs/>
        </w:rPr>
        <w:t xml:space="preserve"> (rank 2) as the strongest single protective factor aligns with decades of occupational physiology evidence establishing acclimatisation as the most effective individual-level adaptation to heat stress.</w:t>
      </w:r>
    </w:p>
    <w:p w14:paraId="5FFAC7F7" w14:textId="77777777" w:rsidR="004409F7" w:rsidRPr="004409F7" w:rsidRDefault="004409F7" w:rsidP="004409F7">
      <w:pPr>
        <w:rPr>
          <w:b/>
          <w:bCs/>
        </w:rPr>
      </w:pPr>
      <w:r w:rsidRPr="004409F7">
        <w:rPr>
          <w:b/>
          <w:bCs/>
        </w:rPr>
        <w:t xml:space="preserve">The presence of </w:t>
      </w:r>
      <w:proofErr w:type="spellStart"/>
      <w:r w:rsidRPr="004409F7">
        <w:rPr>
          <w:b/>
          <w:bCs/>
        </w:rPr>
        <w:t>cluster_id</w:t>
      </w:r>
      <w:proofErr w:type="spellEnd"/>
      <w:r w:rsidRPr="004409F7">
        <w:rPr>
          <w:b/>
          <w:bCs/>
        </w:rPr>
        <w:t xml:space="preserve"> at rank 3 — above environmental variables including ambient temperature, humidity, and solar radiation individually — represents a particularly noteworthy finding. It confirms that knowing which vulnerability archetype a worker belongs to provides the model with more predictive information than any single environmental sensor reading. This result constitutes a post-hoc empirical validation of the K-Means personalisation stage: the clustering was not a decorative addition to the pipeline but a substantively informative component that the model actively exploits for prediction.</w:t>
      </w:r>
    </w:p>
    <w:p w14:paraId="32D64378" w14:textId="77777777" w:rsidR="004409F7" w:rsidRPr="004409F7" w:rsidRDefault="004409F7" w:rsidP="004409F7">
      <w:pPr>
        <w:rPr>
          <w:b/>
          <w:bCs/>
        </w:rPr>
      </w:pPr>
      <w:r w:rsidRPr="004409F7">
        <w:rPr>
          <w:b/>
          <w:bCs/>
        </w:rPr>
        <w:t>4.5 Adaptive Threshold Personalisation</w:t>
      </w:r>
    </w:p>
    <w:p w14:paraId="60E72C48" w14:textId="77777777" w:rsidR="004409F7" w:rsidRPr="004409F7" w:rsidRDefault="004409F7" w:rsidP="004409F7">
      <w:pPr>
        <w:rPr>
          <w:b/>
          <w:bCs/>
        </w:rPr>
      </w:pPr>
      <w:r w:rsidRPr="004409F7">
        <w:rPr>
          <w:b/>
          <w:bCs/>
        </w:rPr>
        <w:t xml:space="preserve">The practical impact of personalised alert thresholds is demonstrated through comparison of the two canonical demo scenarios. An Acclimatised Veteran worker (32 years old, BMI 22.5, 65 days acclimatised) under mild conditions (31°C, 45% RH, stable HR at 82 bpm) receives a probability-weighted risk score of 0.1/100, with an adaptive threshold of 0.60 — no alert fires. The same model applied to a High-BMI Novice worker (48 years old, BMI 31.0, 6 days acclimatised) under extreme conditions (44.5°C, 87% RH, HR rising 16 bpm over 30 minutes) produces a Critical probability of 0.9996, a risk score of 100/100, and fires an alert at the worker's personalised threshold of 0.35. The time-to-peak estimate for the danger worker is 3 minutes, compared with </w:t>
      </w:r>
      <w:r w:rsidRPr="004409F7">
        <w:rPr>
          <w:b/>
          <w:bCs/>
        </w:rPr>
        <w:lastRenderedPageBreak/>
        <w:t>61 minutes for the safe worker — a 20-fold difference that would be invisible to any system relying on ambient temperature alone.</w:t>
      </w:r>
    </w:p>
    <w:p w14:paraId="1F9AB042" w14:textId="77777777" w:rsidR="004409F7" w:rsidRPr="004409F7" w:rsidRDefault="004409F7" w:rsidP="004409F7">
      <w:pPr>
        <w:rPr>
          <w:b/>
          <w:bCs/>
        </w:rPr>
      </w:pPr>
      <w:r w:rsidRPr="004409F7">
        <w:rPr>
          <w:b/>
          <w:bCs/>
        </w:rPr>
        <w:t>The critical-early scenario — a worker whose current readings appear elevated but not yet critical, but whose HR trajectory reveals a +22 bpm rise over 30 minutes — demonstrates the predictive value of lag features specifically. The model outputs a Critical prediction and fires an alert with an estimated 3 minutes to peak, flagging impending danger that a snapshot-only assessment would miss entirely.</w:t>
      </w:r>
    </w:p>
    <w:p w14:paraId="0C688F40" w14:textId="77777777" w:rsidR="004409F7" w:rsidRPr="004409F7" w:rsidRDefault="004409F7" w:rsidP="004409F7">
      <w:pPr>
        <w:rPr>
          <w:b/>
          <w:bCs/>
        </w:rPr>
      </w:pPr>
      <w:r w:rsidRPr="004409F7">
        <w:rPr>
          <w:b/>
          <w:bCs/>
        </w:rPr>
        <w:t>4.6 Deployment Performance</w:t>
      </w:r>
    </w:p>
    <w:p w14:paraId="224C315D" w14:textId="77777777" w:rsidR="004409F7" w:rsidRPr="004409F7" w:rsidRDefault="004409F7" w:rsidP="004409F7">
      <w:pPr>
        <w:rPr>
          <w:b/>
          <w:bCs/>
        </w:rPr>
      </w:pPr>
      <w:r w:rsidRPr="004409F7">
        <w:rPr>
          <w:b/>
          <w:bCs/>
        </w:rPr>
        <w:t xml:space="preserve">The complete inference pipeline — including PHS feature </w:t>
      </w:r>
      <w:proofErr w:type="spellStart"/>
      <w:r w:rsidRPr="004409F7">
        <w:rPr>
          <w:b/>
          <w:bCs/>
        </w:rPr>
        <w:t>recomputation</w:t>
      </w:r>
      <w:proofErr w:type="spellEnd"/>
      <w:r w:rsidRPr="004409F7">
        <w:rPr>
          <w:b/>
          <w:bCs/>
        </w:rPr>
        <w:t xml:space="preserve">, K-Means cluster assignment, and </w:t>
      </w:r>
      <w:proofErr w:type="spellStart"/>
      <w:r w:rsidRPr="004409F7">
        <w:rPr>
          <w:b/>
          <w:bCs/>
        </w:rPr>
        <w:t>XGBoost</w:t>
      </w:r>
      <w:proofErr w:type="spellEnd"/>
      <w:r w:rsidRPr="004409F7">
        <w:rPr>
          <w:b/>
          <w:bCs/>
        </w:rPr>
        <w:t xml:space="preserve"> prediction — executes in 1.03 milliseconds per worker on standard server hardware. All 14 deployment validation checks passed, including feature vector integrity, probability calibration, safety constraint verification, and end-to-end smoke testing. The model was successfully exported to both </w:t>
      </w:r>
      <w:proofErr w:type="spellStart"/>
      <w:r w:rsidRPr="004409F7">
        <w:rPr>
          <w:b/>
          <w:bCs/>
        </w:rPr>
        <w:t>XGBoost</w:t>
      </w:r>
      <w:proofErr w:type="spellEnd"/>
      <w:r w:rsidRPr="004409F7">
        <w:rPr>
          <w:b/>
          <w:bCs/>
        </w:rPr>
        <w:t xml:space="preserve"> native JSON format (239.6 KB) and ONNX format, with the ONNX model suitable for on-device inference via ONNX Runtime for React Native without requiring network connectivity. The </w:t>
      </w:r>
      <w:proofErr w:type="spellStart"/>
      <w:r w:rsidRPr="004409F7">
        <w:rPr>
          <w:b/>
          <w:bCs/>
        </w:rPr>
        <w:t>FastAPI</w:t>
      </w:r>
      <w:proofErr w:type="spellEnd"/>
      <w:r w:rsidRPr="004409F7">
        <w:rPr>
          <w:b/>
          <w:bCs/>
        </w:rPr>
        <w:t xml:space="preserve"> REST backend passed all 48 automated tests spanning unit correctness, safety logic, endpoint behaviour, edge cases, and regression checks against the four canonical clinical demo scenarios.</w:t>
      </w:r>
    </w:p>
    <w:p w14:paraId="600E8F94" w14:textId="77777777" w:rsidR="004409F7" w:rsidRPr="004409F7" w:rsidRDefault="004409F7" w:rsidP="004409F7">
      <w:pPr>
        <w:rPr>
          <w:b/>
          <w:bCs/>
        </w:rPr>
      </w:pPr>
      <w:r w:rsidRPr="004409F7">
        <w:rPr>
          <w:b/>
          <w:bCs/>
        </w:rPr>
        <w:t>4.7 Comparison with Existing Approaches</w:t>
      </w:r>
    </w:p>
    <w:p w14:paraId="29A715F5" w14:textId="77777777" w:rsidR="004409F7" w:rsidRPr="004409F7" w:rsidRDefault="004409F7" w:rsidP="004409F7">
      <w:pPr>
        <w:rPr>
          <w:b/>
          <w:bCs/>
        </w:rPr>
      </w:pPr>
      <w:r w:rsidRPr="004409F7">
        <w:rPr>
          <w:b/>
          <w:bCs/>
        </w:rPr>
        <w:t xml:space="preserve">The </w:t>
      </w:r>
      <w:proofErr w:type="spellStart"/>
      <w:r w:rsidRPr="004409F7">
        <w:rPr>
          <w:b/>
          <w:bCs/>
        </w:rPr>
        <w:t>HeatGuard</w:t>
      </w:r>
      <w:proofErr w:type="spellEnd"/>
      <w:r w:rsidRPr="004409F7">
        <w:rPr>
          <w:b/>
          <w:bCs/>
        </w:rPr>
        <w:t xml:space="preserve"> system addresses several key limitations of prior work in occupational heat monitoring. Wearable sensor systems, while physiologically precise, typically cost between $200 and $500 per device — economically unviable for daily-wage workers earning under $10 per day [Source: ILO Wage Reports]. Rule-based alert systems using fixed WBGT (Wet Bulb Globe Temperature) or heat index thresholds provide no personalisation and no predictive horizon, generating reactive notifications after physiological stress has already accumulated. The sole use of ambient temperature in many existing mobile warning applications ignores the body's dynamic heat loading trajectory, rendering them incapable of detecting the rising-HR pattern that precedes collapse.</w:t>
      </w:r>
    </w:p>
    <w:p w14:paraId="0A020EC8" w14:textId="77777777" w:rsidR="004409F7" w:rsidRPr="004409F7" w:rsidRDefault="004409F7" w:rsidP="004409F7">
      <w:pPr>
        <w:rPr>
          <w:b/>
          <w:bCs/>
        </w:rPr>
      </w:pPr>
      <w:proofErr w:type="spellStart"/>
      <w:r w:rsidRPr="004409F7">
        <w:rPr>
          <w:b/>
          <w:bCs/>
        </w:rPr>
        <w:t>HeatGuard</w:t>
      </w:r>
      <w:proofErr w:type="spellEnd"/>
      <w:r w:rsidRPr="004409F7">
        <w:rPr>
          <w:b/>
          <w:bCs/>
        </w:rPr>
        <w:t xml:space="preserve"> addresses all three gaps: it operates on hardware the target demographic already possesses (smartphone penetration exceeds 90% in the target worker population), personalises alert thresholds through data-driven worker profiling rather than arbitrary rule adjustments, and predicts 30–60 minutes into the future through explicit trajectory-aware feature engineering.</w:t>
      </w:r>
    </w:p>
    <w:p w14:paraId="0BFDB9AB" w14:textId="77777777" w:rsidR="004409F7" w:rsidRPr="004409F7" w:rsidRDefault="004409F7" w:rsidP="004409F7">
      <w:pPr>
        <w:rPr>
          <w:b/>
          <w:bCs/>
        </w:rPr>
      </w:pPr>
      <w:r w:rsidRPr="004409F7">
        <w:rPr>
          <w:b/>
          <w:bCs/>
        </w:rPr>
        <w:pict w14:anchorId="7CCCA7E1">
          <v:rect id="_x0000_i1057" style="width:0;height:1.5pt" o:hralign="center" o:hrstd="t" o:hr="t" fillcolor="#a0a0a0" stroked="f"/>
        </w:pict>
      </w:r>
    </w:p>
    <w:p w14:paraId="1FC892A4" w14:textId="77777777" w:rsidR="004409F7" w:rsidRPr="004409F7" w:rsidRDefault="004409F7" w:rsidP="004409F7">
      <w:pPr>
        <w:rPr>
          <w:b/>
          <w:bCs/>
        </w:rPr>
      </w:pPr>
      <w:r w:rsidRPr="004409F7">
        <w:rPr>
          <w:b/>
          <w:bCs/>
        </w:rPr>
        <w:pict w14:anchorId="525151EE">
          <v:rect id="_x0000_i1058" style="width:0;height:1.5pt" o:hralign="center" o:hrstd="t" o:hr="t" fillcolor="#a0a0a0" stroked="f"/>
        </w:pict>
      </w:r>
    </w:p>
    <w:p w14:paraId="6CAE55EC" w14:textId="77777777" w:rsidR="004409F7" w:rsidRPr="004409F7" w:rsidRDefault="004409F7" w:rsidP="004409F7">
      <w:pPr>
        <w:rPr>
          <w:b/>
          <w:bCs/>
        </w:rPr>
      </w:pPr>
      <w:r w:rsidRPr="004409F7">
        <w:rPr>
          <w:b/>
          <w:bCs/>
        </w:rPr>
        <w:t>CONCLUSION</w:t>
      </w:r>
    </w:p>
    <w:p w14:paraId="77232F59" w14:textId="77777777" w:rsidR="004409F7" w:rsidRPr="004409F7" w:rsidRDefault="004409F7" w:rsidP="004409F7">
      <w:pPr>
        <w:rPr>
          <w:b/>
          <w:bCs/>
        </w:rPr>
      </w:pPr>
      <w:r w:rsidRPr="004409F7">
        <w:rPr>
          <w:b/>
          <w:bCs/>
        </w:rPr>
        <w:t>5.1 Summary of Contributions</w:t>
      </w:r>
    </w:p>
    <w:p w14:paraId="1BDC69D6" w14:textId="77777777" w:rsidR="004409F7" w:rsidRPr="004409F7" w:rsidRDefault="004409F7" w:rsidP="004409F7">
      <w:pPr>
        <w:rPr>
          <w:b/>
          <w:bCs/>
        </w:rPr>
      </w:pPr>
      <w:r w:rsidRPr="004409F7">
        <w:rPr>
          <w:b/>
          <w:bCs/>
        </w:rPr>
        <w:t xml:space="preserve">This paper presented </w:t>
      </w:r>
      <w:proofErr w:type="spellStart"/>
      <w:r w:rsidRPr="004409F7">
        <w:rPr>
          <w:b/>
          <w:bCs/>
        </w:rPr>
        <w:t>HeatGuard</w:t>
      </w:r>
      <w:proofErr w:type="spellEnd"/>
      <w:r w:rsidRPr="004409F7">
        <w:rPr>
          <w:b/>
          <w:bCs/>
        </w:rPr>
        <w:t>, a mobile-native, edge-deployable AI system for personalised heatstroke prevention among outdoor workers, developed to address a gap at the intersection of occupational health, climate vulnerability, and accessible technology. Three substantive technical contributions were made.</w:t>
      </w:r>
    </w:p>
    <w:p w14:paraId="71D4FDFF" w14:textId="77777777" w:rsidR="004409F7" w:rsidRPr="004409F7" w:rsidRDefault="004409F7" w:rsidP="004409F7">
      <w:pPr>
        <w:rPr>
          <w:b/>
          <w:bCs/>
        </w:rPr>
      </w:pPr>
      <w:r w:rsidRPr="004409F7">
        <w:rPr>
          <w:b/>
          <w:bCs/>
        </w:rPr>
        <w:t xml:space="preserve">The first is an open-source synthetic data pipeline grounded in the ISO 7933 Predicted Heat Strain model that generates physiologically authentic worker records with calibrated environmental </w:t>
      </w:r>
      <w:r w:rsidRPr="004409F7">
        <w:rPr>
          <w:b/>
          <w:bCs/>
        </w:rPr>
        <w:lastRenderedPageBreak/>
        <w:t>noise, dynamic lag-based time-series structure, and a predictive labelling horizon of 30 minutes. This pipeline is available for reuse by researchers seeking to develop or evaluate heat stress models in the absence of field-collected physiological data.</w:t>
      </w:r>
    </w:p>
    <w:p w14:paraId="132115E0" w14:textId="77777777" w:rsidR="004409F7" w:rsidRPr="004409F7" w:rsidRDefault="004409F7" w:rsidP="004409F7">
      <w:pPr>
        <w:rPr>
          <w:b/>
          <w:bCs/>
        </w:rPr>
      </w:pPr>
      <w:r w:rsidRPr="004409F7">
        <w:rPr>
          <w:b/>
          <w:bCs/>
        </w:rPr>
        <w:t xml:space="preserve">The second contribution is an unsupervised worker risk profiling architecture that transforms the K-Means cluster assignment into an active predictive signal. The finding that </w:t>
      </w:r>
      <w:proofErr w:type="spellStart"/>
      <w:r w:rsidRPr="004409F7">
        <w:rPr>
          <w:b/>
          <w:bCs/>
        </w:rPr>
        <w:t>cluster_id</w:t>
      </w:r>
      <w:proofErr w:type="spellEnd"/>
      <w:r w:rsidRPr="004409F7">
        <w:rPr>
          <w:b/>
          <w:bCs/>
        </w:rPr>
        <w:t xml:space="preserve"> ranks as the third most globally important SHAP feature — above any individual environmental sensor reading — demonstrates that physiological personas learned through unsupervised clustering carry genuine predictive information beyond what biometric features encode independently. The resulting adaptive alert threshold system provides a data-driven answer to the fundamental question of personalised occupational safety: how early should an individual worker be warned, given their specific physiological vulnerability profile?</w:t>
      </w:r>
    </w:p>
    <w:p w14:paraId="7750FE20" w14:textId="77777777" w:rsidR="004409F7" w:rsidRPr="004409F7" w:rsidRDefault="004409F7" w:rsidP="004409F7">
      <w:pPr>
        <w:rPr>
          <w:b/>
          <w:bCs/>
        </w:rPr>
      </w:pPr>
      <w:r w:rsidRPr="004409F7">
        <w:rPr>
          <w:b/>
          <w:bCs/>
        </w:rPr>
        <w:t>The third contribution is a complete, deployment-validated AI system achieving a macro-averaged F1 score of 0.9561, a ROC-AUC of 0.9984, and recall values of 0.92 and 0.9857 for the High and Critical classes respectively. The system operates at 1.03 milliseconds per inference, passes all 14 deployment checks and 48 automated tests, and exports to ONNX for on-device mobile deployment — making it viable for real-world deployment at zero marginal cost per worker.</w:t>
      </w:r>
    </w:p>
    <w:p w14:paraId="793203F6" w14:textId="77777777" w:rsidR="004409F7" w:rsidRPr="004409F7" w:rsidRDefault="004409F7" w:rsidP="004409F7">
      <w:pPr>
        <w:rPr>
          <w:b/>
          <w:bCs/>
        </w:rPr>
      </w:pPr>
      <w:r w:rsidRPr="004409F7">
        <w:rPr>
          <w:b/>
          <w:bCs/>
        </w:rPr>
        <w:t>Collectively, these contributions demonstrate that meaningful occupational heat protection is achievable through a combination of translational physiological modelling, interpretable machine learning, and pragmatic mobile deployment, without requiring expensive hardware or continuous internet connectivity.</w:t>
      </w:r>
    </w:p>
    <w:p w14:paraId="0ECEFBC4" w14:textId="77777777" w:rsidR="004409F7" w:rsidRPr="004409F7" w:rsidRDefault="004409F7" w:rsidP="004409F7">
      <w:pPr>
        <w:rPr>
          <w:b/>
          <w:bCs/>
        </w:rPr>
      </w:pPr>
      <w:r w:rsidRPr="004409F7">
        <w:rPr>
          <w:b/>
          <w:bCs/>
        </w:rPr>
        <w:t>5.2 Limitations and Future Work</w:t>
      </w:r>
    </w:p>
    <w:p w14:paraId="359D4A5F" w14:textId="77777777" w:rsidR="004409F7" w:rsidRPr="004409F7" w:rsidRDefault="004409F7" w:rsidP="004409F7">
      <w:pPr>
        <w:rPr>
          <w:b/>
          <w:bCs/>
        </w:rPr>
      </w:pPr>
      <w:r w:rsidRPr="004409F7">
        <w:rPr>
          <w:b/>
          <w:bCs/>
        </w:rPr>
        <w:t>Several limitations must be acknowledged. The training corpus is entirely synthetic, generated from a calibrated but necessarily simplified model of human thermoregulation. The ISO 7933 PHS equations represent population-level averages; individual variation in thermoregulatory physiology, effects of clothing insulation, heat-related comorbidities, and state-dependent cardiovascular fitness are not captured in the current simulation framework. Validation on real physiological data from field-deployed workers remains the critical next step before clinical deployment.</w:t>
      </w:r>
    </w:p>
    <w:p w14:paraId="6E3AF2E1" w14:textId="77777777" w:rsidR="004409F7" w:rsidRPr="004409F7" w:rsidRDefault="004409F7" w:rsidP="004409F7">
      <w:pPr>
        <w:rPr>
          <w:b/>
          <w:bCs/>
        </w:rPr>
      </w:pPr>
      <w:r w:rsidRPr="004409F7">
        <w:rPr>
          <w:b/>
          <w:bCs/>
        </w:rPr>
        <w:t>The K-Means Silhouette coefficient of approximately 0.16 indicates soft cluster boundaries, reflecting genuine physiological overlap across the worker population. While this does not undermine the practical utility of the personalisation layer as demonstrated by the SHAP analysis, clustering on a larger real-world dataset with more diverse occupational profiles may yield sharper distinctions and additional clinically meaningful archetypes.</w:t>
      </w:r>
    </w:p>
    <w:p w14:paraId="66848FCE" w14:textId="77777777" w:rsidR="004409F7" w:rsidRPr="004409F7" w:rsidRDefault="004409F7" w:rsidP="004409F7">
      <w:pPr>
        <w:rPr>
          <w:b/>
          <w:bCs/>
        </w:rPr>
      </w:pPr>
      <w:r w:rsidRPr="004409F7">
        <w:rPr>
          <w:b/>
          <w:bCs/>
        </w:rPr>
        <w:t>The accelerometer-based heart rate estimation used by the smartphone app introduces measurement noise beyond the Gaussian model used in simulation. High-exertion outdoor work produces motion artefacts in PPG-derived HR signals that may degrade the quality of the lag trajectory features. Integration with low-cost wearable HR monitors (sub-$5 optical sensors) would significantly improve input signal quality without compromising the target demographic's accessibility constraints.</w:t>
      </w:r>
    </w:p>
    <w:p w14:paraId="068DCB99" w14:textId="77777777" w:rsidR="004409F7" w:rsidRPr="004409F7" w:rsidRDefault="004409F7" w:rsidP="004409F7">
      <w:pPr>
        <w:rPr>
          <w:b/>
          <w:bCs/>
        </w:rPr>
      </w:pPr>
      <w:r w:rsidRPr="004409F7">
        <w:rPr>
          <w:b/>
          <w:bCs/>
        </w:rPr>
        <w:t xml:space="preserve">Future work will pursue three directions. First, a Phase 2 field validation study involving 50–100 workers at outdoor construction and agricultural sites, collecting ground-truth physiological data to fine-tune model coefficients and validate cluster personas against observed outcomes. Second, extension of the simulation framework to alternative climate regions — sub-Saharan Africa, the </w:t>
      </w:r>
      <w:r w:rsidRPr="004409F7">
        <w:rPr>
          <w:b/>
          <w:bCs/>
        </w:rPr>
        <w:lastRenderedPageBreak/>
        <w:t>Gulf states, Southeast Asia — where outdoor worker heat stress is equally severe but environmental parameters differ substantially from the Indian subcontinent. Third, incorporation of a Bayesian online learning module that continuously updates the worker's risk profile based on accumulated real shift data, progressively replacing synthetic priors with individual-level empirical evidence as the system is used over time.</w:t>
      </w:r>
    </w:p>
    <w:p w14:paraId="08C8666E" w14:textId="77777777" w:rsidR="004409F7" w:rsidRPr="004409F7" w:rsidRDefault="004409F7" w:rsidP="004409F7">
      <w:pPr>
        <w:rPr>
          <w:b/>
          <w:bCs/>
        </w:rPr>
      </w:pPr>
      <w:r w:rsidRPr="004409F7">
        <w:rPr>
          <w:b/>
          <w:bCs/>
        </w:rPr>
        <w:t>5.3 Broader Impact</w:t>
      </w:r>
    </w:p>
    <w:p w14:paraId="0B0E4622" w14:textId="77777777" w:rsidR="004409F7" w:rsidRPr="004409F7" w:rsidRDefault="004409F7" w:rsidP="004409F7">
      <w:pPr>
        <w:rPr>
          <w:b/>
          <w:bCs/>
        </w:rPr>
      </w:pPr>
      <w:r w:rsidRPr="004409F7">
        <w:rPr>
          <w:b/>
          <w:bCs/>
        </w:rPr>
        <w:t xml:space="preserve">India's 380 million outdoor workers represent the largest occupationally heat-exposed population on Earth, operating largely without access to the occupational health infrastructure available to workers in high-income economies. Beyond India, approximately 2.4 billion workers globally face heat stress conditions that will intensify as global mean temperatures continue to rise under current emissions trajectories. The </w:t>
      </w:r>
      <w:proofErr w:type="spellStart"/>
      <w:r w:rsidRPr="004409F7">
        <w:rPr>
          <w:b/>
          <w:bCs/>
        </w:rPr>
        <w:t>HeatGuard</w:t>
      </w:r>
      <w:proofErr w:type="spellEnd"/>
      <w:r w:rsidRPr="004409F7">
        <w:rPr>
          <w:b/>
          <w:bCs/>
        </w:rPr>
        <w:t xml:space="preserve"> system demonstrates that protection for this population does not require expensive hardware, proprietary infrastructure, or employer involvement. It requires only a smartphone that most of these workers already carry, access to a free weather API, and the willingness to press a hydration button five times a day.</w:t>
      </w:r>
    </w:p>
    <w:p w14:paraId="3DA5345C" w14:textId="77777777" w:rsidR="004409F7" w:rsidRPr="004409F7" w:rsidRDefault="004409F7" w:rsidP="004409F7">
      <w:pPr>
        <w:rPr>
          <w:b/>
          <w:bCs/>
        </w:rPr>
      </w:pPr>
      <w:r w:rsidRPr="004409F7">
        <w:rPr>
          <w:b/>
          <w:bCs/>
        </w:rPr>
        <w:t>By making both the data generation pipeline and the trained model openly available, this work invites replication, localisation, and improvement by the research community — lowering the barrier for future work addressing the occupational health needs of climate-vulnerable, economically marginalised populations who bear the largest share of a risk they had the least part in creating.</w:t>
      </w:r>
    </w:p>
    <w:p w14:paraId="05D67522" w14:textId="77777777" w:rsidR="004409F7" w:rsidRPr="004409F7" w:rsidRDefault="004409F7" w:rsidP="004409F7">
      <w:pPr>
        <w:rPr>
          <w:b/>
          <w:bCs/>
        </w:rPr>
      </w:pPr>
      <w:r w:rsidRPr="004409F7">
        <w:rPr>
          <w:b/>
          <w:bCs/>
        </w:rPr>
        <w:pict w14:anchorId="14C10695">
          <v:rect id="_x0000_i1059" style="width:0;height:1.5pt" o:hralign="center" o:hrstd="t" o:hr="t" fillcolor="#a0a0a0" stroked="f"/>
        </w:pict>
      </w:r>
    </w:p>
    <w:p w14:paraId="58E092FE" w14:textId="77777777" w:rsidR="004409F7" w:rsidRDefault="004409F7" w:rsidP="0017006E">
      <w:pPr>
        <w:rPr>
          <w:b/>
          <w:bCs/>
        </w:rPr>
      </w:pPr>
    </w:p>
    <w:p w14:paraId="70D262E4" w14:textId="77777777" w:rsidR="00CD2547" w:rsidRPr="00CD2547" w:rsidRDefault="00CD2547" w:rsidP="00CD2547">
      <w:pPr>
        <w:rPr>
          <w:b/>
          <w:bCs/>
        </w:rPr>
      </w:pPr>
    </w:p>
    <w:p w14:paraId="5A15C6A4" w14:textId="6EB3E30F" w:rsidR="007549F2" w:rsidRPr="00B10B04" w:rsidRDefault="007549F2" w:rsidP="00FC7C6B">
      <w:pPr>
        <w:pStyle w:val="ListParagraph"/>
        <w:rPr>
          <w:b/>
          <w:bCs/>
        </w:rPr>
      </w:pPr>
    </w:p>
    <w:p w14:paraId="6FBC88CC" w14:textId="275DF805" w:rsidR="006D6F52" w:rsidRPr="006D6F52" w:rsidRDefault="006D6F52" w:rsidP="00E35A4E">
      <w:pPr>
        <w:pStyle w:val="ListParagraph"/>
        <w:rPr>
          <w:b/>
          <w:bCs/>
        </w:rPr>
      </w:pPr>
    </w:p>
    <w:sectPr w:rsidR="006D6F52" w:rsidRPr="006D6F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B41E7"/>
    <w:multiLevelType w:val="multilevel"/>
    <w:tmpl w:val="13B2F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E536BB"/>
    <w:multiLevelType w:val="hybridMultilevel"/>
    <w:tmpl w:val="2168DE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04324A"/>
    <w:multiLevelType w:val="hybridMultilevel"/>
    <w:tmpl w:val="57D03F28"/>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C1B6A10"/>
    <w:multiLevelType w:val="hybridMultilevel"/>
    <w:tmpl w:val="783892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63004007"/>
    <w:multiLevelType w:val="hybridMultilevel"/>
    <w:tmpl w:val="C966F5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16324550">
    <w:abstractNumId w:val="2"/>
  </w:num>
  <w:num w:numId="2" w16cid:durableId="1744452063">
    <w:abstractNumId w:val="4"/>
  </w:num>
  <w:num w:numId="3" w16cid:durableId="18285092">
    <w:abstractNumId w:val="0"/>
  </w:num>
  <w:num w:numId="4" w16cid:durableId="1002515719">
    <w:abstractNumId w:val="1"/>
  </w:num>
  <w:num w:numId="5" w16cid:durableId="8734254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6C19"/>
    <w:rsid w:val="00024F91"/>
    <w:rsid w:val="00087B81"/>
    <w:rsid w:val="0017006E"/>
    <w:rsid w:val="001B1EB7"/>
    <w:rsid w:val="004409F7"/>
    <w:rsid w:val="00454ADD"/>
    <w:rsid w:val="005C6C19"/>
    <w:rsid w:val="005E299D"/>
    <w:rsid w:val="006D6F52"/>
    <w:rsid w:val="006F33A4"/>
    <w:rsid w:val="007549F2"/>
    <w:rsid w:val="007C2403"/>
    <w:rsid w:val="0080731C"/>
    <w:rsid w:val="008E3FD5"/>
    <w:rsid w:val="009C6F4B"/>
    <w:rsid w:val="00A35293"/>
    <w:rsid w:val="00B10B04"/>
    <w:rsid w:val="00B42774"/>
    <w:rsid w:val="00CD2547"/>
    <w:rsid w:val="00CF5A82"/>
    <w:rsid w:val="00D91033"/>
    <w:rsid w:val="00E35A4E"/>
    <w:rsid w:val="00FC7C6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943F8F"/>
  <w15:chartTrackingRefBased/>
  <w15:docId w15:val="{AC5FAECD-30BF-488D-A547-372120CB0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6C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C6C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6C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6C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6C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6C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6C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6C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6C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6C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C6C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6C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6C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6C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6C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6C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6C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6C19"/>
    <w:rPr>
      <w:rFonts w:eastAsiaTheme="majorEastAsia" w:cstheme="majorBidi"/>
      <w:color w:val="272727" w:themeColor="text1" w:themeTint="D8"/>
    </w:rPr>
  </w:style>
  <w:style w:type="paragraph" w:styleId="Title">
    <w:name w:val="Title"/>
    <w:basedOn w:val="Normal"/>
    <w:next w:val="Normal"/>
    <w:link w:val="TitleChar"/>
    <w:uiPriority w:val="10"/>
    <w:qFormat/>
    <w:rsid w:val="005C6C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6C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6C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6C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6C19"/>
    <w:pPr>
      <w:spacing w:before="160"/>
      <w:jc w:val="center"/>
    </w:pPr>
    <w:rPr>
      <w:i/>
      <w:iCs/>
      <w:color w:val="404040" w:themeColor="text1" w:themeTint="BF"/>
    </w:rPr>
  </w:style>
  <w:style w:type="character" w:customStyle="1" w:styleId="QuoteChar">
    <w:name w:val="Quote Char"/>
    <w:basedOn w:val="DefaultParagraphFont"/>
    <w:link w:val="Quote"/>
    <w:uiPriority w:val="29"/>
    <w:rsid w:val="005C6C19"/>
    <w:rPr>
      <w:i/>
      <w:iCs/>
      <w:color w:val="404040" w:themeColor="text1" w:themeTint="BF"/>
    </w:rPr>
  </w:style>
  <w:style w:type="paragraph" w:styleId="ListParagraph">
    <w:name w:val="List Paragraph"/>
    <w:basedOn w:val="Normal"/>
    <w:uiPriority w:val="34"/>
    <w:qFormat/>
    <w:rsid w:val="005C6C19"/>
    <w:pPr>
      <w:ind w:left="720"/>
      <w:contextualSpacing/>
    </w:pPr>
  </w:style>
  <w:style w:type="character" w:styleId="IntenseEmphasis">
    <w:name w:val="Intense Emphasis"/>
    <w:basedOn w:val="DefaultParagraphFont"/>
    <w:uiPriority w:val="21"/>
    <w:qFormat/>
    <w:rsid w:val="005C6C19"/>
    <w:rPr>
      <w:i/>
      <w:iCs/>
      <w:color w:val="2F5496" w:themeColor="accent1" w:themeShade="BF"/>
    </w:rPr>
  </w:style>
  <w:style w:type="paragraph" w:styleId="IntenseQuote">
    <w:name w:val="Intense Quote"/>
    <w:basedOn w:val="Normal"/>
    <w:next w:val="Normal"/>
    <w:link w:val="IntenseQuoteChar"/>
    <w:uiPriority w:val="30"/>
    <w:qFormat/>
    <w:rsid w:val="005C6C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6C19"/>
    <w:rPr>
      <w:i/>
      <w:iCs/>
      <w:color w:val="2F5496" w:themeColor="accent1" w:themeShade="BF"/>
    </w:rPr>
  </w:style>
  <w:style w:type="character" w:styleId="IntenseReference">
    <w:name w:val="Intense Reference"/>
    <w:basedOn w:val="DefaultParagraphFont"/>
    <w:uiPriority w:val="32"/>
    <w:qFormat/>
    <w:rsid w:val="005C6C19"/>
    <w:rPr>
      <w:b/>
      <w:bCs/>
      <w:smallCaps/>
      <w:color w:val="2F5496" w:themeColor="accent1" w:themeShade="BF"/>
      <w:spacing w:val="5"/>
    </w:rPr>
  </w:style>
  <w:style w:type="character" w:styleId="Hyperlink">
    <w:name w:val="Hyperlink"/>
    <w:basedOn w:val="DefaultParagraphFont"/>
    <w:uiPriority w:val="99"/>
    <w:unhideWhenUsed/>
    <w:rsid w:val="009C6F4B"/>
    <w:rPr>
      <w:color w:val="0563C1" w:themeColor="hyperlink"/>
      <w:u w:val="single"/>
    </w:rPr>
  </w:style>
  <w:style w:type="character" w:styleId="UnresolvedMention">
    <w:name w:val="Unresolved Mention"/>
    <w:basedOn w:val="DefaultParagraphFont"/>
    <w:uiPriority w:val="99"/>
    <w:semiHidden/>
    <w:unhideWhenUsed/>
    <w:rsid w:val="009C6F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doi/full/10.3402/gha.v7.25283" TargetMode="External"/><Relationship Id="rId18" Type="http://schemas.openxmlformats.org/officeDocument/2006/relationships/hyperlink" Target="https://www.summerschool-aidi.it/images/papers/session_11_2024/1249_Caporale.pdf" TargetMode="External"/><Relationship Id="rId26" Type="http://schemas.openxmlformats.org/officeDocument/2006/relationships/hyperlink" Target="https://www.sciencedirect.com/science/article/pii/S0147651325018573" TargetMode="External"/><Relationship Id="rId39" Type="http://schemas.openxmlformats.org/officeDocument/2006/relationships/hyperlink" Target="https://ieeexplore.ieee.org/abstract/document/11434333?casa_token=D0ak1mMWChsAAAAA:C8KJExtcJ6MCy51norL5bO8z9Rng5ZQTwz7JwptInexL5xl3bnoSEXMta8iZGfku3GNFC4DE" TargetMode="External"/><Relationship Id="rId21" Type="http://schemas.openxmlformats.org/officeDocument/2006/relationships/hyperlink" Target="https://www.jstage.jst.go.jp/article/indhealth/51/1/51_2012-0165/_article/-char/ja/" TargetMode="External"/><Relationship Id="rId34" Type="http://schemas.openxmlformats.org/officeDocument/2006/relationships/hyperlink" Target="https://papers.ssrn.com/sol3/papers.cfm?abstract_id=3994163" TargetMode="External"/><Relationship Id="rId42" Type="http://schemas.openxmlformats.org/officeDocument/2006/relationships/hyperlink" Target="https://journal.umy.ac.id/index.php/jrc/article/view/27377" TargetMode="External"/><Relationship Id="rId47" Type="http://schemas.openxmlformats.org/officeDocument/2006/relationships/hyperlink" Target="https://cdnsciencepub.com/doi/abs/10.1139/apnm-2018-0173" TargetMode="External"/><Relationship Id="rId50" Type="http://schemas.openxmlformats.org/officeDocument/2006/relationships/hyperlink" Target="https://link.springer.com/article/10.1186/s12889-025-24262-2" TargetMode="External"/><Relationship Id="rId55" Type="http://schemas.openxmlformats.org/officeDocument/2006/relationships/image" Target="media/image1.png"/><Relationship Id="rId7" Type="http://schemas.openxmlformats.org/officeDocument/2006/relationships/hyperlink" Target="https://www.researchgate.net/profile/Tord-Kjellstrom/publication/307616525_The_Social_Implications_of_Occupational_Heat_Stress_on_Migrant_Workers_Engaged_in_Public_Construction/links/5f99babf299bf1b53e4ecd6a/The-Social-Implications-of-Occupational-Heat-Stress-on-Migrant-Workers-Engaged-in-Public-Construction.pdf" TargetMode="External"/><Relationship Id="rId2" Type="http://schemas.openxmlformats.org/officeDocument/2006/relationships/styles" Target="styles.xml"/><Relationship Id="rId16" Type="http://schemas.openxmlformats.org/officeDocument/2006/relationships/hyperlink" Target="https://www.jstage.jst.go.jp/article/indhealth/44/3/44_3_380/_article/-char/ja/" TargetMode="External"/><Relationship Id="rId29" Type="http://schemas.openxmlformats.org/officeDocument/2006/relationships/hyperlink" Target="https://onlinelibrary.wiley.com/doi/abs/10.1002/ajim.22946" TargetMode="External"/><Relationship Id="rId11" Type="http://schemas.openxmlformats.org/officeDocument/2006/relationships/hyperlink" Target="https://ijoh.tums.ac.ir/index.php/ijoh/article/view/90/90" TargetMode="External"/><Relationship Id="rId24" Type="http://schemas.openxmlformats.org/officeDocument/2006/relationships/hyperlink" Target="https://link.springer.com/article/10.1007/s10389-026-02738-8" TargetMode="External"/><Relationship Id="rId32" Type="http://schemas.openxmlformats.org/officeDocument/2006/relationships/hyperlink" Target="https://www.frontiersin.org/journals/public-health/articles/10.3389/fpubh.2025.1578558/full" TargetMode="External"/><Relationship Id="rId37" Type="http://schemas.openxmlformats.org/officeDocument/2006/relationships/hyperlink" Target="https://www.sciencedirect.com/science/article/pii/S2093791124000234" TargetMode="External"/><Relationship Id="rId40" Type="http://schemas.openxmlformats.org/officeDocument/2006/relationships/hyperlink" Target="https://www.mdpi.com/1424-8220/15/7/16956" TargetMode="External"/><Relationship Id="rId45" Type="http://schemas.openxmlformats.org/officeDocument/2006/relationships/hyperlink" Target="https://ieeexplore.ieee.org/abstract/document/11216312?casa_token=Cu0KJni4CmsAAAAA:Hw7m9-XcyD7x-H2sei1Rp5WKJ42mMkrocKJkeTlKVqTfobBwp8iIVnwhFP3F8PB2-4_-9IMT" TargetMode="External"/><Relationship Id="rId53" Type="http://schemas.openxmlformats.org/officeDocument/2006/relationships/hyperlink" Target="https://ieeexplore.ieee.org/abstract/document/9434932?casa_token=HttfcF5MFx4AAAAA:WqTmUF5xRX6BYTTwIyGPBmQcPI2Q2Ng-TYE_p-WSPeG_hF7sjzslop4BQI8GappfzNcpl8BO" TargetMode="External"/><Relationship Id="rId58" Type="http://schemas.openxmlformats.org/officeDocument/2006/relationships/image" Target="media/image4.png"/><Relationship Id="rId5" Type="http://schemas.openxmlformats.org/officeDocument/2006/relationships/hyperlink" Target="https://www.mdpi.com/1660-4601/13/1/89" TargetMode="External"/><Relationship Id="rId61" Type="http://schemas.openxmlformats.org/officeDocument/2006/relationships/theme" Target="theme/theme1.xml"/><Relationship Id="rId19" Type="http://schemas.openxmlformats.org/officeDocument/2006/relationships/hyperlink" Target="https://link.springer.com/article/10.1007/s00484-017-1352-y" TargetMode="External"/><Relationship Id="rId14" Type="http://schemas.openxmlformats.org/officeDocument/2006/relationships/hyperlink" Target="https://www.sciencedirect.com/science/article/abs/pii/S0360132318301434" TargetMode="External"/><Relationship Id="rId22" Type="http://schemas.openxmlformats.org/officeDocument/2006/relationships/hyperlink" Target="https://www.mdpi.com/2254-9625/15/5/65" TargetMode="External"/><Relationship Id="rId27" Type="http://schemas.openxmlformats.org/officeDocument/2006/relationships/hyperlink" Target="https://www.jstage.jst.go.jp/article/joh/66/1/66_uiad017/_article/-char/ja/" TargetMode="External"/><Relationship Id="rId30" Type="http://schemas.openxmlformats.org/officeDocument/2006/relationships/hyperlink" Target="https://pmc.ncbi.nlm.nih.gov/articles/PMC10334395/" TargetMode="External"/><Relationship Id="rId35" Type="http://schemas.openxmlformats.org/officeDocument/2006/relationships/hyperlink" Target="https://ieeexplore.ieee.org/abstract/document/11434333?casa_token=D0ak1mMWChsAAAAA:C8KJExtcJ6MCy51norL5bO8z9Rng5ZQTwz7JwptInexL5xl3bnoSEXMta8iZGfku3GNFC4DE" TargetMode="External"/><Relationship Id="rId43" Type="http://schemas.openxmlformats.org/officeDocument/2006/relationships/hyperlink" Target="https://ieeexplore.ieee.org/abstract/document/10808859?casa_token=twLN5dQFpUUAAAAA:nstudf170HHpYHCTqrOqYLq8N_NoY_xoyl2PhMbGgOWNCy37MQ07dZKAyOt6ojrvgW2fgkaf" TargetMode="External"/><Relationship Id="rId48" Type="http://schemas.openxmlformats.org/officeDocument/2006/relationships/hyperlink" Target="https://link.springer.com/article/10.1007/s13762-021-03862-6" TargetMode="External"/><Relationship Id="rId56" Type="http://schemas.openxmlformats.org/officeDocument/2006/relationships/image" Target="media/image2.png"/><Relationship Id="rId8" Type="http://schemas.openxmlformats.org/officeDocument/2006/relationships/hyperlink" Target="https://link.springer.com/article/10.1007/s40572-025-00481-y" TargetMode="External"/><Relationship Id="rId51" Type="http://schemas.openxmlformats.org/officeDocument/2006/relationships/hyperlink" Target="https://etda.libraries.psu.edu/catalog/27626azo5242" TargetMode="External"/><Relationship Id="rId3" Type="http://schemas.openxmlformats.org/officeDocument/2006/relationships/settings" Target="settings.xml"/><Relationship Id="rId12" Type="http://schemas.openxmlformats.org/officeDocument/2006/relationships/hyperlink" Target="https://pmc.ncbi.nlm.nih.gov/articles/PMC4433731/" TargetMode="External"/><Relationship Id="rId17" Type="http://schemas.openxmlformats.org/officeDocument/2006/relationships/hyperlink" Target="https://www.tandfonline.com/doi/full/10.3402/gha.v3i0.5719" TargetMode="External"/><Relationship Id="rId25" Type="http://schemas.openxmlformats.org/officeDocument/2006/relationships/hyperlink" Target="https://journals.lww.com/joem/abstract/9900/occupational_heat_stress_in_industrial_workers_.1122.aspx" TargetMode="External"/><Relationship Id="rId33" Type="http://schemas.openxmlformats.org/officeDocument/2006/relationships/hyperlink" Target="https://www.mdpi.com/2306-5354/12/11/1276" TargetMode="External"/><Relationship Id="rId38" Type="http://schemas.openxmlformats.org/officeDocument/2006/relationships/hyperlink" Target="https://www.mdpi.com/1424-8220/22/1/395" TargetMode="External"/><Relationship Id="rId46" Type="http://schemas.openxmlformats.org/officeDocument/2006/relationships/hyperlink" Target="https://www.sciencedirect.com/science/article/pii/S0925753524001905" TargetMode="External"/><Relationship Id="rId59" Type="http://schemas.openxmlformats.org/officeDocument/2006/relationships/image" Target="media/image5.png"/><Relationship Id="rId20" Type="http://schemas.openxmlformats.org/officeDocument/2006/relationships/hyperlink" Target="https://www.sciencedirect.com/science/article/abs/pii/S0003687099000241" TargetMode="External"/><Relationship Id="rId41" Type="http://schemas.openxmlformats.org/officeDocument/2006/relationships/hyperlink" Target="https://www.emerald.com/ecam/article-abstract/33/3/2200/1259787/An-IoT-based-heat-stress-management-system-for-the?redirectedFrom=fulltext" TargetMode="External"/><Relationship Id="rId54" Type="http://schemas.openxmlformats.org/officeDocument/2006/relationships/hyperlink" Target="https://www.mdpi.com/1660-4601/17/6/2102" TargetMode="External"/><Relationship Id="rId1" Type="http://schemas.openxmlformats.org/officeDocument/2006/relationships/numbering" Target="numbering.xml"/><Relationship Id="rId6" Type="http://schemas.openxmlformats.org/officeDocument/2006/relationships/hyperlink" Target="https://journals.lww.com/ijoe/fulltext/2016/20020/Research_in_occupational_heat_stress_in_India_.2.aspx" TargetMode="External"/><Relationship Id="rId15" Type="http://schemas.openxmlformats.org/officeDocument/2006/relationships/hyperlink" Target="https://www.sciencedirect.com/science/article/abs/pii/S2210670716304048" TargetMode="External"/><Relationship Id="rId23" Type="http://schemas.openxmlformats.org/officeDocument/2006/relationships/hyperlink" Target="https://journals.nipes.org/index.php/jstrissue/article/view/2743" TargetMode="External"/><Relationship Id="rId28" Type="http://schemas.openxmlformats.org/officeDocument/2006/relationships/hyperlink" Target="https://www.mdpi.com/1660-4601/18/12/6303" TargetMode="External"/><Relationship Id="rId36" Type="http://schemas.openxmlformats.org/officeDocument/2006/relationships/hyperlink" Target="https://www.sciencedirect.com/science/article/pii/S001393512401973X" TargetMode="External"/><Relationship Id="rId49" Type="http://schemas.openxmlformats.org/officeDocument/2006/relationships/hyperlink" Target="https://www.sciencedirect.com/science/article/abs/pii/S0925753521002393" TargetMode="External"/><Relationship Id="rId57" Type="http://schemas.openxmlformats.org/officeDocument/2006/relationships/image" Target="media/image3.png"/><Relationship Id="rId10" Type="http://schemas.openxmlformats.org/officeDocument/2006/relationships/hyperlink" Target="https://www.tandfonline.com/doi/10.1080/15459624.2019.1612523" TargetMode="External"/><Relationship Id="rId31" Type="http://schemas.openxmlformats.org/officeDocument/2006/relationships/hyperlink" Target="https://www.emerald.com/jfm/article-abstract/10/1/59/213562/Developing-a-heat-stress-model-for-construction?redirectedFrom=fulltext" TargetMode="External"/><Relationship Id="rId44" Type="http://schemas.openxmlformats.org/officeDocument/2006/relationships/hyperlink" Target="https://www.tandfonline.com/doi/full/10.1080/15623599.2025.2504550" TargetMode="External"/><Relationship Id="rId52" Type="http://schemas.openxmlformats.org/officeDocument/2006/relationships/hyperlink" Target="https://link.springer.com/article/10.1007/s13143-023-00326-4"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tandfonline.com/doi/epdf/10.1080/0002889738506866?needAccess=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159</TotalTime>
  <Pages>17</Pages>
  <Words>8059</Words>
  <Characters>45941</Characters>
  <Application>Microsoft Office Word</Application>
  <DocSecurity>0</DocSecurity>
  <Lines>382</Lines>
  <Paragraphs>107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Abhijnan B Chandan</dc:creator>
  <cp:keywords/>
  <dc:description/>
  <cp:lastModifiedBy>Abhijnan B Chandan</cp:lastModifiedBy>
  <cp:revision>5</cp:revision>
  <dcterms:created xsi:type="dcterms:W3CDTF">2026-03-30T06:21:00Z</dcterms:created>
  <dcterms:modified xsi:type="dcterms:W3CDTF">2026-03-31T14:32:00Z</dcterms:modified>
</cp:coreProperties>
</file>