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1B1B"/>
          <w:sz w:val="52"/>
        </w:rPr>
        <w:t>RiskWaiver360</w:t>
      </w:r>
    </w:p>
    <w:p/>
    <w:p>
      <w:pPr>
        <w:jc w:val="center"/>
      </w:pPr>
      <w:r>
        <w:rPr>
          <w:b/>
          <w:color w:val="991B1B"/>
          <w:sz w:val="28"/>
        </w:rPr>
        <w:t>GRC Process Exception &amp; Policy Waiver Management Platform</w:t>
      </w:r>
    </w:p>
    <w:p>
      <w:pPr>
        <w:jc w:val="center"/>
      </w:pPr>
      <w:r>
        <w:rPr>
          <w:color w:val="475569"/>
          <w:sz w:val="22"/>
        </w:rPr>
        <w:t>Final Hackathon Submission Documentation</w:t>
      </w:r>
    </w:p>
    <w:p>
      <w:pPr>
        <w:jc w:val="center"/>
      </w:pPr>
      <w:r>
        <w:rPr>
          <w:color w:val="475569"/>
          <w:sz w:val="22"/>
        </w:rPr>
        <w:t>Société Générale Technology Hackathon — PS1</w:t>
      </w:r>
    </w:p>
    <w:p>
      <w:r>
        <w:br w:type="page"/>
      </w:r>
    </w:p>
    <w:p>
      <w:pPr>
        <w:pStyle w:val="Heading1"/>
      </w:pPr>
      <w:r>
        <w:rPr>
          <w:color w:val="991B1B"/>
          <w:sz w:val="40"/>
        </w:rPr>
        <w:t>RiskWaiver360 — GRC Process Exception &amp; Policy Waiver Management Platform</w:t>
      </w:r>
    </w:p>
    <w:p>
      <w:pPr>
        <w:spacing w:after="120"/>
      </w:pPr>
      <w:r>
        <w:rPr>
          <w:b/>
        </w:rPr>
        <w:t>Final Hackathon Submission Documentation</w:t>
      </w:r>
    </w:p>
    <w:p>
      <w:pPr>
        <w:spacing w:after="120"/>
      </w:pPr>
      <w:r>
        <w:rPr>
          <w:b w:val="0"/>
        </w:rPr>
        <w:t>Société Générale Technology Hackathon — PS1: GRC Process Exception &amp; Policy Waiver Management</w:t>
      </w:r>
    </w:p>
    <w:p>
      <w:pPr>
        <w:pStyle w:val="Heading2"/>
      </w:pPr>
      <w:r>
        <w:rPr>
          <w:color w:val="991B1B"/>
          <w:sz w:val="28"/>
        </w:rPr>
        <w:t>Table of Contents</w:t>
      </w:r>
    </w:p>
    <w:p>
      <w:pPr>
        <w:pStyle w:val="ListNumber"/>
        <w:spacing w:after="60"/>
      </w:pPr>
      <w:r>
        <w:rPr>
          <w:b w:val="0"/>
        </w:rPr>
        <w:t>[Project Title](#1-project-title)</w:t>
      </w:r>
    </w:p>
    <w:p>
      <w:pPr>
        <w:pStyle w:val="ListNumber"/>
        <w:spacing w:after="60"/>
      </w:pPr>
      <w:r>
        <w:rPr>
          <w:b w:val="0"/>
        </w:rPr>
        <w:t>[Problem Statement](#2-problem-statement)</w:t>
      </w:r>
    </w:p>
    <w:p>
      <w:pPr>
        <w:pStyle w:val="ListNumber"/>
        <w:spacing w:after="60"/>
      </w:pPr>
      <w:r>
        <w:rPr>
          <w:b w:val="0"/>
        </w:rPr>
        <w:t>[Business Objective](#3-business-objective)</w:t>
      </w:r>
    </w:p>
    <w:p>
      <w:pPr>
        <w:pStyle w:val="ListNumber"/>
        <w:spacing w:after="60"/>
      </w:pPr>
      <w:r>
        <w:rPr>
          <w:b w:val="0"/>
        </w:rPr>
        <w:t>[System Architecture](#4-system-architecture)</w:t>
      </w:r>
    </w:p>
    <w:p>
      <w:pPr>
        <w:pStyle w:val="ListNumber"/>
        <w:spacing w:after="60"/>
      </w:pPr>
      <w:r>
        <w:rPr>
          <w:b w:val="0"/>
        </w:rPr>
        <w:t>[User Roles](#5-user-roles)</w:t>
      </w:r>
    </w:p>
    <w:p>
      <w:pPr>
        <w:pStyle w:val="ListNumber"/>
        <w:spacing w:after="60"/>
      </w:pPr>
      <w:r>
        <w:rPr>
          <w:b w:val="0"/>
        </w:rPr>
        <w:t>[Core Workflow](#6-core-workflow)</w:t>
      </w:r>
    </w:p>
    <w:p>
      <w:pPr>
        <w:pStyle w:val="ListNumber"/>
        <w:spacing w:after="60"/>
      </w:pPr>
      <w:r>
        <w:rPr>
          <w:b w:val="0"/>
        </w:rPr>
        <w:t>[Main Features](#7-main-features)</w:t>
      </w:r>
    </w:p>
    <w:p>
      <w:pPr>
        <w:pStyle w:val="ListNumber"/>
        <w:spacing w:after="60"/>
      </w:pPr>
      <w:r>
        <w:rPr>
          <w:b w:val="0"/>
        </w:rPr>
        <w:t>[Risk Scoring Model](#8-risk-scoring-model)</w:t>
      </w:r>
    </w:p>
    <w:p>
      <w:pPr>
        <w:pStyle w:val="ListNumber"/>
        <w:spacing w:after="60"/>
      </w:pPr>
      <w:r>
        <w:rPr>
          <w:b w:val="0"/>
        </w:rPr>
        <w:t>[Alert System](#9-alert-system)</w:t>
      </w:r>
    </w:p>
    <w:p>
      <w:pPr>
        <w:pStyle w:val="ListNumber"/>
        <w:spacing w:after="60"/>
      </w:pPr>
      <w:r>
        <w:rPr>
          <w:b w:val="0"/>
        </w:rPr>
        <w:t>[GRC Intelligence](#10-grc-intelligence)</w:t>
      </w:r>
    </w:p>
    <w:p>
      <w:pPr>
        <w:pStyle w:val="ListNumber"/>
        <w:spacing w:after="60"/>
      </w:pPr>
      <w:r>
        <w:rPr>
          <w:b w:val="0"/>
        </w:rPr>
        <w:t>[Compliance Alignment](#11-compliance-alignment)</w:t>
      </w:r>
    </w:p>
    <w:p>
      <w:pPr>
        <w:pStyle w:val="ListNumber"/>
        <w:spacing w:after="60"/>
      </w:pPr>
      <w:r>
        <w:rPr>
          <w:b w:val="0"/>
        </w:rPr>
        <w:t>[CIA Triad Mapping](#12-cia-triad-mapping)</w:t>
      </w:r>
    </w:p>
    <w:p>
      <w:pPr>
        <w:pStyle w:val="ListNumber"/>
        <w:spacing w:after="60"/>
      </w:pPr>
      <w:r>
        <w:rPr>
          <w:b w:val="0"/>
        </w:rPr>
        <w:t>[Audit Readiness](#13-audit-readiness)</w:t>
      </w:r>
    </w:p>
    <w:p>
      <w:pPr>
        <w:pStyle w:val="ListNumber"/>
        <w:spacing w:after="60"/>
      </w:pPr>
      <w:r>
        <w:rPr>
          <w:b w:val="0"/>
        </w:rPr>
        <w:t>[Technology Stack](#14-technology-stack)</w:t>
      </w:r>
    </w:p>
    <w:p>
      <w:pPr>
        <w:pStyle w:val="ListNumber"/>
        <w:spacing w:after="60"/>
      </w:pPr>
      <w:r>
        <w:rPr>
          <w:b w:val="0"/>
        </w:rPr>
        <w:t>[Run Instructions](#15-run-instructions)</w:t>
      </w:r>
    </w:p>
    <w:p>
      <w:pPr>
        <w:pStyle w:val="ListNumber"/>
        <w:spacing w:after="60"/>
      </w:pPr>
      <w:r>
        <w:rPr>
          <w:b w:val="0"/>
        </w:rPr>
        <w:t>[Demo Accounts](#16-demo-accounts)</w:t>
      </w:r>
    </w:p>
    <w:p>
      <w:pPr>
        <w:pStyle w:val="ListNumber"/>
        <w:spacing w:after="60"/>
      </w:pPr>
      <w:r>
        <w:rPr>
          <w:b w:val="0"/>
        </w:rPr>
        <w:t>[Prototype Limitations](#17-prototype-limitations)</w:t>
      </w:r>
    </w:p>
    <w:p>
      <w:pPr>
        <w:pStyle w:val="ListNumber"/>
        <w:spacing w:after="60"/>
      </w:pPr>
      <w:r>
        <w:rPr>
          <w:b w:val="0"/>
        </w:rPr>
        <w:t>[Production Roadmap](#18-production-roadmap)</w:t>
      </w:r>
    </w:p>
    <w:p>
      <w:pPr>
        <w:pStyle w:val="ListNumber"/>
        <w:spacing w:after="60"/>
      </w:pPr>
      <w:r>
        <w:rPr>
          <w:b w:val="0"/>
        </w:rPr>
        <w:t>[Future AI Enhancements](#19-future-ai-enhancements)</w:t>
      </w:r>
    </w:p>
    <w:p>
      <w:pPr>
        <w:pStyle w:val="ListNumber"/>
        <w:spacing w:after="60"/>
      </w:pPr>
      <w:r>
        <w:rPr>
          <w:b w:val="0"/>
        </w:rPr>
        <w:t>[Conclusion](#20-conclusion)</w:t>
      </w:r>
    </w:p>
    <w:p>
      <w:pPr>
        <w:pStyle w:val="Heading2"/>
      </w:pPr>
      <w:r>
        <w:rPr>
          <w:color w:val="991B1B"/>
          <w:sz w:val="28"/>
        </w:rPr>
        <w:t>1. Project Title</w:t>
      </w:r>
    </w:p>
    <w:p>
      <w:pPr>
        <w:spacing w:after="120"/>
      </w:pPr>
      <w:r>
        <w:rPr>
          <w:b/>
        </w:rPr>
        <w:t>RiskWaiver360 — GRC Process Exception &amp; Policy Waiver Management Platform</w:t>
      </w:r>
    </w:p>
    <w:p>
      <w:pPr>
        <w:spacing w:after="120"/>
      </w:pPr>
      <w:r>
        <w:rPr>
          <w:b w:val="0"/>
        </w:rPr>
        <w:t>RiskWaiver360 is a full-stack working prototype that centralizes every security policy exception and waiver into a single trusted system — with risk scoring, lifecycle tracking, alert monitoring, conflict detection, and one-click audit-ready reporting.</w:t>
      </w:r>
    </w:p>
    <w:p>
      <w:pPr>
        <w:pStyle w:val="Heading2"/>
      </w:pPr>
      <w:r>
        <w:rPr>
          <w:color w:val="991B1B"/>
          <w:sz w:val="28"/>
        </w:rPr>
        <w:t>2. Problem Statement</w:t>
      </w:r>
    </w:p>
    <w:p>
      <w:pPr>
        <w:pStyle w:val="Heading3"/>
      </w:pPr>
      <w:r>
        <w:rPr>
          <w:color w:val="1E293B"/>
          <w:sz w:val="24"/>
        </w:rPr>
        <w:t>The Enterprise Reality</w:t>
      </w:r>
    </w:p>
    <w:p>
      <w:pPr>
        <w:spacing w:after="120"/>
      </w:pPr>
      <w:r>
        <w:rPr>
          <w:b w:val="0"/>
        </w:rPr>
        <w:t>In most enterprises today, security policy exceptions — commonly called "waivers" — are not formally managed. They live in:</w:t>
      </w:r>
    </w:p>
    <w:p>
      <w:pPr>
        <w:pStyle w:val="ListBullet"/>
        <w:spacing w:after="60"/>
      </w:pPr>
      <w:r>
        <w:rPr>
          <w:b/>
        </w:rPr>
        <w:t>Emails</w:t>
      </w:r>
      <w:r>
        <w:rPr>
          <w:b w:val="0"/>
        </w:rPr>
        <w:t xml:space="preserve"> between security teams and business units</w:t>
      </w:r>
    </w:p>
    <w:p>
      <w:pPr>
        <w:pStyle w:val="ListBullet"/>
        <w:spacing w:after="60"/>
      </w:pPr>
      <w:r>
        <w:rPr>
          <w:b/>
        </w:rPr>
        <w:t>Excel spreadsheets</w:t>
      </w:r>
      <w:r>
        <w:rPr>
          <w:b w:val="0"/>
        </w:rPr>
        <w:t xml:space="preserve"> shared over file shares or email</w:t>
      </w:r>
    </w:p>
    <w:p>
      <w:pPr>
        <w:pStyle w:val="ListBullet"/>
        <w:spacing w:after="60"/>
      </w:pPr>
      <w:r>
        <w:rPr>
          <w:b/>
        </w:rPr>
        <w:t>Slack and chat messages</w:t>
      </w:r>
      <w:r>
        <w:rPr>
          <w:b w:val="0"/>
        </w:rPr>
        <w:t xml:space="preserve"> that disappear over time</w:t>
      </w:r>
    </w:p>
    <w:p>
      <w:pPr>
        <w:pStyle w:val="ListBullet"/>
        <w:spacing w:after="60"/>
      </w:pPr>
      <w:r>
        <w:rPr>
          <w:b/>
        </w:rPr>
        <w:t>Verbal approvals</w:t>
      </w:r>
      <w:r>
        <w:rPr>
          <w:b w:val="0"/>
        </w:rPr>
        <w:t xml:space="preserve"> with no recorded evidence</w:t>
      </w:r>
    </w:p>
    <w:p>
      <w:pPr>
        <w:pStyle w:val="ListBullet"/>
        <w:spacing w:after="60"/>
      </w:pPr>
      <w:r>
        <w:rPr>
          <w:b/>
        </w:rPr>
        <w:t>Informal PDF forms</w:t>
      </w:r>
      <w:r>
        <w:rPr>
          <w:b w:val="0"/>
        </w:rPr>
        <w:t xml:space="preserve"> stored in unindexed folders</w:t>
      </w:r>
    </w:p>
    <w:p>
      <w:pPr>
        <w:spacing w:after="120"/>
      </w:pPr>
      <w:r>
        <w:rPr>
          <w:b w:val="0"/>
        </w:rPr>
        <w:t>This informal approach creates serious, compounding risks:</w:t>
      </w:r>
    </w:p>
    <w:p>
      <w:pPr>
        <w:pStyle w:val="Heading3"/>
      </w:pPr>
      <w:r>
        <w:rPr>
          <w:color w:val="1E293B"/>
          <w:sz w:val="24"/>
        </w:rPr>
        <w:t>Core Failure Patterns</w:t>
      </w:r>
    </w:p>
    <w:tbl>
      <w:tblPr>
        <w:tblStyle w:val="TableGrid"/>
        <w:tblW w:type="auto" w:w="0"/>
        <w:tblLook w:firstColumn="1" w:firstRow="1" w:lastColumn="0" w:lastRow="0" w:noHBand="0" w:noVBand="1" w:val="04A0"/>
      </w:tblPr>
      <w:tblGrid>
        <w:gridCol w:w="4986"/>
        <w:gridCol w:w="4986"/>
      </w:tblGrid>
      <w:tr>
        <w:tc>
          <w:tcPr>
            <w:tcW w:type="dxa" w:w="4986"/>
            <w:shd w:val="clear" w:color="auto" w:fill="991B1B"/>
          </w:tcPr>
          <w:p>
            <w:pPr>
              <w:spacing w:before="60" w:after="60"/>
            </w:pPr>
            <w:r>
              <w:rPr>
                <w:b/>
                <w:color w:val="FFFFFF"/>
                <w:sz w:val="18"/>
              </w:rPr>
              <w:t>Failure</w:t>
            </w:r>
          </w:p>
        </w:tc>
        <w:tc>
          <w:tcPr>
            <w:tcW w:type="dxa" w:w="4986"/>
            <w:shd w:val="clear" w:color="auto" w:fill="991B1B"/>
          </w:tcPr>
          <w:p>
            <w:pPr>
              <w:spacing w:before="60" w:after="60"/>
            </w:pPr>
            <w:r>
              <w:rPr>
                <w:b/>
                <w:color w:val="FFFFFF"/>
                <w:sz w:val="18"/>
              </w:rPr>
              <w:t>Impact</w:t>
            </w:r>
          </w:p>
        </w:tc>
      </w:tr>
      <w:tr>
        <w:tc>
          <w:tcPr>
            <w:tcW w:type="dxa" w:w="4986"/>
            <w:shd w:val="clear" w:color="auto" w:fill="FFFFFF"/>
          </w:tcPr>
          <w:p>
            <w:pPr>
              <w:spacing w:before="40" w:after="40"/>
            </w:pPr>
            <w:r>
              <w:rPr>
                <w:sz w:val="18"/>
              </w:rPr>
              <w:t>**Scattered exception records**</w:t>
            </w:r>
          </w:p>
        </w:tc>
        <w:tc>
          <w:tcPr>
            <w:tcW w:type="dxa" w:w="4986"/>
            <w:shd w:val="clear" w:color="auto" w:fill="FFFFFF"/>
          </w:tcPr>
          <w:p>
            <w:pPr>
              <w:spacing w:before="40" w:after="40"/>
            </w:pPr>
            <w:r>
              <w:rPr>
                <w:sz w:val="18"/>
              </w:rPr>
              <w:t>No single source of truth; leadership cannot answer "who currently holds which exception, and why?"</w:t>
            </w:r>
          </w:p>
        </w:tc>
      </w:tr>
      <w:tr>
        <w:tc>
          <w:tcPr>
            <w:tcW w:type="dxa" w:w="4986"/>
            <w:shd w:val="clear" w:color="auto" w:fill="FFF7F7"/>
          </w:tcPr>
          <w:p>
            <w:pPr>
              <w:spacing w:before="40" w:after="40"/>
            </w:pPr>
            <w:r>
              <w:rPr>
                <w:sz w:val="18"/>
              </w:rPr>
              <w:t>**Temporary exceptions become permanent**</w:t>
            </w:r>
          </w:p>
        </w:tc>
        <w:tc>
          <w:tcPr>
            <w:tcW w:type="dxa" w:w="4986"/>
            <w:shd w:val="clear" w:color="auto" w:fill="FFF7F7"/>
          </w:tcPr>
          <w:p>
            <w:pPr>
              <w:spacing w:before="40" w:after="40"/>
            </w:pPr>
            <w:r>
              <w:rPr>
                <w:sz w:val="18"/>
              </w:rPr>
              <w:t>A "2-week firewall opening" approved in 2022 is still active in 2025 because nobody tracked the expiry</w:t>
            </w:r>
          </w:p>
        </w:tc>
      </w:tr>
      <w:tr>
        <w:tc>
          <w:tcPr>
            <w:tcW w:type="dxa" w:w="4986"/>
            <w:shd w:val="clear" w:color="auto" w:fill="FFFFFF"/>
          </w:tcPr>
          <w:p>
            <w:pPr>
              <w:spacing w:before="40" w:after="40"/>
            </w:pPr>
            <w:r>
              <w:rPr>
                <w:sz w:val="18"/>
              </w:rPr>
              <w:t>**Expired exceptions are never revoked**</w:t>
            </w:r>
          </w:p>
        </w:tc>
        <w:tc>
          <w:tcPr>
            <w:tcW w:type="dxa" w:w="4986"/>
            <w:shd w:val="clear" w:color="auto" w:fill="FFFFFF"/>
          </w:tcPr>
          <w:p>
            <w:pPr>
              <w:spacing w:before="40" w:after="40"/>
            </w:pPr>
            <w:r>
              <w:rPr>
                <w:sz w:val="18"/>
              </w:rPr>
              <w:t>Active sessions, firewall rules, and encryption waivers remain open long after the business need has passed</w:t>
            </w:r>
          </w:p>
        </w:tc>
      </w:tr>
      <w:tr>
        <w:tc>
          <w:tcPr>
            <w:tcW w:type="dxa" w:w="4986"/>
            <w:shd w:val="clear" w:color="auto" w:fill="FFF7F7"/>
          </w:tcPr>
          <w:p>
            <w:pPr>
              <w:spacing w:before="40" w:after="40"/>
            </w:pPr>
            <w:r>
              <w:rPr>
                <w:sz w:val="18"/>
              </w:rPr>
              <w:t>**No accountability for owners**</w:t>
            </w:r>
          </w:p>
        </w:tc>
        <w:tc>
          <w:tcPr>
            <w:tcW w:type="dxa" w:w="4986"/>
            <w:shd w:val="clear" w:color="auto" w:fill="FFF7F7"/>
          </w:tcPr>
          <w:p>
            <w:pPr>
              <w:spacing w:before="40" w:after="40"/>
            </w:pPr>
            <w:r>
              <w:rPr>
                <w:sz w:val="18"/>
              </w:rPr>
              <w:t>When the employee who owned an exception leaves, the exception becomes orphaned — active with no responsible party</w:t>
            </w:r>
          </w:p>
        </w:tc>
      </w:tr>
      <w:tr>
        <w:tc>
          <w:tcPr>
            <w:tcW w:type="dxa" w:w="4986"/>
            <w:shd w:val="clear" w:color="auto" w:fill="FFFFFF"/>
          </w:tcPr>
          <w:p>
            <w:pPr>
              <w:spacing w:before="40" w:after="40"/>
            </w:pPr>
            <w:r>
              <w:rPr>
                <w:sz w:val="18"/>
              </w:rPr>
              <w:t>**Vague justifications**</w:t>
            </w:r>
          </w:p>
        </w:tc>
        <w:tc>
          <w:tcPr>
            <w:tcW w:type="dxa" w:w="4986"/>
            <w:shd w:val="clear" w:color="auto" w:fill="FFFFFF"/>
          </w:tcPr>
          <w:p>
            <w:pPr>
              <w:spacing w:before="40" w:after="40"/>
            </w:pPr>
            <w:r>
              <w:rPr>
                <w:sz w:val="18"/>
              </w:rPr>
              <w:t>"Needed for business" or "testing" justifications are approved without scrutiny, creating undocumented risk</w:t>
            </w:r>
          </w:p>
        </w:tc>
      </w:tr>
      <w:tr>
        <w:tc>
          <w:tcPr>
            <w:tcW w:type="dxa" w:w="4986"/>
            <w:shd w:val="clear" w:color="auto" w:fill="FFF7F7"/>
          </w:tcPr>
          <w:p>
            <w:pPr>
              <w:spacing w:before="40" w:after="40"/>
            </w:pPr>
            <w:r>
              <w:rPr>
                <w:sz w:val="18"/>
              </w:rPr>
              <w:t>**Risk accumulation**</w:t>
            </w:r>
          </w:p>
        </w:tc>
        <w:tc>
          <w:tcPr>
            <w:tcW w:type="dxa" w:w="4986"/>
            <w:shd w:val="clear" w:color="auto" w:fill="FFF7F7"/>
          </w:tcPr>
          <w:p>
            <w:pPr>
              <w:spacing w:before="40" w:after="40"/>
            </w:pPr>
            <w:r>
              <w:rPr>
                <w:sz w:val="18"/>
              </w:rPr>
              <w:t>Ten individually "low" exceptions on one system combine into a critical, invisible exposure that no one is tracking holistically</w:t>
            </w:r>
          </w:p>
        </w:tc>
      </w:tr>
      <w:tr>
        <w:tc>
          <w:tcPr>
            <w:tcW w:type="dxa" w:w="4986"/>
            <w:shd w:val="clear" w:color="auto" w:fill="FFFFFF"/>
          </w:tcPr>
          <w:p>
            <w:pPr>
              <w:spacing w:before="40" w:after="40"/>
            </w:pPr>
            <w:r>
              <w:rPr>
                <w:sz w:val="18"/>
              </w:rPr>
              <w:t>**Audit failures**</w:t>
            </w:r>
          </w:p>
        </w:tc>
        <w:tc>
          <w:tcPr>
            <w:tcW w:type="dxa" w:w="4986"/>
            <w:shd w:val="clear" w:color="auto" w:fill="FFFFFF"/>
          </w:tcPr>
          <w:p>
            <w:pPr>
              <w:spacing w:before="40" w:after="40"/>
            </w:pPr>
            <w:r>
              <w:rPr>
                <w:sz w:val="18"/>
              </w:rPr>
              <w:t>When an auditor asks "show every exception, who approved it, why, and evidence it has been reviewed," teams fail even if nothing was breached</w:t>
            </w:r>
          </w:p>
        </w:tc>
      </w:tr>
      <w:tr>
        <w:tc>
          <w:tcPr>
            <w:tcW w:type="dxa" w:w="4986"/>
            <w:shd w:val="clear" w:color="auto" w:fill="FFF7F7"/>
          </w:tcPr>
          <w:p>
            <w:pPr>
              <w:spacing w:before="40" w:after="40"/>
            </w:pPr>
            <w:r>
              <w:rPr>
                <w:sz w:val="18"/>
              </w:rPr>
              <w:t>**Conflicting approvals**</w:t>
            </w:r>
          </w:p>
        </w:tc>
        <w:tc>
          <w:tcPr>
            <w:tcW w:type="dxa" w:w="4986"/>
            <w:shd w:val="clear" w:color="auto" w:fill="FFF7F7"/>
          </w:tcPr>
          <w:p>
            <w:pPr>
              <w:spacing w:before="40" w:after="40"/>
            </w:pPr>
            <w:r>
              <w:rPr>
                <w:sz w:val="18"/>
              </w:rPr>
              <w:t>One approver approves an exception another has rejected — nobody detects the conflict</w:t>
            </w:r>
          </w:p>
        </w:tc>
      </w:tr>
      <w:tr>
        <w:tc>
          <w:tcPr>
            <w:tcW w:type="dxa" w:w="4986"/>
            <w:shd w:val="clear" w:color="auto" w:fill="FFFFFF"/>
          </w:tcPr>
          <w:p>
            <w:pPr>
              <w:spacing w:before="40" w:after="40"/>
            </w:pPr>
            <w:r>
              <w:rPr>
                <w:sz w:val="18"/>
              </w:rPr>
              <w:t>**Overlapping waivers**</w:t>
            </w:r>
          </w:p>
        </w:tc>
        <w:tc>
          <w:tcPr>
            <w:tcW w:type="dxa" w:w="4986"/>
            <w:shd w:val="clear" w:color="auto" w:fill="FFFFFF"/>
          </w:tcPr>
          <w:p>
            <w:pPr>
              <w:spacing w:before="40" w:after="40"/>
            </w:pPr>
            <w:r>
              <w:rPr>
                <w:sz w:val="18"/>
              </w:rPr>
              <w:t>Two teams raise separate exceptions for the same asset and policy — creating ambiguity and double-counted risk</w:t>
            </w:r>
          </w:p>
        </w:tc>
      </w:tr>
    </w:tbl>
    <w:p/>
    <w:p>
      <w:pPr>
        <w:pStyle w:val="Heading3"/>
      </w:pPr>
      <w:r>
        <w:rPr>
          <w:color w:val="1E293B"/>
          <w:sz w:val="24"/>
        </w:rPr>
        <w:t>Why This Matters Now</w:t>
      </w:r>
    </w:p>
    <w:p>
      <w:pPr>
        <w:spacing w:after="120"/>
      </w:pPr>
      <w:r>
        <w:rPr>
          <w:b w:val="0"/>
        </w:rPr>
        <w:t>Regulatory standards such as NIST AC-2, GDPR Article 25, and CIS Controls explicitly require that policy deviations be documented, justified, time-limited, reviewed, and revoked when no longer needed. Enterprises that cannot demonstrate this control fail audits, face regulatory penalties, and carry hidden attack paths in their security posture.</w:t>
      </w:r>
    </w:p>
    <w:p>
      <w:pPr>
        <w:pStyle w:val="Heading2"/>
      </w:pPr>
      <w:r>
        <w:rPr>
          <w:color w:val="991B1B"/>
          <w:sz w:val="28"/>
        </w:rPr>
        <w:t>3. Business Objective</w:t>
      </w:r>
    </w:p>
    <w:p>
      <w:pPr>
        <w:spacing w:after="120"/>
      </w:pPr>
      <w:r>
        <w:rPr>
          <w:b w:val="0"/>
        </w:rPr>
        <w:t>RiskWaiver360 addresses every failure pattern listed above through a single, integrated platform with the following objectives:</w:t>
      </w:r>
    </w:p>
    <w:p>
      <w:pPr>
        <w:pStyle w:val="Heading3"/>
      </w:pPr>
      <w:r>
        <w:rPr>
          <w:color w:val="1E293B"/>
          <w:sz w:val="24"/>
        </w:rPr>
        <w:t>Primary Objectives</w:t>
      </w:r>
    </w:p>
    <w:p>
      <w:pPr>
        <w:pStyle w:val="ListNumber"/>
        <w:spacing w:after="60"/>
      </w:pPr>
      <w:r>
        <w:rPr>
          <w:b/>
        </w:rPr>
        <w:t>Centralize</w:t>
      </w:r>
      <w:r>
        <w:rPr>
          <w:b w:val="0"/>
        </w:rPr>
        <w:t xml:space="preserve"> all security policy exceptions into one searchable, structured registry — eliminating email and Excel chaos</w:t>
      </w:r>
    </w:p>
    <w:p>
      <w:pPr>
        <w:pStyle w:val="ListNumber"/>
        <w:spacing w:after="60"/>
      </w:pPr>
      <w:r>
        <w:rPr>
          <w:b/>
        </w:rPr>
        <w:t>Score risk</w:t>
      </w:r>
      <w:r>
        <w:rPr>
          <w:b w:val="0"/>
        </w:rPr>
        <w:t xml:space="preserve"> for every exception using a transparent, explainable rule-based model — giving security teams a prioritized view of where risk is highest</w:t>
      </w:r>
    </w:p>
    <w:p>
      <w:pPr>
        <w:pStyle w:val="ListNumber"/>
        <w:spacing w:after="60"/>
      </w:pPr>
      <w:r>
        <w:rPr>
          <w:b/>
        </w:rPr>
        <w:t>Track lifecycle</w:t>
      </w:r>
      <w:r>
        <w:rPr>
          <w:b w:val="0"/>
        </w:rPr>
        <w:t xml:space="preserve"> through formal states (submitted → reviewed → approved → active → expiring → renewed/revoked) — preventing temporary exceptions from becoming permanent</w:t>
      </w:r>
    </w:p>
    <w:p>
      <w:pPr>
        <w:pStyle w:val="ListNumber"/>
        <w:spacing w:after="60"/>
      </w:pPr>
      <w:r>
        <w:rPr>
          <w:b/>
        </w:rPr>
        <w:t>Monitor expiry</w:t>
      </w:r>
      <w:r>
        <w:rPr>
          <w:b w:val="0"/>
        </w:rPr>
        <w:t xml:space="preserve"> and ownership continuously — generating automatic alerts before exceptions lapse or become orphaned</w:t>
      </w:r>
    </w:p>
    <w:p>
      <w:pPr>
        <w:pStyle w:val="ListNumber"/>
        <w:spacing w:after="60"/>
      </w:pPr>
      <w:r>
        <w:rPr>
          <w:b/>
        </w:rPr>
        <w:t>Detect conflicts</w:t>
      </w:r>
      <w:r>
        <w:rPr>
          <w:b w:val="0"/>
        </w:rPr>
        <w:t xml:space="preserve"> — surface overlapping exceptions, duplicate waivers, and conflicting approvals that no spreadsheet would catch</w:t>
      </w:r>
    </w:p>
    <w:p>
      <w:pPr>
        <w:pStyle w:val="ListNumber"/>
        <w:spacing w:after="60"/>
      </w:pPr>
      <w:r>
        <w:rPr>
          <w:b/>
        </w:rPr>
        <w:t>Generate audit evidence</w:t>
      </w:r>
      <w:r>
        <w:rPr>
          <w:b w:val="0"/>
        </w:rPr>
        <w:t xml:space="preserve"> — produce a complete, immutable record of every decision, comment, action, and risk score for every exception, ready for auditor review in one click</w:t>
      </w:r>
    </w:p>
    <w:p>
      <w:pPr>
        <w:pStyle w:val="Heading3"/>
      </w:pPr>
      <w:r>
        <w:rPr>
          <w:color w:val="1E293B"/>
          <w:sz w:val="24"/>
        </w:rPr>
        <w:t>Business Value Delivered</w:t>
      </w:r>
    </w:p>
    <w:tbl>
      <w:tblPr>
        <w:tblStyle w:val="TableGrid"/>
        <w:tblW w:type="auto" w:w="0"/>
        <w:tblLook w:firstColumn="1" w:firstRow="1" w:lastColumn="0" w:lastRow="0" w:noHBand="0" w:noVBand="1" w:val="04A0"/>
      </w:tblPr>
      <w:tblGrid>
        <w:gridCol w:w="4986"/>
        <w:gridCol w:w="4986"/>
      </w:tblGrid>
      <w:tr>
        <w:tc>
          <w:tcPr>
            <w:tcW w:type="dxa" w:w="4986"/>
            <w:shd w:val="clear" w:color="auto" w:fill="991B1B"/>
          </w:tcPr>
          <w:p>
            <w:pPr>
              <w:spacing w:before="60" w:after="60"/>
            </w:pPr>
            <w:r>
              <w:rPr>
                <w:b/>
                <w:color w:val="FFFFFF"/>
                <w:sz w:val="18"/>
              </w:rPr>
              <w:t>Business Need</w:t>
            </w:r>
          </w:p>
        </w:tc>
        <w:tc>
          <w:tcPr>
            <w:tcW w:type="dxa" w:w="4986"/>
            <w:shd w:val="clear" w:color="auto" w:fill="991B1B"/>
          </w:tcPr>
          <w:p>
            <w:pPr>
              <w:spacing w:before="60" w:after="60"/>
            </w:pPr>
            <w:r>
              <w:rPr>
                <w:b/>
                <w:color w:val="FFFFFF"/>
                <w:sz w:val="18"/>
              </w:rPr>
              <w:t>How RiskWaiver360 Delivers It</w:t>
            </w:r>
          </w:p>
        </w:tc>
      </w:tr>
      <w:tr>
        <w:tc>
          <w:tcPr>
            <w:tcW w:type="dxa" w:w="4986"/>
            <w:shd w:val="clear" w:color="auto" w:fill="FFFFFF"/>
          </w:tcPr>
          <w:p>
            <w:pPr>
              <w:spacing w:before="40" w:after="40"/>
            </w:pPr>
            <w:r>
              <w:rPr>
                <w:sz w:val="18"/>
              </w:rPr>
              <w:t>Visibility into active exceptions</w:t>
            </w:r>
          </w:p>
        </w:tc>
        <w:tc>
          <w:tcPr>
            <w:tcW w:type="dxa" w:w="4986"/>
            <w:shd w:val="clear" w:color="auto" w:fill="FFFFFF"/>
          </w:tcPr>
          <w:p>
            <w:pPr>
              <w:spacing w:before="40" w:after="40"/>
            </w:pPr>
            <w:r>
              <w:rPr>
                <w:sz w:val="18"/>
              </w:rPr>
              <w:t>Centralized registry + portfolio dashboard with risk heatmap</w:t>
            </w:r>
          </w:p>
        </w:tc>
      </w:tr>
      <w:tr>
        <w:tc>
          <w:tcPr>
            <w:tcW w:type="dxa" w:w="4986"/>
            <w:shd w:val="clear" w:color="auto" w:fill="FFF7F7"/>
          </w:tcPr>
          <w:p>
            <w:pPr>
              <w:spacing w:before="40" w:after="40"/>
            </w:pPr>
            <w:r>
              <w:rPr>
                <w:sz w:val="18"/>
              </w:rPr>
              <w:t>Expiry and renewal governance</w:t>
            </w:r>
          </w:p>
        </w:tc>
        <w:tc>
          <w:tcPr>
            <w:tcW w:type="dxa" w:w="4986"/>
            <w:shd w:val="clear" w:color="auto" w:fill="FFF7F7"/>
          </w:tcPr>
          <w:p>
            <w:pPr>
              <w:spacing w:before="40" w:after="40"/>
            </w:pPr>
            <w:r>
              <w:rPr>
                <w:sz w:val="18"/>
              </w:rPr>
              <w:t>Automatic expiry tracking, `expiring_soon` / `overdue` statuses, alert engine</w:t>
            </w:r>
          </w:p>
        </w:tc>
      </w:tr>
      <w:tr>
        <w:tc>
          <w:tcPr>
            <w:tcW w:type="dxa" w:w="4986"/>
            <w:shd w:val="clear" w:color="auto" w:fill="FFFFFF"/>
          </w:tcPr>
          <w:p>
            <w:pPr>
              <w:spacing w:before="40" w:after="40"/>
            </w:pPr>
            <w:r>
              <w:rPr>
                <w:sz w:val="18"/>
              </w:rPr>
              <w:t>Risk prioritization</w:t>
            </w:r>
          </w:p>
        </w:tc>
        <w:tc>
          <w:tcPr>
            <w:tcW w:type="dxa" w:w="4986"/>
            <w:shd w:val="clear" w:color="auto" w:fill="FFFFFF"/>
          </w:tcPr>
          <w:p>
            <w:pPr>
              <w:spacing w:before="40" w:after="40"/>
            </w:pPr>
            <w:r>
              <w:rPr>
                <w:sz w:val="18"/>
              </w:rPr>
              <w:t>0–100 risk score, four risk bands, top-risk rankings, hotspot analysis</w:t>
            </w:r>
          </w:p>
        </w:tc>
      </w:tr>
      <w:tr>
        <w:tc>
          <w:tcPr>
            <w:tcW w:type="dxa" w:w="4986"/>
            <w:shd w:val="clear" w:color="auto" w:fill="FFF7F7"/>
          </w:tcPr>
          <w:p>
            <w:pPr>
              <w:spacing w:before="40" w:after="40"/>
            </w:pPr>
            <w:r>
              <w:rPr>
                <w:sz w:val="18"/>
              </w:rPr>
              <w:t>Operational efficiency</w:t>
            </w:r>
          </w:p>
        </w:tc>
        <w:tc>
          <w:tcPr>
            <w:tcW w:type="dxa" w:w="4986"/>
            <w:shd w:val="clear" w:color="auto" w:fill="FFF7F7"/>
          </w:tcPr>
          <w:p>
            <w:pPr>
              <w:spacing w:before="40" w:after="40"/>
            </w:pPr>
            <w:r>
              <w:rPr>
                <w:sz w:val="18"/>
              </w:rPr>
              <w:t>Recommendations (revoke/renew/escalate) with owner, review queue, CSV import from existing spreadsheets</w:t>
            </w:r>
          </w:p>
        </w:tc>
      </w:tr>
      <w:tr>
        <w:tc>
          <w:tcPr>
            <w:tcW w:type="dxa" w:w="4986"/>
            <w:shd w:val="clear" w:color="auto" w:fill="FFFFFF"/>
          </w:tcPr>
          <w:p>
            <w:pPr>
              <w:spacing w:before="40" w:after="40"/>
            </w:pPr>
            <w:r>
              <w:rPr>
                <w:sz w:val="18"/>
              </w:rPr>
              <w:t>Audit readiness</w:t>
            </w:r>
          </w:p>
        </w:tc>
        <w:tc>
          <w:tcPr>
            <w:tcW w:type="dxa" w:w="4986"/>
            <w:shd w:val="clear" w:color="auto" w:fill="FFFFFF"/>
          </w:tcPr>
          <w:p>
            <w:pPr>
              <w:spacing w:before="40" w:after="40"/>
            </w:pPr>
            <w:r>
              <w:rPr>
                <w:sz w:val="18"/>
              </w:rPr>
              <w:t>One-click audit report with executive summary, compliance roll-ups, conflict findings, immutable timeline, and print/export</w:t>
            </w:r>
          </w:p>
        </w:tc>
      </w:tr>
    </w:tbl>
    <w:p/>
    <w:p>
      <w:pPr>
        <w:pStyle w:val="Heading2"/>
      </w:pPr>
      <w:r>
        <w:rPr>
          <w:color w:val="991B1B"/>
          <w:sz w:val="28"/>
        </w:rPr>
        <w:t>4. System Architecture</w:t>
      </w:r>
    </w:p>
    <w:p>
      <w:pPr>
        <w:pStyle w:val="Heading3"/>
      </w:pPr>
      <w:r>
        <w:rPr>
          <w:color w:val="1E293B"/>
          <w:sz w:val="24"/>
        </w:rPr>
        <w:t>Architecture Overview</w:t>
      </w:r>
    </w:p>
    <w:p>
      <w:pPr>
        <w:shd w:val="clear" w:color="auto" w:fill="0F172A"/>
        <w:spacing w:before="120" w:after="120"/>
        <w:ind w:left="288" w:right="288"/>
        <w:pBdr>
          <w:left w:val="single" w:sz="24" w:space="4" w:color="DC2626"/>
        </w:pBdr>
      </w:pPr>
      <w:r>
        <w:rPr>
          <w:rFonts w:ascii="Courier New" w:hAnsi="Courier New"/>
          <w:color w:val="E2E8F0"/>
          <w:sz w:val="17"/>
        </w:rPr>
        <w:t>┌─────────────────────────────────────────────────────────────────────┐</w:t>
        <w:br/>
        <w:t>│                         RiskWaiver360                               │</w:t>
        <w:br/>
        <w:t>│                                                                     │</w:t>
        <w:br/>
        <w:t>│  ┌──────────────────┐         ┌───────────────────────────────────┐ │</w:t>
        <w:br/>
        <w:t>│  │   React Frontend │  HTTP   │        Express Backend             │ │</w:t>
        <w:br/>
        <w:t>│  │   (Vite, :5173)  │◄──────►│        (Node.js, :4000)           │ │</w:t>
        <w:br/>
        <w:t>│  │                  │  /api   │                                   │ │</w:t>
        <w:br/>
        <w:t>│  │  Pages:          │         │  Routes:                          │ │</w:t>
        <w:br/>
        <w:t>│  │  - Dashboard     │         │  - /api/dashboard                 │ │</w:t>
        <w:br/>
        <w:t>│  │  - Registry      │         │  - /api/exceptions                │ │</w:t>
        <w:br/>
        <w:t>│  │  - Add Exception │         │  - /api/alerts                    │ │</w:t>
        <w:br/>
        <w:t>│  │  - Review Queue  │         │  - /api/conflicts                 │ │</w:t>
        <w:br/>
        <w:t>│  │  - Risk Scoring  │         │  - /api/audit-report              │ │</w:t>
        <w:br/>
        <w:t>│  │  - Alerts        │         │  - /api/lookups                   │ │</w:t>
        <w:br/>
        <w:t>│  │  - GRC Intel     │         │                                   │ │</w:t>
        <w:br/>
        <w:t>│  │  - Audit Report  │         │  Services:                        │ │</w:t>
        <w:br/>
        <w:t>│  │  - Settings      │         │  - riskScoring.js                 │ │</w:t>
        <w:br/>
        <w:t>│  └──────────────────┘         │  - alertEngine.js                 │ │</w:t>
        <w:br/>
        <w:t>│                               │  - conflictDetection.js           │ │</w:t>
        <w:br/>
        <w:t>│  Role → localStorage          │  - recommendationEngine.js        │ │</w:t>
        <w:br/>
        <w:t>│  (demo auth only)             │  - exceptionService.js            │ │</w:t>
        <w:br/>
        <w:t>│                               │  - auditService.js                │ │</w:t>
        <w:br/>
        <w:t>│                               └──────────────┬────────────────────┘ │</w:t>
        <w:br/>
        <w:t>│                                              │                      │</w:t>
        <w:br/>
        <w:t>│                               ┌──────────────▼────────────────────┐ │</w:t>
        <w:br/>
        <w:t>│                               │     JSON Demo Storage              │ │</w:t>
        <w:br/>
        <w:t>│                               │     backend/data/                  │ │</w:t>
        <w:br/>
        <w:t>│                               │  - exceptions.json                 │ │</w:t>
        <w:br/>
        <w:t>│                               │  - approvals.json                  │ │</w:t>
        <w:br/>
        <w:t>│                               │  - exception_history.json          │ │</w:t>
        <w:br/>
        <w:t>│                               │  - alerts.json                     │ │</w:t>
        <w:br/>
        <w:t>│                               │  - users.json                      │ │</w:t>
        <w:br/>
        <w:t>│                               │  - policies.json                   │ │</w:t>
        <w:br/>
        <w:t>│                               │  - assets.json                     │ │</w:t>
        <w:br/>
        <w:t>│                               └───────────────────────────────────┘ │</w:t>
        <w:br/>
        <w:t>└─────────────────────────────────────────────────────────────────────┘</w:t>
      </w:r>
    </w:p>
    <w:p>
      <w:pPr>
        <w:pStyle w:val="Heading3"/>
      </w:pPr>
      <w:r>
        <w:rPr>
          <w:color w:val="1E293B"/>
          <w:sz w:val="24"/>
        </w:rPr>
        <w:t>Role-Based Access Flow</w:t>
      </w:r>
    </w:p>
    <w:p>
      <w:pPr>
        <w:shd w:val="clear" w:color="auto" w:fill="0F172A"/>
        <w:spacing w:before="120" w:after="120"/>
        <w:ind w:left="288" w:right="288"/>
        <w:pBdr>
          <w:left w:val="single" w:sz="24" w:space="4" w:color="DC2626"/>
        </w:pBdr>
      </w:pPr>
      <w:r>
        <w:rPr>
          <w:rFonts w:ascii="Courier New" w:hAnsi="Courier New"/>
          <w:color w:val="E2E8F0"/>
          <w:sz w:val="17"/>
        </w:rPr>
        <w:t>Requester ──────► Submit Exception ──────────────────────────────┐</w:t>
        <w:br/>
        <w:t xml:space="preserve">                                                                  │</w:t>
        <w:br/>
        <w:t>Security Reviewer ► Review &amp; Comment ─────────────────────────── │</w:t>
        <w:br/>
        <w:t xml:space="preserve">                                                                  ▼</w:t>
        <w:br/>
        <w:t>Approver ──────────► Approve / Reject / Renew / Revoke / Escalate │</w:t>
        <w:br/>
        <w:t xml:space="preserve">                                                                  │</w:t>
        <w:br/>
        <w:t>Auditor / Admin ───► Full Registry + Evidence + Audit Report ◄───┘</w:t>
      </w:r>
    </w:p>
    <w:p>
      <w:pPr>
        <w:pStyle w:val="Heading3"/>
      </w:pPr>
      <w:r>
        <w:rPr>
          <w:color w:val="1E293B"/>
          <w:sz w:val="24"/>
        </w:rPr>
        <w:t>Key Design Decisions</w:t>
      </w:r>
    </w:p>
    <w:p>
      <w:pPr>
        <w:pStyle w:val="ListBullet"/>
        <w:spacing w:after="60"/>
      </w:pPr>
      <w:r>
        <w:rPr>
          <w:b/>
        </w:rPr>
        <w:t>Frontend never holds fake data</w:t>
      </w:r>
      <w:r>
        <w:rPr>
          <w:b w:val="0"/>
        </w:rPr>
        <w:t xml:space="preserve"> — every page fetches live from the backend with loading/error/success states</w:t>
      </w:r>
    </w:p>
    <w:p>
      <w:pPr>
        <w:pStyle w:val="ListBullet"/>
        <w:spacing w:after="60"/>
      </w:pPr>
      <w:r>
        <w:rPr>
          <w:b/>
        </w:rPr>
        <w:t>Single proxy</w:t>
      </w:r>
      <w:r>
        <w:rPr>
          <w:b w:val="0"/>
        </w:rPr>
        <w:t xml:space="preserve"> — Vite dev server proxies </w:t>
      </w:r>
      <w:r>
        <w:rPr>
          <w:rFonts w:ascii="Courier New" w:hAnsi="Courier New"/>
          <w:b w:val="0"/>
          <w:color w:val="DC2626"/>
          <w:sz w:val="18"/>
        </w:rPr>
        <w:t>/api</w:t>
      </w:r>
      <w:r>
        <w:rPr>
          <w:b w:val="0"/>
        </w:rPr>
        <w:t xml:space="preserve"> to </w:t>
      </w:r>
      <w:r>
        <w:rPr>
          <w:rFonts w:ascii="Courier New" w:hAnsi="Courier New"/>
          <w:b w:val="0"/>
          <w:color w:val="DC2626"/>
          <w:sz w:val="18"/>
        </w:rPr>
        <w:t>:4000</w:t>
      </w:r>
      <w:r>
        <w:rPr>
          <w:b w:val="0"/>
        </w:rPr>
        <w:t>, no CORS config needed during development</w:t>
      </w:r>
    </w:p>
    <w:p>
      <w:pPr>
        <w:pStyle w:val="ListBullet"/>
        <w:spacing w:after="60"/>
      </w:pPr>
      <w:r>
        <w:rPr>
          <w:b/>
        </w:rPr>
        <w:t>JSON file storage</w:t>
      </w:r>
      <w:r>
        <w:rPr>
          <w:b w:val="0"/>
        </w:rPr>
        <w:t xml:space="preserve"> — no database required to run, making the prototype instantly runnable on any machine with Node.js</w:t>
      </w:r>
    </w:p>
    <w:p>
      <w:pPr>
        <w:pStyle w:val="ListBullet"/>
        <w:spacing w:after="60"/>
      </w:pPr>
      <w:r>
        <w:rPr>
          <w:b/>
        </w:rPr>
        <w:t>Seed-based reset</w:t>
      </w:r>
      <w:r>
        <w:rPr>
          <w:b w:val="0"/>
        </w:rPr>
        <w:t xml:space="preserve"> — </w:t>
      </w:r>
      <w:r>
        <w:rPr>
          <w:rFonts w:ascii="Courier New" w:hAnsi="Courier New"/>
          <w:b w:val="0"/>
          <w:color w:val="DC2626"/>
          <w:sz w:val="18"/>
        </w:rPr>
        <w:t>npm run reset-demo</w:t>
      </w:r>
      <w:r>
        <w:rPr>
          <w:b w:val="0"/>
        </w:rPr>
        <w:t xml:space="preserve"> restores the original dataset from </w:t>
      </w:r>
      <w:r>
        <w:rPr>
          <w:rFonts w:ascii="Courier New" w:hAnsi="Courier New"/>
          <w:b w:val="0"/>
          <w:color w:val="DC2626"/>
          <w:sz w:val="18"/>
        </w:rPr>
        <w:t>backend/seed/</w:t>
      </w:r>
      <w:r>
        <w:rPr>
          <w:b w:val="0"/>
        </w:rPr>
        <w:t xml:space="preserve"> for clean demo runs</w:t>
      </w:r>
    </w:p>
    <w:p>
      <w:pPr>
        <w:pStyle w:val="Heading2"/>
      </w:pPr>
      <w:r>
        <w:rPr>
          <w:color w:val="991B1B"/>
          <w:sz w:val="28"/>
        </w:rPr>
        <w:t>5. User Roles</w:t>
      </w:r>
    </w:p>
    <w:p>
      <w:pPr>
        <w:spacing w:after="120"/>
      </w:pPr>
      <w:r>
        <w:rPr>
          <w:b w:val="0"/>
        </w:rPr>
        <w:t>RiskWaiver360 implements four distinct roles that mirror a real enterprise GRC workflow.</w:t>
      </w:r>
    </w:p>
    <w:p>
      <w:pPr>
        <w:pStyle w:val="Heading3"/>
      </w:pPr>
      <w:r>
        <w:rPr>
          <w:color w:val="1E293B"/>
          <w:sz w:val="24"/>
        </w:rPr>
        <w:t>Requester</w:t>
      </w:r>
    </w:p>
    <w:p>
      <w:pPr>
        <w:spacing w:after="120"/>
      </w:pPr>
      <w:r>
        <w:rPr>
          <w:b/>
        </w:rPr>
        <w:t>Who:</w:t>
      </w:r>
      <w:r>
        <w:rPr>
          <w:b w:val="0"/>
        </w:rPr>
        <w:t xml:space="preserve"> Any employee or team that needs a temporary policy exception to do their job.</w:t>
      </w:r>
    </w:p>
    <w:p>
      <w:pPr>
        <w:spacing w:after="120"/>
      </w:pPr>
      <w:r>
        <w:rPr>
          <w:b/>
        </w:rPr>
        <w:t>What they can do:</w:t>
      </w:r>
    </w:p>
    <w:p>
      <w:pPr>
        <w:pStyle w:val="ListBullet"/>
        <w:spacing w:after="60"/>
      </w:pPr>
      <w:r>
        <w:rPr>
          <w:b w:val="0"/>
        </w:rPr>
        <w:t>Submit new exception requests via the structured GRC Intake Form</w:t>
      </w:r>
    </w:p>
    <w:p>
      <w:pPr>
        <w:pStyle w:val="ListBullet"/>
        <w:spacing w:after="60"/>
      </w:pPr>
      <w:r>
        <w:rPr>
          <w:b w:val="0"/>
        </w:rPr>
        <w:t>Provide business justification, select affected asset and policy, set start/expiry dates</w:t>
      </w:r>
    </w:p>
    <w:p>
      <w:pPr>
        <w:pStyle w:val="ListBullet"/>
        <w:spacing w:after="60"/>
      </w:pPr>
      <w:r>
        <w:rPr>
          <w:b w:val="0"/>
        </w:rPr>
        <w:t>Specify compensating controls they have in place</w:t>
      </w:r>
    </w:p>
    <w:p>
      <w:pPr>
        <w:pStyle w:val="ListBullet"/>
        <w:spacing w:after="60"/>
      </w:pPr>
      <w:r>
        <w:rPr>
          <w:b w:val="0"/>
        </w:rPr>
        <w:t>Track the status of their own submitted requests on My Requests page</w:t>
      </w:r>
    </w:p>
    <w:p>
      <w:pPr>
        <w:pStyle w:val="ListBullet"/>
        <w:spacing w:after="60"/>
      </w:pPr>
      <w:r>
        <w:rPr>
          <w:b w:val="0"/>
        </w:rPr>
        <w:t>View the current risk score and recommendation assigned to their exception</w:t>
      </w:r>
    </w:p>
    <w:p>
      <w:pPr>
        <w:pStyle w:val="ListBullet"/>
        <w:spacing w:after="60"/>
      </w:pPr>
      <w:r>
        <w:rPr>
          <w:b w:val="0"/>
        </w:rPr>
        <w:t>See alerts related to their exceptions</w:t>
      </w:r>
    </w:p>
    <w:p>
      <w:pPr>
        <w:spacing w:after="120"/>
      </w:pPr>
      <w:r>
        <w:rPr>
          <w:b/>
        </w:rPr>
        <w:t>What they cannot do:</w:t>
      </w:r>
    </w:p>
    <w:p>
      <w:pPr>
        <w:pStyle w:val="ListBullet"/>
        <w:spacing w:after="60"/>
      </w:pPr>
      <w:r>
        <w:rPr>
          <w:b w:val="0"/>
        </w:rPr>
        <w:t>Approve, reject, revoke, or renew any exception</w:t>
      </w:r>
    </w:p>
    <w:p>
      <w:pPr>
        <w:pStyle w:val="ListBullet"/>
        <w:spacing w:after="60"/>
      </w:pPr>
      <w:r>
        <w:rPr>
          <w:b w:val="0"/>
        </w:rPr>
        <w:t>View other users' exceptions (scoped access in the frontend)</w:t>
      </w:r>
    </w:p>
    <w:p>
      <w:pPr>
        <w:pStyle w:val="ListBullet"/>
        <w:spacing w:after="60"/>
      </w:pPr>
      <w:r>
        <w:rPr>
          <w:b w:val="0"/>
        </w:rPr>
        <w:t>Access the Audit Report or Review Queue</w:t>
      </w:r>
    </w:p>
    <w:p>
      <w:pPr>
        <w:pStyle w:val="ListBullet"/>
        <w:spacing w:after="60"/>
      </w:pPr>
      <w:r>
        <w:rPr>
          <w:b w:val="0"/>
        </w:rPr>
        <w:t>Access the Admin or GRC Intelligence views</w:t>
      </w:r>
    </w:p>
    <w:p>
      <w:pPr>
        <w:spacing w:after="120"/>
      </w:pPr>
      <w:r>
        <w:rPr>
          <w:b/>
        </w:rPr>
        <w:t>Main pages:</w:t>
      </w:r>
    </w:p>
    <w:p>
      <w:pPr>
        <w:pStyle w:val="ListBullet"/>
        <w:spacing w:after="60"/>
      </w:pPr>
      <w:r>
        <w:rPr>
          <w:b w:val="0"/>
        </w:rPr>
        <w:t>My Requests (own exceptions only)</w:t>
      </w:r>
    </w:p>
    <w:p>
      <w:pPr>
        <w:pStyle w:val="ListBullet"/>
        <w:spacing w:after="60"/>
      </w:pPr>
      <w:r>
        <w:rPr>
          <w:b w:val="0"/>
        </w:rPr>
        <w:t>Add Exception (GRC Intake Form)</w:t>
      </w:r>
    </w:p>
    <w:p>
      <w:pPr>
        <w:pStyle w:val="Heading3"/>
      </w:pPr>
      <w:r>
        <w:rPr>
          <w:color w:val="1E293B"/>
          <w:sz w:val="24"/>
        </w:rPr>
        <w:t>Security Reviewer</w:t>
      </w:r>
    </w:p>
    <w:p>
      <w:pPr>
        <w:spacing w:after="120"/>
      </w:pPr>
      <w:r>
        <w:rPr>
          <w:b/>
        </w:rPr>
        <w:t>Who:</w:t>
      </w:r>
      <w:r>
        <w:rPr>
          <w:b w:val="0"/>
        </w:rPr>
        <w:t xml:space="preserve"> Security analyst or GRC team member who performs initial triage of submitted requests.</w:t>
      </w:r>
    </w:p>
    <w:p>
      <w:pPr>
        <w:spacing w:after="120"/>
      </w:pPr>
      <w:r>
        <w:rPr>
          <w:b/>
        </w:rPr>
        <w:t>What they can do:</w:t>
      </w:r>
    </w:p>
    <w:p>
      <w:pPr>
        <w:pStyle w:val="ListBullet"/>
        <w:spacing w:after="60"/>
      </w:pPr>
      <w:r>
        <w:rPr>
          <w:b w:val="0"/>
        </w:rPr>
        <w:t>View all submitted exceptions in the Review Queue</w:t>
      </w:r>
    </w:p>
    <w:p>
      <w:pPr>
        <w:pStyle w:val="ListBullet"/>
        <w:spacing w:after="60"/>
      </w:pPr>
      <w:r>
        <w:rPr>
          <w:b w:val="0"/>
        </w:rPr>
        <w:t>Add review comments and questions for the requester</w:t>
      </w:r>
    </w:p>
    <w:p>
      <w:pPr>
        <w:pStyle w:val="ListBullet"/>
        <w:spacing w:after="60"/>
      </w:pPr>
      <w:r>
        <w:rPr>
          <w:b w:val="0"/>
        </w:rPr>
        <w:t xml:space="preserve">Move exceptions to </w:t>
      </w:r>
      <w:r>
        <w:rPr>
          <w:rFonts w:ascii="Courier New" w:hAnsi="Courier New"/>
          <w:b w:val="0"/>
          <w:color w:val="DC2626"/>
          <w:sz w:val="18"/>
        </w:rPr>
        <w:t>under_review</w:t>
      </w:r>
      <w:r>
        <w:rPr>
          <w:b w:val="0"/>
        </w:rPr>
        <w:t xml:space="preserve"> status</w:t>
      </w:r>
    </w:p>
    <w:p>
      <w:pPr>
        <w:pStyle w:val="ListBullet"/>
        <w:spacing w:after="60"/>
      </w:pPr>
      <w:r>
        <w:rPr>
          <w:b w:val="0"/>
        </w:rPr>
        <w:t>Forward to approver for a decision</w:t>
      </w:r>
    </w:p>
    <w:p>
      <w:pPr>
        <w:pStyle w:val="ListBullet"/>
        <w:spacing w:after="60"/>
      </w:pPr>
      <w:r>
        <w:rPr>
          <w:b w:val="0"/>
        </w:rPr>
        <w:t>View risk score breakdown and CIA triad impact</w:t>
      </w:r>
    </w:p>
    <w:p>
      <w:pPr>
        <w:pStyle w:val="ListBullet"/>
        <w:spacing w:after="60"/>
      </w:pPr>
      <w:r>
        <w:rPr>
          <w:b w:val="0"/>
        </w:rPr>
        <w:t>Assess compensating controls</w:t>
      </w:r>
    </w:p>
    <w:p>
      <w:pPr>
        <w:spacing w:after="120"/>
      </w:pPr>
      <w:r>
        <w:rPr>
          <w:b/>
        </w:rPr>
        <w:t>What they cannot do:</w:t>
      </w:r>
    </w:p>
    <w:p>
      <w:pPr>
        <w:pStyle w:val="ListBullet"/>
        <w:spacing w:after="60"/>
      </w:pPr>
      <w:r>
        <w:rPr>
          <w:b w:val="0"/>
        </w:rPr>
        <w:t>Make final approval or rejection decisions</w:t>
      </w:r>
    </w:p>
    <w:p>
      <w:pPr>
        <w:pStyle w:val="ListBullet"/>
        <w:spacing w:after="60"/>
      </w:pPr>
      <w:r>
        <w:rPr>
          <w:b w:val="0"/>
        </w:rPr>
        <w:t>Revoke or renew active exceptions</w:t>
      </w:r>
    </w:p>
    <w:p>
      <w:pPr>
        <w:pStyle w:val="ListBullet"/>
        <w:spacing w:after="60"/>
      </w:pPr>
      <w:r>
        <w:rPr>
          <w:b w:val="0"/>
        </w:rPr>
        <w:t>Access full audit reporting</w:t>
      </w:r>
    </w:p>
    <w:p>
      <w:pPr>
        <w:spacing w:after="120"/>
      </w:pPr>
      <w:r>
        <w:rPr>
          <w:b/>
        </w:rPr>
        <w:t>Main pages:</w:t>
      </w:r>
    </w:p>
    <w:p>
      <w:pPr>
        <w:pStyle w:val="ListBullet"/>
        <w:spacing w:after="60"/>
      </w:pPr>
      <w:r>
        <w:rPr>
          <w:b w:val="0"/>
        </w:rPr>
        <w:t>Review Queue</w:t>
      </w:r>
    </w:p>
    <w:p>
      <w:pPr>
        <w:pStyle w:val="ListBullet"/>
        <w:spacing w:after="60"/>
      </w:pPr>
      <w:r>
        <w:rPr>
          <w:b w:val="0"/>
        </w:rPr>
        <w:t>Exception Details (for exceptions assigned to them)</w:t>
      </w:r>
    </w:p>
    <w:p>
      <w:pPr>
        <w:pStyle w:val="ListBullet"/>
        <w:spacing w:after="60"/>
      </w:pPr>
      <w:r>
        <w:rPr>
          <w:b w:val="0"/>
        </w:rPr>
        <w:t>Risk Scoring (to understand scoring logic)</w:t>
      </w:r>
    </w:p>
    <w:p>
      <w:pPr>
        <w:pStyle w:val="Heading3"/>
      </w:pPr>
      <w:r>
        <w:rPr>
          <w:color w:val="1E293B"/>
          <w:sz w:val="24"/>
        </w:rPr>
        <w:t>Approver</w:t>
      </w:r>
    </w:p>
    <w:p>
      <w:pPr>
        <w:spacing w:after="120"/>
      </w:pPr>
      <w:r>
        <w:rPr>
          <w:b/>
        </w:rPr>
        <w:t>Who:</w:t>
      </w:r>
      <w:r>
        <w:rPr>
          <w:b w:val="0"/>
        </w:rPr>
        <w:t xml:space="preserve"> Manager, CISO delegate, or risk owner with authority to grant or deny exceptions.</w:t>
      </w:r>
    </w:p>
    <w:p>
      <w:pPr>
        <w:spacing w:after="120"/>
      </w:pPr>
      <w:r>
        <w:rPr>
          <w:b/>
        </w:rPr>
        <w:t>What they can do:</w:t>
      </w:r>
    </w:p>
    <w:p>
      <w:pPr>
        <w:pStyle w:val="ListBullet"/>
        <w:spacing w:after="60"/>
      </w:pPr>
      <w:r>
        <w:rPr>
          <w:b w:val="0"/>
        </w:rPr>
        <w:t>Approve or reject exceptions pending a decision</w:t>
      </w:r>
    </w:p>
    <w:p>
      <w:pPr>
        <w:pStyle w:val="ListBullet"/>
        <w:spacing w:after="60"/>
      </w:pPr>
      <w:r>
        <w:rPr>
          <w:b w:val="0"/>
        </w:rPr>
        <w:t>Renew expiring or expired exceptions with a new expiry date</w:t>
      </w:r>
    </w:p>
    <w:p>
      <w:pPr>
        <w:pStyle w:val="ListBullet"/>
        <w:spacing w:after="60"/>
      </w:pPr>
      <w:r>
        <w:rPr>
          <w:b w:val="0"/>
        </w:rPr>
        <w:t>Revoke active exceptions when the business need ends</w:t>
      </w:r>
    </w:p>
    <w:p>
      <w:pPr>
        <w:pStyle w:val="ListBullet"/>
        <w:spacing w:after="60"/>
      </w:pPr>
      <w:r>
        <w:rPr>
          <w:b w:val="0"/>
        </w:rPr>
        <w:t>Escalate critical or disputed exceptions</w:t>
      </w:r>
    </w:p>
    <w:p>
      <w:pPr>
        <w:pStyle w:val="ListBullet"/>
        <w:spacing w:after="60"/>
      </w:pPr>
      <w:r>
        <w:rPr>
          <w:b w:val="0"/>
        </w:rPr>
        <w:t>View the full exception registry and all lifecycle history</w:t>
      </w:r>
    </w:p>
    <w:p>
      <w:pPr>
        <w:pStyle w:val="ListBullet"/>
        <w:spacing w:after="60"/>
      </w:pPr>
      <w:r>
        <w:rPr>
          <w:b w:val="0"/>
        </w:rPr>
        <w:t>See risk scores, GRC intelligence, and alerts</w:t>
      </w:r>
    </w:p>
    <w:p>
      <w:pPr>
        <w:spacing w:after="120"/>
      </w:pPr>
      <w:r>
        <w:rPr>
          <w:b/>
        </w:rPr>
        <w:t>What they cannot do:</w:t>
      </w:r>
    </w:p>
    <w:p>
      <w:pPr>
        <w:pStyle w:val="ListBullet"/>
        <w:spacing w:after="60"/>
      </w:pPr>
      <w:r>
        <w:rPr>
          <w:b w:val="0"/>
        </w:rPr>
        <w:t>Access the formal Audit Report (Auditor role required)</w:t>
      </w:r>
    </w:p>
    <w:p>
      <w:pPr>
        <w:pStyle w:val="ListBullet"/>
        <w:spacing w:after="60"/>
      </w:pPr>
      <w:r>
        <w:rPr>
          <w:b w:val="0"/>
        </w:rPr>
        <w:t>Submit new exception requests as themselves</w:t>
      </w:r>
    </w:p>
    <w:p>
      <w:pPr>
        <w:spacing w:after="120"/>
      </w:pPr>
      <w:r>
        <w:rPr>
          <w:b/>
        </w:rPr>
        <w:t>Main pages:</w:t>
      </w:r>
    </w:p>
    <w:p>
      <w:pPr>
        <w:pStyle w:val="ListBullet"/>
        <w:spacing w:after="60"/>
      </w:pPr>
      <w:r>
        <w:rPr>
          <w:b w:val="0"/>
        </w:rPr>
        <w:t>Review Queue (approval decisions)</w:t>
      </w:r>
    </w:p>
    <w:p>
      <w:pPr>
        <w:pStyle w:val="ListBullet"/>
        <w:spacing w:after="60"/>
      </w:pPr>
      <w:r>
        <w:rPr>
          <w:b w:val="0"/>
        </w:rPr>
        <w:t>Exception Details (lifecycle actions)</w:t>
      </w:r>
    </w:p>
    <w:p>
      <w:pPr>
        <w:pStyle w:val="ListBullet"/>
        <w:spacing w:after="60"/>
      </w:pPr>
      <w:r>
        <w:rPr>
          <w:b w:val="0"/>
        </w:rPr>
        <w:t>Dashboard (portfolio overview)</w:t>
      </w:r>
    </w:p>
    <w:p>
      <w:pPr>
        <w:pStyle w:val="ListBullet"/>
        <w:spacing w:after="60"/>
      </w:pPr>
      <w:r>
        <w:rPr>
          <w:b w:val="0"/>
        </w:rPr>
        <w:t>GRC Intelligence</w:t>
      </w:r>
    </w:p>
    <w:p>
      <w:pPr>
        <w:pStyle w:val="ListBullet"/>
        <w:spacing w:after="60"/>
      </w:pPr>
      <w:r>
        <w:rPr>
          <w:b w:val="0"/>
        </w:rPr>
        <w:t>Alerts</w:t>
      </w:r>
    </w:p>
    <w:p>
      <w:pPr>
        <w:pStyle w:val="Heading3"/>
      </w:pPr>
      <w:r>
        <w:rPr>
          <w:color w:val="1E293B"/>
          <w:sz w:val="24"/>
        </w:rPr>
        <w:t>Auditor / Admin</w:t>
      </w:r>
    </w:p>
    <w:p>
      <w:pPr>
        <w:spacing w:after="120"/>
      </w:pPr>
      <w:r>
        <w:rPr>
          <w:b/>
        </w:rPr>
        <w:t>Who:</w:t>
      </w:r>
      <w:r>
        <w:rPr>
          <w:b w:val="0"/>
        </w:rPr>
        <w:t xml:space="preserve"> Internal auditor, external auditor, CISO, or compliance officer who needs a complete, evidence-ready view.</w:t>
      </w:r>
    </w:p>
    <w:p>
      <w:pPr>
        <w:spacing w:after="120"/>
      </w:pPr>
      <w:r>
        <w:rPr>
          <w:b/>
        </w:rPr>
        <w:t>What they can do:</w:t>
      </w:r>
    </w:p>
    <w:p>
      <w:pPr>
        <w:pStyle w:val="ListBullet"/>
        <w:spacing w:after="60"/>
      </w:pPr>
      <w:r>
        <w:rPr>
          <w:b w:val="0"/>
        </w:rPr>
        <w:t>View the complete exception registry (all statuses, all business units)</w:t>
      </w:r>
    </w:p>
    <w:p>
      <w:pPr>
        <w:pStyle w:val="ListBullet"/>
        <w:spacing w:after="60"/>
      </w:pPr>
      <w:r>
        <w:rPr>
          <w:b w:val="0"/>
        </w:rPr>
        <w:t>Access full exception history and audit timeline for any exception</w:t>
      </w:r>
    </w:p>
    <w:p>
      <w:pPr>
        <w:pStyle w:val="ListBullet"/>
        <w:spacing w:after="60"/>
      </w:pPr>
      <w:r>
        <w:rPr>
          <w:b w:val="0"/>
        </w:rPr>
        <w:t>Read the Audit Report with executive summary, roll-ups, and conflict findings</w:t>
      </w:r>
    </w:p>
    <w:p>
      <w:pPr>
        <w:pStyle w:val="ListBullet"/>
        <w:spacing w:after="60"/>
      </w:pPr>
      <w:r>
        <w:rPr>
          <w:b w:val="0"/>
        </w:rPr>
        <w:t>Print or export the audit report</w:t>
      </w:r>
    </w:p>
    <w:p>
      <w:pPr>
        <w:pStyle w:val="ListBullet"/>
        <w:spacing w:after="60"/>
      </w:pPr>
      <w:r>
        <w:rPr>
          <w:b w:val="0"/>
        </w:rPr>
        <w:t>View all alerts, risk scores, GRC intelligence findings</w:t>
      </w:r>
    </w:p>
    <w:p>
      <w:pPr>
        <w:pStyle w:val="ListBullet"/>
        <w:spacing w:after="60"/>
      </w:pPr>
      <w:r>
        <w:rPr>
          <w:b w:val="0"/>
        </w:rPr>
        <w:t>Access Settings and system configuration</w:t>
      </w:r>
    </w:p>
    <w:p>
      <w:pPr>
        <w:pStyle w:val="ListBullet"/>
        <w:spacing w:after="60"/>
      </w:pPr>
      <w:r>
        <w:rPr>
          <w:b w:val="0"/>
        </w:rPr>
        <w:t>View the demo configuration and scoring parameters</w:t>
      </w:r>
    </w:p>
    <w:p>
      <w:pPr>
        <w:spacing w:after="120"/>
      </w:pPr>
      <w:r>
        <w:rPr>
          <w:b/>
        </w:rPr>
        <w:t>What they cannot do:</w:t>
      </w:r>
    </w:p>
    <w:p>
      <w:pPr>
        <w:pStyle w:val="ListBullet"/>
        <w:spacing w:after="60"/>
      </w:pPr>
      <w:r>
        <w:rPr>
          <w:b w:val="0"/>
        </w:rPr>
        <w:t>Submit exceptions or perform lifecycle actions (read-only role in the demo)</w:t>
      </w:r>
    </w:p>
    <w:p>
      <w:pPr>
        <w:spacing w:after="120"/>
      </w:pPr>
      <w:r>
        <w:rPr>
          <w:b/>
        </w:rPr>
        <w:t>Main pages:</w:t>
      </w:r>
    </w:p>
    <w:p>
      <w:pPr>
        <w:pStyle w:val="ListBullet"/>
        <w:spacing w:after="60"/>
      </w:pPr>
      <w:r>
        <w:rPr>
          <w:b w:val="0"/>
        </w:rPr>
        <w:t>Dashboard (full portfolio view)</w:t>
      </w:r>
    </w:p>
    <w:p>
      <w:pPr>
        <w:pStyle w:val="ListBullet"/>
        <w:spacing w:after="60"/>
      </w:pPr>
      <w:r>
        <w:rPr>
          <w:b w:val="0"/>
        </w:rPr>
        <w:t>Exception Registry (full visibility)</w:t>
      </w:r>
    </w:p>
    <w:p>
      <w:pPr>
        <w:pStyle w:val="ListBullet"/>
        <w:spacing w:after="60"/>
      </w:pPr>
      <w:r>
        <w:rPr>
          <w:b w:val="0"/>
        </w:rPr>
        <w:t>Audit Report (print/export)</w:t>
      </w:r>
    </w:p>
    <w:p>
      <w:pPr>
        <w:pStyle w:val="ListBullet"/>
        <w:spacing w:after="60"/>
      </w:pPr>
      <w:r>
        <w:rPr>
          <w:b w:val="0"/>
        </w:rPr>
        <w:t>GRC Intelligence</w:t>
      </w:r>
    </w:p>
    <w:p>
      <w:pPr>
        <w:pStyle w:val="ListBullet"/>
        <w:spacing w:after="60"/>
      </w:pPr>
      <w:r>
        <w:rPr>
          <w:b w:val="0"/>
        </w:rPr>
        <w:t>Alerts</w:t>
      </w:r>
    </w:p>
    <w:p>
      <w:pPr>
        <w:pStyle w:val="ListBullet"/>
        <w:spacing w:after="60"/>
      </w:pPr>
      <w:r>
        <w:rPr>
          <w:b w:val="0"/>
        </w:rPr>
        <w:t>Risk Scoring</w:t>
      </w:r>
    </w:p>
    <w:p>
      <w:pPr>
        <w:pStyle w:val="ListBullet"/>
        <w:spacing w:after="60"/>
      </w:pPr>
      <w:r>
        <w:rPr>
          <w:b w:val="0"/>
        </w:rPr>
        <w:t>Settings</w:t>
      </w:r>
    </w:p>
    <w:p>
      <w:pPr>
        <w:pStyle w:val="Heading2"/>
      </w:pPr>
      <w:r>
        <w:rPr>
          <w:color w:val="991B1B"/>
          <w:sz w:val="28"/>
        </w:rPr>
        <w:t>6. Core Workflow</w:t>
      </w:r>
    </w:p>
    <w:p>
      <w:pPr>
        <w:pStyle w:val="Heading3"/>
      </w:pPr>
      <w:r>
        <w:rPr>
          <w:color w:val="1E293B"/>
          <w:sz w:val="24"/>
        </w:rPr>
        <w:t>Exception Lifecycle State Machine</w:t>
      </w:r>
    </w:p>
    <w:p>
      <w:pPr>
        <w:shd w:val="clear" w:color="auto" w:fill="0F172A"/>
        <w:spacing w:before="120" w:after="120"/>
        <w:ind w:left="288" w:right="288"/>
        <w:pBdr>
          <w:left w:val="single" w:sz="24" w:space="4" w:color="DC2626"/>
        </w:pBdr>
      </w:pPr>
      <w:r>
        <w:rPr>
          <w:rFonts w:ascii="Courier New" w:hAnsi="Courier New"/>
          <w:color w:val="E2E8F0"/>
          <w:sz w:val="17"/>
        </w:rPr>
        <w:t>DRAFT ──► SUBMITTED ──► UNDER_REVIEW ──► PENDING_APPROVAL</w:t>
        <w:br/>
        <w:t xml:space="preserve">                                                │</w:t>
        <w:br/>
        <w:t xml:space="preserve">                              ┌─────────────────┤</w:t>
        <w:br/>
        <w:t xml:space="preserve">                              │                 │</w:t>
        <w:br/>
        <w:t xml:space="preserve">                           REJECTED          APPROVED</w:t>
        <w:br/>
        <w:t xml:space="preserve">                                                │</w:t>
        <w:br/>
        <w:t xml:space="preserve">                                             ACTIVE</w:t>
        <w:br/>
        <w:t xml:space="preserve">                                                │</w:t>
        <w:br/>
        <w:t xml:space="preserve">                              ┌─────────────────┤──────────────┐</w:t>
        <w:br/>
        <w:t xml:space="preserve">                              │                 │              │</w:t>
        <w:br/>
        <w:t xml:space="preserve">                        EXPIRING_SOON    RENEWAL_REQUESTED   REVOKED</w:t>
        <w:br/>
        <w:t xml:space="preserve">                              │                 │</w:t>
        <w:br/>
        <w:t xml:space="preserve">                              │              RENEWED ──► ACTIVE</w:t>
        <w:br/>
        <w:t xml:space="preserve">                              │</w:t>
        <w:br/>
        <w:t xml:space="preserve">                           OVERDUE</w:t>
        <w:br/>
        <w:t xml:space="preserve">                              │</w:t>
        <w:br/>
        <w:t xml:space="preserve">                           CLOSED / ESCALATED</w:t>
      </w:r>
    </w:p>
    <w:p>
      <w:pPr>
        <w:spacing w:after="120"/>
      </w:pPr>
      <w:r>
        <w:rPr>
          <w:b w:val="0"/>
        </w:rPr>
        <w:t xml:space="preserve">Every state transition appends an immutable record to </w:t>
      </w:r>
      <w:r>
        <w:rPr>
          <w:rFonts w:ascii="Courier New" w:hAnsi="Courier New"/>
          <w:b w:val="0"/>
          <w:color w:val="DC2626"/>
          <w:sz w:val="18"/>
        </w:rPr>
        <w:t>exception_history</w:t>
      </w:r>
      <w:r>
        <w:rPr>
          <w:b w:val="0"/>
        </w:rPr>
        <w:t xml:space="preserve"> capturing: action, actor, timestamp, and note. This is the audit trail.</w:t>
      </w:r>
    </w:p>
    <w:p>
      <w:pPr>
        <w:pStyle w:val="Heading3"/>
      </w:pPr>
      <w:r>
        <w:rPr>
          <w:color w:val="1E293B"/>
          <w:sz w:val="24"/>
        </w:rPr>
        <w:t>Step-by-Step Workflow</w:t>
      </w:r>
    </w:p>
    <w:p>
      <w:pPr>
        <w:spacing w:after="120"/>
      </w:pPr>
      <w:r>
        <w:rPr>
          <w:b/>
        </w:rPr>
        <w:t>Step 1 — Requester submits</w:t>
      </w:r>
    </w:p>
    <w:p>
      <w:pPr>
        <w:spacing w:after="120"/>
      </w:pPr>
      <w:r>
        <w:rPr>
          <w:b w:val="0"/>
        </w:rPr>
        <w:t xml:space="preserve">The Requester fills the GRC Intake Form: selects policy, asset, exception type, enters business justification, start/expiry date, compensating control, and owner. On submission, the backend scores the risk automatically and sets status to </w:t>
      </w:r>
      <w:r>
        <w:rPr>
          <w:rFonts w:ascii="Courier New" w:hAnsi="Courier New"/>
          <w:b w:val="0"/>
          <w:color w:val="DC2626"/>
          <w:sz w:val="18"/>
        </w:rPr>
        <w:t>submitted</w:t>
      </w:r>
      <w:r>
        <w:rPr>
          <w:b w:val="0"/>
        </w:rPr>
        <w:t>.</w:t>
      </w:r>
    </w:p>
    <w:p>
      <w:pPr>
        <w:spacing w:after="120"/>
      </w:pPr>
      <w:r>
        <w:rPr>
          <w:b/>
        </w:rPr>
        <w:t>Step 2 — Security Reviewer triages</w:t>
      </w:r>
    </w:p>
    <w:p>
      <w:pPr>
        <w:spacing w:after="120"/>
      </w:pPr>
      <w:r>
        <w:rPr>
          <w:b w:val="0"/>
        </w:rPr>
        <w:t>The Security Reviewer opens the Review Queue, reads the justification and risk score, may add comments or ask clarifying questions, and forwards to the approver.</w:t>
      </w:r>
    </w:p>
    <w:p>
      <w:pPr>
        <w:spacing w:after="120"/>
      </w:pPr>
      <w:r>
        <w:rPr>
          <w:b/>
        </w:rPr>
        <w:t>Step 3 — Approver decides</w:t>
      </w:r>
    </w:p>
    <w:p>
      <w:pPr>
        <w:spacing w:after="120"/>
      </w:pPr>
      <w:r>
        <w:rPr>
          <w:b w:val="0"/>
        </w:rPr>
        <w:t>The Approver reviews the exception details including risk score, CIA impact, and reviewer comments. They can:</w:t>
      </w:r>
    </w:p>
    <w:p>
      <w:pPr>
        <w:pStyle w:val="ListBullet"/>
        <w:spacing w:after="60"/>
      </w:pPr>
      <w:r>
        <w:rPr>
          <w:b/>
        </w:rPr>
        <w:t>Approve</w:t>
      </w:r>
      <w:r>
        <w:rPr>
          <w:b w:val="0"/>
        </w:rPr>
        <w:t xml:space="preserve"> → exception becomes </w:t>
      </w:r>
      <w:r>
        <w:rPr>
          <w:rFonts w:ascii="Courier New" w:hAnsi="Courier New"/>
          <w:b w:val="0"/>
          <w:color w:val="DC2626"/>
          <w:sz w:val="18"/>
        </w:rPr>
        <w:t>active</w:t>
      </w:r>
    </w:p>
    <w:p>
      <w:pPr>
        <w:pStyle w:val="ListBullet"/>
        <w:spacing w:after="60"/>
      </w:pPr>
      <w:r>
        <w:rPr>
          <w:b/>
        </w:rPr>
        <w:t>Reject</w:t>
      </w:r>
      <w:r>
        <w:rPr>
          <w:b w:val="0"/>
        </w:rPr>
        <w:t xml:space="preserve"> → exception is </w:t>
      </w:r>
      <w:r>
        <w:rPr>
          <w:rFonts w:ascii="Courier New" w:hAnsi="Courier New"/>
          <w:b w:val="0"/>
          <w:color w:val="DC2626"/>
          <w:sz w:val="18"/>
        </w:rPr>
        <w:t>rejected</w:t>
      </w:r>
      <w:r>
        <w:rPr>
          <w:b w:val="0"/>
        </w:rPr>
        <w:t xml:space="preserve"> with a recorded reason</w:t>
      </w:r>
    </w:p>
    <w:p>
      <w:pPr>
        <w:pStyle w:val="ListBullet"/>
        <w:spacing w:after="60"/>
      </w:pPr>
      <w:r>
        <w:rPr>
          <w:b/>
        </w:rPr>
        <w:t>Escalate</w:t>
      </w:r>
      <w:r>
        <w:rPr>
          <w:b w:val="0"/>
        </w:rPr>
        <w:t xml:space="preserve"> → exception moves to </w:t>
      </w:r>
      <w:r>
        <w:rPr>
          <w:rFonts w:ascii="Courier New" w:hAnsi="Courier New"/>
          <w:b w:val="0"/>
          <w:color w:val="DC2626"/>
          <w:sz w:val="18"/>
        </w:rPr>
        <w:t>escalated</w:t>
      </w:r>
      <w:r>
        <w:rPr>
          <w:b w:val="0"/>
        </w:rPr>
        <w:t xml:space="preserve"> for senior review</w:t>
      </w:r>
    </w:p>
    <w:p>
      <w:pPr>
        <w:pStyle w:val="ListBullet"/>
        <w:spacing w:after="60"/>
      </w:pPr>
      <w:r>
        <w:rPr>
          <w:b/>
        </w:rPr>
        <w:t>Ask for more information</w:t>
      </w:r>
      <w:r>
        <w:rPr>
          <w:b w:val="0"/>
        </w:rPr>
        <w:t xml:space="preserve"> → status returns to </w:t>
      </w:r>
      <w:r>
        <w:rPr>
          <w:rFonts w:ascii="Courier New" w:hAnsi="Courier New"/>
          <w:b w:val="0"/>
          <w:color w:val="DC2626"/>
          <w:sz w:val="18"/>
        </w:rPr>
        <w:t>under_review</w:t>
      </w:r>
    </w:p>
    <w:p>
      <w:pPr>
        <w:spacing w:after="120"/>
      </w:pPr>
      <w:r>
        <w:rPr>
          <w:b/>
        </w:rPr>
        <w:t>Step 4 — Active monitoring</w:t>
      </w:r>
    </w:p>
    <w:p>
      <w:pPr>
        <w:spacing w:after="120"/>
      </w:pPr>
      <w:r>
        <w:rPr>
          <w:b w:val="0"/>
        </w:rPr>
        <w:t xml:space="preserve">Once </w:t>
      </w:r>
      <w:r>
        <w:rPr>
          <w:rFonts w:ascii="Courier New" w:hAnsi="Courier New"/>
          <w:b w:val="0"/>
          <w:color w:val="DC2626"/>
          <w:sz w:val="18"/>
        </w:rPr>
        <w:t>active</w:t>
      </w:r>
      <w:r>
        <w:rPr>
          <w:b w:val="0"/>
        </w:rPr>
        <w:t>, the exception is continuously monitored. The alert engine evaluates it for:</w:t>
      </w:r>
    </w:p>
    <w:p>
      <w:pPr>
        <w:pStyle w:val="ListBullet"/>
        <w:spacing w:after="60"/>
      </w:pPr>
      <w:r>
        <w:rPr>
          <w:b w:val="0"/>
        </w:rPr>
        <w:t>Approaching expiry (</w:t>
      </w:r>
      <w:r>
        <w:rPr>
          <w:rFonts w:ascii="Courier New" w:hAnsi="Courier New"/>
          <w:b w:val="0"/>
          <w:color w:val="DC2626"/>
          <w:sz w:val="18"/>
        </w:rPr>
        <w:t>expiring_soon</w:t>
      </w:r>
      <w:r>
        <w:rPr>
          <w:b w:val="0"/>
        </w:rPr>
        <w:t>)</w:t>
      </w:r>
    </w:p>
    <w:p>
      <w:pPr>
        <w:pStyle w:val="ListBullet"/>
        <w:spacing w:after="60"/>
      </w:pPr>
      <w:r>
        <w:rPr>
          <w:b w:val="0"/>
        </w:rPr>
        <w:t>Missed renewal (</w:t>
      </w:r>
      <w:r>
        <w:rPr>
          <w:rFonts w:ascii="Courier New" w:hAnsi="Courier New"/>
          <w:b w:val="0"/>
          <w:color w:val="DC2626"/>
          <w:sz w:val="18"/>
        </w:rPr>
        <w:t>overdue</w:t>
      </w:r>
      <w:r>
        <w:rPr>
          <w:b w:val="0"/>
        </w:rPr>
        <w:t>)</w:t>
      </w:r>
    </w:p>
    <w:p>
      <w:pPr>
        <w:pStyle w:val="ListBullet"/>
        <w:spacing w:after="60"/>
      </w:pPr>
      <w:r>
        <w:rPr>
          <w:b w:val="0"/>
        </w:rPr>
        <w:t>Orphaned owner</w:t>
      </w:r>
    </w:p>
    <w:p>
      <w:pPr>
        <w:pStyle w:val="ListBullet"/>
        <w:spacing w:after="60"/>
      </w:pPr>
      <w:r>
        <w:rPr>
          <w:b w:val="0"/>
        </w:rPr>
        <w:t>Missing compensating control</w:t>
      </w:r>
    </w:p>
    <w:p>
      <w:pPr>
        <w:pStyle w:val="ListBullet"/>
        <w:spacing w:after="60"/>
      </w:pPr>
      <w:r>
        <w:rPr>
          <w:b w:val="0"/>
        </w:rPr>
        <w:t>Overdue review</w:t>
      </w:r>
    </w:p>
    <w:p>
      <w:pPr>
        <w:spacing w:after="120"/>
      </w:pPr>
      <w:r>
        <w:rPr>
          <w:b/>
        </w:rPr>
        <w:t>Step 5 — Renewal or Revocation</w:t>
      </w:r>
    </w:p>
    <w:p>
      <w:pPr>
        <w:spacing w:after="120"/>
      </w:pPr>
      <w:r>
        <w:rPr>
          <w:b w:val="0"/>
        </w:rPr>
        <w:t>Before expiry, the Approver can renew with a new expiry date. When the business need ends (or the exception is overdue), the Approver revokes it — which is recorded with actor, timestamp, and reason.</w:t>
      </w:r>
    </w:p>
    <w:p>
      <w:pPr>
        <w:spacing w:after="120"/>
      </w:pPr>
      <w:r>
        <w:rPr>
          <w:b/>
        </w:rPr>
        <w:t>Step 6 — Audit</w:t>
      </w:r>
    </w:p>
    <w:p>
      <w:pPr>
        <w:spacing w:after="120"/>
      </w:pPr>
      <w:r>
        <w:rPr>
          <w:b w:val="0"/>
        </w:rPr>
        <w:t>The Auditor accesses the Audit Report at any time, which compiles the full portfolio: active exceptions, expired, revoked, risk distribution, compliance roll-ups, conflict findings, and a complete evidence timeline per exception.</w:t>
      </w:r>
    </w:p>
    <w:p>
      <w:pPr>
        <w:pStyle w:val="Heading2"/>
      </w:pPr>
      <w:r>
        <w:rPr>
          <w:color w:val="991B1B"/>
          <w:sz w:val="28"/>
        </w:rPr>
        <w:t>7. Main Features</w:t>
      </w:r>
    </w:p>
    <w:p>
      <w:pPr>
        <w:pStyle w:val="Heading3"/>
      </w:pPr>
      <w:r>
        <w:rPr>
          <w:color w:val="1E293B"/>
          <w:sz w:val="24"/>
        </w:rPr>
        <w:t>7.1 Exception Registry</w:t>
      </w:r>
    </w:p>
    <w:p>
      <w:pPr>
        <w:spacing w:after="120"/>
      </w:pPr>
      <w:r>
        <w:rPr>
          <w:b w:val="0"/>
        </w:rPr>
        <w:t>The central searchable table of all exceptions in the system.</w:t>
      </w:r>
    </w:p>
    <w:p>
      <w:pPr>
        <w:pStyle w:val="ListBullet"/>
        <w:spacing w:after="60"/>
      </w:pPr>
      <w:r>
        <w:rPr>
          <w:b w:val="0"/>
        </w:rPr>
        <w:t>Displays: Exception ID, Requester, Business Unit, Policy, Asset, Risk Score + Level badge, Status badge, CIA badge, Conflict flag, Expiry date, Actions</w:t>
      </w:r>
    </w:p>
    <w:p>
      <w:pPr>
        <w:pStyle w:val="ListBullet"/>
        <w:spacing w:after="60"/>
      </w:pPr>
      <w:r>
        <w:rPr>
          <w:b w:val="0"/>
        </w:rPr>
        <w:t>Filters: search text, risk level (Low/Medium/High/Critical), status, business unit, policy category, has conflicts</w:t>
      </w:r>
    </w:p>
    <w:p>
      <w:pPr>
        <w:pStyle w:val="ListBullet"/>
        <w:spacing w:after="60"/>
      </w:pPr>
      <w:r>
        <w:rPr>
          <w:b w:val="0"/>
        </w:rPr>
        <w:t>Click any row to open the full Exception Details page</w:t>
      </w:r>
    </w:p>
    <w:p>
      <w:pPr>
        <w:pStyle w:val="ListBullet"/>
        <w:spacing w:after="60"/>
      </w:pPr>
      <w:r>
        <w:rPr>
          <w:b w:val="0"/>
        </w:rPr>
        <w:t>Supports CSV import (bulk upload from spreadsheets) and CSV export (full registry with risk scores)</w:t>
      </w:r>
    </w:p>
    <w:p>
      <w:pPr>
        <w:pStyle w:val="Heading3"/>
      </w:pPr>
      <w:r>
        <w:rPr>
          <w:color w:val="1E293B"/>
          <w:sz w:val="24"/>
        </w:rPr>
        <w:t>7.2 Structured GRC Intake Form (Add Exception)</w:t>
      </w:r>
    </w:p>
    <w:p>
      <w:pPr>
        <w:spacing w:after="120"/>
      </w:pPr>
      <w:r>
        <w:rPr>
          <w:b w:val="0"/>
        </w:rPr>
        <w:t>A multi-step, validated form for submitting new exception requests.</w:t>
      </w:r>
    </w:p>
    <w:p>
      <w:pPr>
        <w:pStyle w:val="ListBullet"/>
        <w:spacing w:after="60"/>
      </w:pPr>
      <w:r>
        <w:rPr>
          <w:b w:val="0"/>
        </w:rPr>
        <w:t>Requester information, business unit, asset selection, policy selection</w:t>
      </w:r>
    </w:p>
    <w:p>
      <w:pPr>
        <w:pStyle w:val="ListBullet"/>
        <w:spacing w:after="60"/>
      </w:pPr>
      <w:r>
        <w:rPr>
          <w:b w:val="0"/>
        </w:rPr>
        <w:t>Exception type (Admin Access, Encryption Disabled, Firewall Bypass, etc.)</w:t>
      </w:r>
    </w:p>
    <w:p>
      <w:pPr>
        <w:pStyle w:val="ListBullet"/>
        <w:spacing w:after="60"/>
      </w:pPr>
      <w:r>
        <w:rPr>
          <w:b w:val="0"/>
        </w:rPr>
        <w:t>Business justification (free text, required)</w:t>
      </w:r>
    </w:p>
    <w:p>
      <w:pPr>
        <w:pStyle w:val="ListBullet"/>
        <w:spacing w:after="60"/>
      </w:pPr>
      <w:r>
        <w:rPr>
          <w:b w:val="0"/>
        </w:rPr>
        <w:t>Start date and expiry date</w:t>
      </w:r>
    </w:p>
    <w:p>
      <w:pPr>
        <w:pStyle w:val="ListBullet"/>
        <w:spacing w:after="60"/>
      </w:pPr>
      <w:r>
        <w:rPr>
          <w:b w:val="0"/>
        </w:rPr>
        <w:t>Compensating controls (mitigating factors)</w:t>
      </w:r>
    </w:p>
    <w:p>
      <w:pPr>
        <w:pStyle w:val="ListBullet"/>
        <w:spacing w:after="60"/>
      </w:pPr>
      <w:r>
        <w:rPr>
          <w:b w:val="0"/>
        </w:rPr>
        <w:t>Owner name and approver selection</w:t>
      </w:r>
    </w:p>
    <w:p>
      <w:pPr>
        <w:pStyle w:val="ListBullet"/>
        <w:spacing w:after="60"/>
      </w:pPr>
      <w:r>
        <w:rPr>
          <w:b w:val="0"/>
        </w:rPr>
        <w:t xml:space="preserve">On submission: backend auto-scores risk, sets </w:t>
      </w:r>
      <w:r>
        <w:rPr>
          <w:rFonts w:ascii="Courier New" w:hAnsi="Courier New"/>
          <w:b w:val="0"/>
          <w:color w:val="DC2626"/>
          <w:sz w:val="18"/>
        </w:rPr>
        <w:t>submitted</w:t>
      </w:r>
      <w:r>
        <w:rPr>
          <w:b w:val="0"/>
        </w:rPr>
        <w:t xml:space="preserve"> status, creates first history entry</w:t>
      </w:r>
    </w:p>
    <w:p>
      <w:pPr>
        <w:pStyle w:val="Heading3"/>
      </w:pPr>
      <w:r>
        <w:rPr>
          <w:color w:val="1E293B"/>
          <w:sz w:val="24"/>
        </w:rPr>
        <w:t>7.3 Review Queue</w:t>
      </w:r>
    </w:p>
    <w:p>
      <w:pPr>
        <w:spacing w:after="120"/>
      </w:pPr>
      <w:r>
        <w:rPr>
          <w:b w:val="0"/>
        </w:rPr>
        <w:t>Prioritized list of exceptions awaiting a decision, used by Security Reviewer and Approver.</w:t>
      </w:r>
    </w:p>
    <w:p>
      <w:pPr>
        <w:pStyle w:val="ListBullet"/>
        <w:spacing w:after="60"/>
      </w:pPr>
      <w:r>
        <w:rPr>
          <w:b w:val="0"/>
        </w:rPr>
        <w:t>Shows all in-flight exceptions (submitted, under_review, pending_approval)</w:t>
      </w:r>
    </w:p>
    <w:p>
      <w:pPr>
        <w:pStyle w:val="ListBullet"/>
        <w:spacing w:after="60"/>
      </w:pPr>
      <w:r>
        <w:rPr>
          <w:b w:val="0"/>
        </w:rPr>
        <w:t>Risk score and level visible at a glance for triage priority</w:t>
      </w:r>
    </w:p>
    <w:p>
      <w:pPr>
        <w:pStyle w:val="ListBullet"/>
        <w:spacing w:after="60"/>
      </w:pPr>
      <w:r>
        <w:rPr>
          <w:b w:val="0"/>
        </w:rPr>
        <w:t>Actions: Approve, Reject, Request More Information, Add Comment</w:t>
      </w:r>
    </w:p>
    <w:p>
      <w:pPr>
        <w:pStyle w:val="ListBullet"/>
        <w:spacing w:after="60"/>
      </w:pPr>
      <w:r>
        <w:rPr>
          <w:b w:val="0"/>
        </w:rPr>
        <w:t>Each action is recorded in the audit timeline</w:t>
      </w:r>
    </w:p>
    <w:p>
      <w:pPr>
        <w:pStyle w:val="Heading3"/>
      </w:pPr>
      <w:r>
        <w:rPr>
          <w:color w:val="1E293B"/>
          <w:sz w:val="24"/>
        </w:rPr>
        <w:t>7.4 Exception Details / Evidence File</w:t>
      </w:r>
    </w:p>
    <w:p>
      <w:pPr>
        <w:spacing w:after="120"/>
      </w:pPr>
      <w:r>
        <w:rPr>
          <w:b w:val="0"/>
        </w:rPr>
        <w:t>The full record for one exception — the primary audit artifact.</w:t>
      </w:r>
    </w:p>
    <w:p>
      <w:pPr>
        <w:pStyle w:val="ListBullet"/>
        <w:spacing w:after="60"/>
      </w:pPr>
      <w:r>
        <w:rPr>
          <w:b w:val="0"/>
        </w:rPr>
        <w:t>Full metadata: requester, BU, policy, asset, type, dates, owner, approver</w:t>
      </w:r>
    </w:p>
    <w:p>
      <w:pPr>
        <w:pStyle w:val="ListBullet"/>
        <w:spacing w:after="60"/>
      </w:pPr>
      <w:r>
        <w:rPr>
          <w:b w:val="0"/>
        </w:rPr>
        <w:t>Risk score with point-by-point factor breakdown and plain-English explanation</w:t>
      </w:r>
    </w:p>
    <w:p>
      <w:pPr>
        <w:pStyle w:val="ListBullet"/>
        <w:spacing w:after="60"/>
      </w:pPr>
      <w:r>
        <w:rPr>
          <w:b w:val="0"/>
        </w:rPr>
        <w:t>CIA Triad impact badge</w:t>
      </w:r>
    </w:p>
    <w:p>
      <w:pPr>
        <w:pStyle w:val="ListBullet"/>
        <w:spacing w:after="60"/>
      </w:pPr>
      <w:r>
        <w:rPr>
          <w:b w:val="0"/>
        </w:rPr>
        <w:t>Compensating controls status</w:t>
      </w:r>
    </w:p>
    <w:p>
      <w:pPr>
        <w:pStyle w:val="ListBullet"/>
        <w:spacing w:after="60"/>
      </w:pPr>
      <w:r>
        <w:rPr>
          <w:b w:val="0"/>
        </w:rPr>
        <w:t>Conflict and overlap flags</w:t>
      </w:r>
    </w:p>
    <w:p>
      <w:pPr>
        <w:pStyle w:val="ListBullet"/>
        <w:spacing w:after="60"/>
      </w:pPr>
      <w:r>
        <w:rPr>
          <w:b w:val="0"/>
        </w:rPr>
        <w:t>Lifecycle action buttons (role-specific: what this user can do now)</w:t>
      </w:r>
    </w:p>
    <w:p>
      <w:pPr>
        <w:pStyle w:val="ListBullet"/>
        <w:spacing w:after="60"/>
      </w:pPr>
      <w:r>
        <w:rPr>
          <w:b w:val="0"/>
        </w:rPr>
        <w:t>Immutable audit timeline: every action, comment, approval, and status change with actor + timestamp</w:t>
      </w:r>
    </w:p>
    <w:p>
      <w:pPr>
        <w:pStyle w:val="ListBullet"/>
        <w:spacing w:after="60"/>
      </w:pPr>
      <w:r>
        <w:rPr>
          <w:b w:val="0"/>
        </w:rPr>
        <w:t>Related alerts panel</w:t>
      </w:r>
    </w:p>
    <w:p>
      <w:pPr>
        <w:pStyle w:val="ListBullet"/>
        <w:spacing w:after="60"/>
      </w:pPr>
      <w:r>
        <w:rPr>
          <w:b w:val="0"/>
        </w:rPr>
        <w:t>Related conflicts panel (if any overlap/conflict detected)</w:t>
      </w:r>
    </w:p>
    <w:p>
      <w:pPr>
        <w:pStyle w:val="Heading3"/>
      </w:pPr>
      <w:r>
        <w:rPr>
          <w:color w:val="1E293B"/>
          <w:sz w:val="24"/>
        </w:rPr>
        <w:t>7.5 Risk Scoring Engine</w:t>
      </w:r>
    </w:p>
    <w:p>
      <w:pPr>
        <w:spacing w:after="120"/>
      </w:pPr>
      <w:r>
        <w:rPr>
          <w:b w:val="0"/>
        </w:rPr>
        <w:t>Dedicated page explaining the scoring model and showing ranked exceptions.</w:t>
      </w:r>
    </w:p>
    <w:p>
      <w:pPr>
        <w:pStyle w:val="ListBullet"/>
        <w:spacing w:after="60"/>
      </w:pPr>
      <w:r>
        <w:rPr>
          <w:b w:val="0"/>
        </w:rPr>
        <w:t>Live formula display</w:t>
      </w:r>
    </w:p>
    <w:p>
      <w:pPr>
        <w:pStyle w:val="ListBullet"/>
        <w:spacing w:after="60"/>
      </w:pPr>
      <w:r>
        <w:rPr>
          <w:b w:val="0"/>
        </w:rPr>
        <w:t>Full factor weight table (reference)</w:t>
      </w:r>
    </w:p>
    <w:p>
      <w:pPr>
        <w:pStyle w:val="ListBullet"/>
        <w:spacing w:after="60"/>
      </w:pPr>
      <w:r>
        <w:rPr>
          <w:b w:val="0"/>
        </w:rPr>
        <w:t>Ranked list of all exceptions, each showing its individual factor breakdown:</w:t>
      </w:r>
    </w:p>
    <w:p>
      <w:pPr>
        <w:pStyle w:val="ListBullet"/>
        <w:spacing w:after="60"/>
      </w:pPr>
      <w:r>
        <w:rPr>
          <w:b w:val="0"/>
        </w:rPr>
        <w:t>Exception Type weight</w:t>
      </w:r>
    </w:p>
    <w:p>
      <w:pPr>
        <w:pStyle w:val="ListBullet"/>
        <w:spacing w:after="60"/>
      </w:pPr>
      <w:r>
        <w:rPr>
          <w:b w:val="0"/>
        </w:rPr>
        <w:t>Asset Criticality weight</w:t>
      </w:r>
    </w:p>
    <w:p>
      <w:pPr>
        <w:pStyle w:val="ListBullet"/>
        <w:spacing w:after="60"/>
      </w:pPr>
      <w:r>
        <w:rPr>
          <w:b w:val="0"/>
        </w:rPr>
        <w:t>Duration penalty</w:t>
      </w:r>
    </w:p>
    <w:p>
      <w:pPr>
        <w:pStyle w:val="ListBullet"/>
        <w:spacing w:after="60"/>
      </w:pPr>
      <w:r>
        <w:rPr>
          <w:b w:val="0"/>
        </w:rPr>
        <w:t>Expiry Status penalty</w:t>
      </w:r>
    </w:p>
    <w:p>
      <w:pPr>
        <w:pStyle w:val="ListBullet"/>
        <w:spacing w:after="60"/>
      </w:pPr>
      <w:r>
        <w:rPr>
          <w:b w:val="0"/>
        </w:rPr>
        <w:t>Review Status penalty</w:t>
      </w:r>
    </w:p>
    <w:p>
      <w:pPr>
        <w:pStyle w:val="ListBullet"/>
        <w:spacing w:after="60"/>
      </w:pPr>
      <w:r>
        <w:rPr>
          <w:b w:val="0"/>
        </w:rPr>
        <w:t>Owner Status penalty</w:t>
      </w:r>
    </w:p>
    <w:p>
      <w:pPr>
        <w:pStyle w:val="ListBullet"/>
        <w:spacing w:after="60"/>
      </w:pPr>
      <w:r>
        <w:rPr>
          <w:b w:val="0"/>
        </w:rPr>
        <w:t>Compensating Control bonus (deducted)</w:t>
      </w:r>
    </w:p>
    <w:p>
      <w:pPr>
        <w:pStyle w:val="ListBullet"/>
        <w:spacing w:after="60"/>
      </w:pPr>
      <w:r>
        <w:rPr>
          <w:b w:val="0"/>
        </w:rPr>
        <w:t>Plain-English explanation for each exception's score</w:t>
      </w:r>
    </w:p>
    <w:p>
      <w:pPr>
        <w:pStyle w:val="Heading3"/>
      </w:pPr>
      <w:r>
        <w:rPr>
          <w:color w:val="1E293B"/>
          <w:sz w:val="24"/>
        </w:rPr>
        <w:t>7.6 Alerts / Continuous Monitoring</w:t>
      </w:r>
    </w:p>
    <w:p>
      <w:pPr>
        <w:spacing w:after="120"/>
      </w:pPr>
      <w:r>
        <w:rPr>
          <w:b w:val="0"/>
        </w:rPr>
        <w:t>Live alert engine that continuously evaluates every active exception.</w:t>
      </w:r>
    </w:p>
    <w:p>
      <w:pPr>
        <w:pStyle w:val="ListBullet"/>
        <w:spacing w:after="60"/>
      </w:pPr>
      <w:r>
        <w:rPr>
          <w:b/>
        </w:rPr>
        <w:t>7 alert types:</w:t>
      </w:r>
      <w:r>
        <w:rPr>
          <w:b w:val="0"/>
        </w:rPr>
        <w:t xml:space="preserve"> Expiring Soon, Overdue, Orphaned Owner, Missing Compensating Control, Review Overdue, Critical Risk, Vague Justification</w:t>
      </w:r>
    </w:p>
    <w:p>
      <w:pPr>
        <w:pStyle w:val="ListBullet"/>
        <w:spacing w:after="60"/>
      </w:pPr>
      <w:r>
        <w:rPr>
          <w:b w:val="0"/>
        </w:rPr>
        <w:t>Severity levels: Critical, High, Medium, Low</w:t>
      </w:r>
    </w:p>
    <w:p>
      <w:pPr>
        <w:pStyle w:val="ListBullet"/>
        <w:spacing w:after="60"/>
      </w:pPr>
      <w:r>
        <w:rPr>
          <w:b w:val="0"/>
        </w:rPr>
        <w:t>Filters by severity and alert type</w:t>
      </w:r>
    </w:p>
    <w:p>
      <w:pPr>
        <w:pStyle w:val="ListBullet"/>
        <w:spacing w:after="60"/>
      </w:pPr>
      <w:r>
        <w:rPr>
          <w:b w:val="0"/>
        </w:rPr>
        <w:t>Each alert links directly to the affected exception</w:t>
      </w:r>
    </w:p>
    <w:p>
      <w:pPr>
        <w:pStyle w:val="ListBullet"/>
        <w:spacing w:after="60"/>
      </w:pPr>
      <w:r>
        <w:rPr>
          <w:b w:val="0"/>
        </w:rPr>
        <w:t>Simulated email reminder: shows a rendered email preview for expiry reminders (no real email sent — demo simulation only)</w:t>
      </w:r>
    </w:p>
    <w:p>
      <w:pPr>
        <w:pStyle w:val="Heading3"/>
      </w:pPr>
      <w:r>
        <w:rPr>
          <w:color w:val="1E293B"/>
          <w:sz w:val="24"/>
        </w:rPr>
        <w:t>7.7 GRC Intelligence Center</w:t>
      </w:r>
    </w:p>
    <w:p>
      <w:pPr>
        <w:spacing w:after="120"/>
      </w:pPr>
      <w:r>
        <w:rPr>
          <w:b w:val="0"/>
        </w:rPr>
        <w:t>Advanced analysis layer for detecting patterns that rule-by-rule checking misses.</w:t>
      </w:r>
    </w:p>
    <w:p>
      <w:pPr>
        <w:pStyle w:val="ListBullet"/>
        <w:spacing w:after="60"/>
      </w:pPr>
      <w:r>
        <w:rPr>
          <w:b/>
        </w:rPr>
        <w:t>Overlapping exceptions:</w:t>
      </w:r>
      <w:r>
        <w:rPr>
          <w:b w:val="0"/>
        </w:rPr>
        <w:t xml:space="preserve"> two or more exceptions covering the same asset and policy</w:t>
      </w:r>
    </w:p>
    <w:p>
      <w:pPr>
        <w:pStyle w:val="ListBullet"/>
        <w:spacing w:after="60"/>
      </w:pPr>
      <w:r>
        <w:rPr>
          <w:b/>
        </w:rPr>
        <w:t>Conflicting approvals:</w:t>
      </w:r>
      <w:r>
        <w:rPr>
          <w:b w:val="0"/>
        </w:rPr>
        <w:t xml:space="preserve"> one exception approved where another was rejected for the same scope</w:t>
      </w:r>
    </w:p>
    <w:p>
      <w:pPr>
        <w:pStyle w:val="ListBullet"/>
        <w:spacing w:after="60"/>
      </w:pPr>
      <w:r>
        <w:rPr>
          <w:b/>
        </w:rPr>
        <w:t>Duplicate waivers:</w:t>
      </w:r>
      <w:r>
        <w:rPr>
          <w:b w:val="0"/>
        </w:rPr>
        <w:t xml:space="preserve"> near-identical exception requests submitted by different requesters</w:t>
      </w:r>
    </w:p>
    <w:p>
      <w:pPr>
        <w:pStyle w:val="ListBullet"/>
        <w:spacing w:after="60"/>
      </w:pPr>
      <w:r>
        <w:rPr>
          <w:b/>
        </w:rPr>
        <w:t>Risk accumulation hotspots:</w:t>
      </w:r>
      <w:r>
        <w:rPr>
          <w:b w:val="0"/>
        </w:rPr>
        <w:t xml:space="preserve"> business units, assets, or owners with a disproportionate share of exception risk</w:t>
      </w:r>
    </w:p>
    <w:p>
      <w:pPr>
        <w:pStyle w:val="ListBullet"/>
        <w:spacing w:after="60"/>
      </w:pPr>
      <w:r>
        <w:rPr>
          <w:b/>
        </w:rPr>
        <w:t>Remediation plan:</w:t>
      </w:r>
      <w:r>
        <w:rPr>
          <w:b w:val="0"/>
        </w:rPr>
        <w:t xml:space="preserve"> ranked list of recommended actions with owner assignment</w:t>
      </w:r>
    </w:p>
    <w:p>
      <w:pPr>
        <w:pStyle w:val="Heading3"/>
      </w:pPr>
      <w:r>
        <w:rPr>
          <w:color w:val="1E293B"/>
          <w:sz w:val="24"/>
        </w:rPr>
        <w:t>7.8 Audit Report</w:t>
      </w:r>
    </w:p>
    <w:p>
      <w:pPr>
        <w:spacing w:after="120"/>
      </w:pPr>
      <w:r>
        <w:rPr>
          <w:b w:val="0"/>
        </w:rPr>
        <w:t>One-click, print-ready report for auditors and compliance officers.</w:t>
      </w:r>
    </w:p>
    <w:p>
      <w:pPr>
        <w:pStyle w:val="ListBullet"/>
        <w:spacing w:after="60"/>
      </w:pPr>
      <w:r>
        <w:rPr>
          <w:b w:val="0"/>
        </w:rPr>
        <w:t>Executive summary with key metrics (active, overdue, orphaned, avg risk score)</w:t>
      </w:r>
    </w:p>
    <w:p>
      <w:pPr>
        <w:pStyle w:val="ListBullet"/>
        <w:spacing w:after="60"/>
      </w:pPr>
      <w:r>
        <w:rPr>
          <w:b w:val="0"/>
        </w:rPr>
        <w:t>Posture overview: on-track vs. at-risk vs. critical exceptions</w:t>
      </w:r>
    </w:p>
    <w:p>
      <w:pPr>
        <w:pStyle w:val="ListBullet"/>
        <w:spacing w:after="60"/>
      </w:pPr>
      <w:r>
        <w:rPr>
          <w:b w:val="0"/>
        </w:rPr>
        <w:t>Roll-ups by policy category, business unit, and owner</w:t>
      </w:r>
    </w:p>
    <w:p>
      <w:pPr>
        <w:pStyle w:val="ListBullet"/>
        <w:spacing w:after="60"/>
      </w:pPr>
      <w:r>
        <w:rPr>
          <w:b w:val="0"/>
        </w:rPr>
        <w:t>Compliance alignment summary (NIST, GDPR, CIS)</w:t>
      </w:r>
    </w:p>
    <w:p>
      <w:pPr>
        <w:pStyle w:val="ListBullet"/>
        <w:spacing w:after="60"/>
      </w:pPr>
      <w:r>
        <w:rPr>
          <w:b w:val="0"/>
        </w:rPr>
        <w:t>Overlap and conflict findings</w:t>
      </w:r>
    </w:p>
    <w:p>
      <w:pPr>
        <w:pStyle w:val="ListBullet"/>
        <w:spacing w:after="60"/>
      </w:pPr>
      <w:r>
        <w:rPr>
          <w:b w:val="0"/>
        </w:rPr>
        <w:t>Top 10 riskiest exceptions</w:t>
      </w:r>
    </w:p>
    <w:p>
      <w:pPr>
        <w:pStyle w:val="ListBullet"/>
        <w:spacing w:after="60"/>
      </w:pPr>
      <w:r>
        <w:rPr>
          <w:b w:val="0"/>
        </w:rPr>
        <w:t>Overdue and orphaned exceptions lists</w:t>
      </w:r>
    </w:p>
    <w:p>
      <w:pPr>
        <w:pStyle w:val="ListBullet"/>
        <w:spacing w:after="60"/>
      </w:pPr>
      <w:r>
        <w:rPr>
          <w:b w:val="0"/>
        </w:rPr>
        <w:t>Recommendations summary</w:t>
      </w:r>
    </w:p>
    <w:p>
      <w:pPr>
        <w:pStyle w:val="ListBullet"/>
        <w:spacing w:after="60"/>
      </w:pPr>
      <w:r>
        <w:rPr>
          <w:b w:val="0"/>
        </w:rPr>
        <w:t>Print / Export button (browser print dialog, generates PDF)</w:t>
      </w:r>
    </w:p>
    <w:p>
      <w:pPr>
        <w:pStyle w:val="Heading3"/>
      </w:pPr>
      <w:r>
        <w:rPr>
          <w:color w:val="1E293B"/>
          <w:sz w:val="24"/>
        </w:rPr>
        <w:t>7.9 Portfolio Dashboard</w:t>
      </w:r>
    </w:p>
    <w:p>
      <w:pPr>
        <w:spacing w:after="120"/>
      </w:pPr>
      <w:r>
        <w:rPr>
          <w:b w:val="0"/>
        </w:rPr>
        <w:t>Leadership-level portfolio view.</w:t>
      </w:r>
    </w:p>
    <w:p>
      <w:pPr>
        <w:pStyle w:val="ListBullet"/>
        <w:spacing w:after="60"/>
      </w:pPr>
      <w:r>
        <w:rPr>
          <w:b w:val="0"/>
        </w:rPr>
        <w:t>8 summary KPI cards: Total, Active, Overdue, Orphaned, Expiring Soon, Avg Risk Score, Critical Count, Reviewed</w:t>
      </w:r>
    </w:p>
    <w:p>
      <w:pPr>
        <w:pStyle w:val="ListBullet"/>
        <w:spacing w:after="60"/>
      </w:pPr>
      <w:r>
        <w:rPr>
          <w:b w:val="0"/>
        </w:rPr>
        <w:t>6 charts: Risk Distribution (pie), Status Distribution (bar), By Policy Category, By Exception Type, Top Risky Business Units, Monthly Trend</w:t>
      </w:r>
    </w:p>
    <w:p>
      <w:pPr>
        <w:pStyle w:val="ListBullet"/>
        <w:spacing w:after="60"/>
      </w:pPr>
      <w:r>
        <w:rPr>
          <w:b w:val="0"/>
        </w:rPr>
        <w:t>Risk Heatmap (department × risk level, only showing columns with data)</w:t>
      </w:r>
    </w:p>
    <w:p>
      <w:pPr>
        <w:pStyle w:val="ListBullet"/>
        <w:spacing w:after="60"/>
      </w:pPr>
      <w:r>
        <w:rPr>
          <w:b w:val="0"/>
        </w:rPr>
        <w:t>Top-risk exception table</w:t>
      </w:r>
    </w:p>
    <w:p>
      <w:pPr>
        <w:pStyle w:val="ListBullet"/>
        <w:spacing w:after="60"/>
      </w:pPr>
      <w:r>
        <w:rPr>
          <w:b w:val="0"/>
        </w:rPr>
        <w:t>Risk hotspot cards</w:t>
      </w:r>
    </w:p>
    <w:p>
      <w:pPr>
        <w:pStyle w:val="Heading3"/>
      </w:pPr>
      <w:r>
        <w:rPr>
          <w:color w:val="1E293B"/>
          <w:sz w:val="24"/>
        </w:rPr>
        <w:t>7.10 Settings / Demo Configuration</w:t>
      </w:r>
    </w:p>
    <w:p>
      <w:pPr>
        <w:pStyle w:val="ListBullet"/>
        <w:spacing w:after="60"/>
      </w:pPr>
      <w:r>
        <w:rPr>
          <w:b w:val="0"/>
        </w:rPr>
        <w:t>Role switcher (demo convenience)</w:t>
      </w:r>
    </w:p>
    <w:p>
      <w:pPr>
        <w:pStyle w:val="ListBullet"/>
        <w:spacing w:after="60"/>
      </w:pPr>
      <w:r>
        <w:rPr>
          <w:b w:val="0"/>
        </w:rPr>
        <w:t>Live backend status indicator</w:t>
      </w:r>
    </w:p>
    <w:p>
      <w:pPr>
        <w:pStyle w:val="ListBullet"/>
        <w:spacing w:after="60"/>
      </w:pPr>
      <w:r>
        <w:rPr>
          <w:b w:val="0"/>
        </w:rPr>
        <w:t>Risk scoring parameter reference (band definitions, factor weights)</w:t>
      </w:r>
    </w:p>
    <w:p>
      <w:pPr>
        <w:pStyle w:val="ListBullet"/>
        <w:spacing w:after="60"/>
      </w:pPr>
      <w:r>
        <w:rPr>
          <w:b w:val="0"/>
        </w:rPr>
        <w:t>User and owner status table</w:t>
      </w:r>
    </w:p>
    <w:p>
      <w:pPr>
        <w:pStyle w:val="ListBullet"/>
        <w:spacing w:after="60"/>
      </w:pPr>
      <w:r>
        <w:rPr>
          <w:b w:val="0"/>
        </w:rPr>
        <w:t>System status overview</w:t>
      </w:r>
    </w:p>
    <w:p>
      <w:pPr>
        <w:pStyle w:val="Heading2"/>
      </w:pPr>
      <w:r>
        <w:rPr>
          <w:color w:val="991B1B"/>
          <w:sz w:val="28"/>
        </w:rPr>
        <w:t>8. Risk Scoring Model</w:t>
      </w:r>
    </w:p>
    <w:p>
      <w:pPr>
        <w:pStyle w:val="Heading3"/>
      </w:pPr>
      <w:r>
        <w:rPr>
          <w:color w:val="1E293B"/>
          <w:sz w:val="24"/>
        </w:rPr>
        <w:t>Formula</w:t>
      </w:r>
    </w:p>
    <w:p>
      <w:pPr>
        <w:shd w:val="clear" w:color="auto" w:fill="0F172A"/>
        <w:spacing w:before="120" w:after="120"/>
        <w:ind w:left="288" w:right="288"/>
        <w:pBdr>
          <w:left w:val="single" w:sz="24" w:space="4" w:color="DC2626"/>
        </w:pBdr>
      </w:pPr>
      <w:r>
        <w:rPr>
          <w:rFonts w:ascii="Courier New" w:hAnsi="Courier New"/>
          <w:color w:val="E2E8F0"/>
          <w:sz w:val="17"/>
        </w:rPr>
        <w:t>Risk Score = TYPE_WEIGHT</w:t>
        <w:br/>
        <w:t xml:space="preserve">           + ASSET_CRITICALITY_WEIGHT</w:t>
        <w:br/>
        <w:t xml:space="preserve">           + DURATION_PENALTY</w:t>
        <w:br/>
        <w:t xml:space="preserve">           + EXPIRY_STATUS_PENALTY</w:t>
        <w:br/>
        <w:t xml:space="preserve">           + REVIEW_STATUS_PENALTY</w:t>
        <w:br/>
        <w:t xml:space="preserve">           + OWNER_STATUS_PENALTY</w:t>
        <w:br/>
        <w:t xml:space="preserve">           − COMPENSATING_CONTROL_BONUS</w:t>
        <w:br/>
        <w:br/>
        <w:t>(Result capped between 0 and 100)</w:t>
      </w:r>
    </w:p>
    <w:p>
      <w:pPr>
        <w:pStyle w:val="Heading3"/>
      </w:pPr>
      <w:r>
        <w:rPr>
          <w:color w:val="1E293B"/>
          <w:sz w:val="24"/>
        </w:rPr>
        <w:t>Factor Weights</w:t>
      </w:r>
    </w:p>
    <w:tbl>
      <w:tblPr>
        <w:tblStyle w:val="TableGrid"/>
        <w:tblW w:type="auto" w:w="0"/>
        <w:tblLook w:firstColumn="1" w:firstRow="1" w:lastColumn="0" w:lastRow="0" w:noHBand="0" w:noVBand="1" w:val="04A0"/>
      </w:tblPr>
      <w:tblGrid>
        <w:gridCol w:w="4986"/>
        <w:gridCol w:w="4986"/>
      </w:tblGrid>
      <w:tr>
        <w:tc>
          <w:tcPr>
            <w:tcW w:type="dxa" w:w="4986"/>
            <w:shd w:val="clear" w:color="auto" w:fill="991B1B"/>
          </w:tcPr>
          <w:p>
            <w:pPr>
              <w:spacing w:before="60" w:after="60"/>
            </w:pPr>
            <w:r>
              <w:rPr>
                <w:b/>
                <w:color w:val="FFFFFF"/>
                <w:sz w:val="18"/>
              </w:rPr>
              <w:t>Factor</w:t>
            </w:r>
          </w:p>
        </w:tc>
        <w:tc>
          <w:tcPr>
            <w:tcW w:type="dxa" w:w="4986"/>
            <w:shd w:val="clear" w:color="auto" w:fill="991B1B"/>
          </w:tcPr>
          <w:p>
            <w:pPr>
              <w:spacing w:before="60" w:after="60"/>
            </w:pPr>
            <w:r>
              <w:rPr>
                <w:b/>
                <w:color w:val="FFFFFF"/>
                <w:sz w:val="18"/>
              </w:rPr>
              <w:t>Values and Weights</w:t>
            </w:r>
          </w:p>
        </w:tc>
      </w:tr>
      <w:tr>
        <w:tc>
          <w:tcPr>
            <w:tcW w:type="dxa" w:w="4986"/>
            <w:shd w:val="clear" w:color="auto" w:fill="FFFFFF"/>
          </w:tcPr>
          <w:p>
            <w:pPr>
              <w:spacing w:before="40" w:after="40"/>
            </w:pPr>
            <w:r>
              <w:rPr>
                <w:sz w:val="18"/>
              </w:rPr>
              <w:t>**Exception Type**</w:t>
            </w:r>
          </w:p>
        </w:tc>
        <w:tc>
          <w:tcPr>
            <w:tcW w:type="dxa" w:w="4986"/>
            <w:shd w:val="clear" w:color="auto" w:fill="FFFFFF"/>
          </w:tcPr>
          <w:p>
            <w:pPr>
              <w:spacing w:before="40" w:after="40"/>
            </w:pPr>
            <w:r>
              <w:rPr>
                <w:sz w:val="18"/>
              </w:rPr>
              <w:t>Admin Access: 35 · Encryption Disabled: 35 · Firewall Bypass: 30 · Data Access Extension: 25 · Password Policy: 20 · Audit Logging Disabled: 25 · Network Exposure: 28 · Privileged Access: 32</w:t>
            </w:r>
          </w:p>
        </w:tc>
      </w:tr>
      <w:tr>
        <w:tc>
          <w:tcPr>
            <w:tcW w:type="dxa" w:w="4986"/>
            <w:shd w:val="clear" w:color="auto" w:fill="FFF7F7"/>
          </w:tcPr>
          <w:p>
            <w:pPr>
              <w:spacing w:before="40" w:after="40"/>
            </w:pPr>
            <w:r>
              <w:rPr>
                <w:sz w:val="18"/>
              </w:rPr>
              <w:t>**Asset Criticality**</w:t>
            </w:r>
          </w:p>
        </w:tc>
        <w:tc>
          <w:tcPr>
            <w:tcW w:type="dxa" w:w="4986"/>
            <w:shd w:val="clear" w:color="auto" w:fill="FFF7F7"/>
          </w:tcPr>
          <w:p>
            <w:pPr>
              <w:spacing w:before="40" w:after="40"/>
            </w:pPr>
            <w:r>
              <w:rPr>
                <w:sz w:val="18"/>
              </w:rPr>
              <w:t>Critical: 25 · High: 18 · Medium: 10 · Low: 5</w:t>
            </w:r>
          </w:p>
        </w:tc>
      </w:tr>
      <w:tr>
        <w:tc>
          <w:tcPr>
            <w:tcW w:type="dxa" w:w="4986"/>
            <w:shd w:val="clear" w:color="auto" w:fill="FFFFFF"/>
          </w:tcPr>
          <w:p>
            <w:pPr>
              <w:spacing w:before="40" w:after="40"/>
            </w:pPr>
            <w:r>
              <w:rPr>
                <w:sz w:val="18"/>
              </w:rPr>
              <w:t>**Duration**</w:t>
            </w:r>
          </w:p>
        </w:tc>
        <w:tc>
          <w:tcPr>
            <w:tcW w:type="dxa" w:w="4986"/>
            <w:shd w:val="clear" w:color="auto" w:fill="FFFFFF"/>
          </w:tcPr>
          <w:p>
            <w:pPr>
              <w:spacing w:before="40" w:after="40"/>
            </w:pPr>
            <w:r>
              <w:rPr>
                <w:sz w:val="18"/>
              </w:rPr>
              <w:t>≤7 days: 0 · ≤30 days: 5 · ≤90 days: 10 · ≤180 days: 15 · &gt;180 days: 20</w:t>
            </w:r>
          </w:p>
        </w:tc>
      </w:tr>
      <w:tr>
        <w:tc>
          <w:tcPr>
            <w:tcW w:type="dxa" w:w="4986"/>
            <w:shd w:val="clear" w:color="auto" w:fill="FFF7F7"/>
          </w:tcPr>
          <w:p>
            <w:pPr>
              <w:spacing w:before="40" w:after="40"/>
            </w:pPr>
            <w:r>
              <w:rPr>
                <w:sz w:val="18"/>
              </w:rPr>
              <w:t>**Expiry Status**</w:t>
            </w:r>
          </w:p>
        </w:tc>
        <w:tc>
          <w:tcPr>
            <w:tcW w:type="dxa" w:w="4986"/>
            <w:shd w:val="clear" w:color="auto" w:fill="FFF7F7"/>
          </w:tcPr>
          <w:p>
            <w:pPr>
              <w:spacing w:before="40" w:after="40"/>
            </w:pPr>
            <w:r>
              <w:rPr>
                <w:sz w:val="18"/>
              </w:rPr>
              <w:t>Active/valid: 0 · Expiring within 7 days: 8 · Overdue: 15 · No expiry set: 10</w:t>
            </w:r>
          </w:p>
        </w:tc>
      </w:tr>
      <w:tr>
        <w:tc>
          <w:tcPr>
            <w:tcW w:type="dxa" w:w="4986"/>
            <w:shd w:val="clear" w:color="auto" w:fill="FFFFFF"/>
          </w:tcPr>
          <w:p>
            <w:pPr>
              <w:spacing w:before="40" w:after="40"/>
            </w:pPr>
            <w:r>
              <w:rPr>
                <w:sz w:val="18"/>
              </w:rPr>
              <w:t>**Review Status**</w:t>
            </w:r>
          </w:p>
        </w:tc>
        <w:tc>
          <w:tcPr>
            <w:tcW w:type="dxa" w:w="4986"/>
            <w:shd w:val="clear" w:color="auto" w:fill="FFFFFF"/>
          </w:tcPr>
          <w:p>
            <w:pPr>
              <w:spacing w:before="40" w:after="40"/>
            </w:pPr>
            <w:r>
              <w:rPr>
                <w:sz w:val="18"/>
              </w:rPr>
              <w:t>Reviewed recently: 0 · Not reviewed: 8 · Review overdue: 12</w:t>
            </w:r>
          </w:p>
        </w:tc>
      </w:tr>
      <w:tr>
        <w:tc>
          <w:tcPr>
            <w:tcW w:type="dxa" w:w="4986"/>
            <w:shd w:val="clear" w:color="auto" w:fill="FFF7F7"/>
          </w:tcPr>
          <w:p>
            <w:pPr>
              <w:spacing w:before="40" w:after="40"/>
            </w:pPr>
            <w:r>
              <w:rPr>
                <w:sz w:val="18"/>
              </w:rPr>
              <w:t>**Owner Status**</w:t>
            </w:r>
          </w:p>
        </w:tc>
        <w:tc>
          <w:tcPr>
            <w:tcW w:type="dxa" w:w="4986"/>
            <w:shd w:val="clear" w:color="auto" w:fill="FFF7F7"/>
          </w:tcPr>
          <w:p>
            <w:pPr>
              <w:spacing w:before="40" w:after="40"/>
            </w:pPr>
            <w:r>
              <w:rPr>
                <w:sz w:val="18"/>
              </w:rPr>
              <w:t>Owner present and active: 0 · Owner inactive/missing: 10 · No owner set: 12</w:t>
            </w:r>
          </w:p>
        </w:tc>
      </w:tr>
      <w:tr>
        <w:tc>
          <w:tcPr>
            <w:tcW w:type="dxa" w:w="4986"/>
            <w:shd w:val="clear" w:color="auto" w:fill="FFFFFF"/>
          </w:tcPr>
          <w:p>
            <w:pPr>
              <w:spacing w:before="40" w:after="40"/>
            </w:pPr>
            <w:r>
              <w:rPr>
                <w:sz w:val="18"/>
              </w:rPr>
              <w:t>**Compensating Control**</w:t>
            </w:r>
          </w:p>
        </w:tc>
        <w:tc>
          <w:tcPr>
            <w:tcW w:type="dxa" w:w="4986"/>
            <w:shd w:val="clear" w:color="auto" w:fill="FFFFFF"/>
          </w:tcPr>
          <w:p>
            <w:pPr>
              <w:spacing w:before="40" w:after="40"/>
            </w:pPr>
            <w:r>
              <w:rPr>
                <w:sz w:val="18"/>
              </w:rPr>
              <w:t>Control present: −15 · No control: 0</w:t>
            </w:r>
          </w:p>
        </w:tc>
      </w:tr>
    </w:tbl>
    <w:p/>
    <w:p>
      <w:pPr>
        <w:pStyle w:val="Heading3"/>
      </w:pPr>
      <w:r>
        <w:rPr>
          <w:color w:val="1E293B"/>
          <w:sz w:val="24"/>
        </w:rPr>
        <w:t>Risk Bands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991B1B"/>
          </w:tcPr>
          <w:p>
            <w:pPr>
              <w:spacing w:before="60" w:after="60"/>
            </w:pPr>
            <w:r>
              <w:rPr>
                <w:b/>
                <w:color w:val="FFFFFF"/>
                <w:sz w:val="18"/>
              </w:rPr>
              <w:t>Score Range</w:t>
            </w:r>
          </w:p>
        </w:tc>
        <w:tc>
          <w:tcPr>
            <w:tcW w:type="dxa" w:w="2493"/>
            <w:shd w:val="clear" w:color="auto" w:fill="991B1B"/>
          </w:tcPr>
          <w:p>
            <w:pPr>
              <w:spacing w:before="60" w:after="60"/>
            </w:pPr>
            <w:r>
              <w:rPr>
                <w:b/>
                <w:color w:val="FFFFFF"/>
                <w:sz w:val="18"/>
              </w:rPr>
              <w:t>Risk Level</w:t>
            </w:r>
          </w:p>
        </w:tc>
        <w:tc>
          <w:tcPr>
            <w:tcW w:type="dxa" w:w="2493"/>
            <w:shd w:val="clear" w:color="auto" w:fill="991B1B"/>
          </w:tcPr>
          <w:p>
            <w:pPr>
              <w:spacing w:before="60" w:after="60"/>
            </w:pPr>
            <w:r>
              <w:rPr>
                <w:b/>
                <w:color w:val="FFFFFF"/>
                <w:sz w:val="18"/>
              </w:rPr>
              <w:t>Meaning</w:t>
            </w:r>
          </w:p>
        </w:tc>
        <w:tc>
          <w:tcPr>
            <w:tcW w:type="dxa" w:w="2493"/>
            <w:shd w:val="clear" w:color="auto" w:fill="991B1B"/>
          </w:tcPr>
          <w:p>
            <w:pPr>
              <w:spacing w:before="60" w:after="60"/>
            </w:pPr>
            <w:r>
              <w:rPr>
                <w:b/>
                <w:color w:val="FFFFFF"/>
                <w:sz w:val="18"/>
              </w:rPr>
              <w:t>Typical Action</w:t>
            </w:r>
          </w:p>
        </w:tc>
      </w:tr>
      <w:tr>
        <w:tc>
          <w:tcPr>
            <w:tcW w:type="dxa" w:w="2493"/>
            <w:shd w:val="clear" w:color="auto" w:fill="FFFFFF"/>
          </w:tcPr>
          <w:p>
            <w:pPr>
              <w:spacing w:before="40" w:after="40"/>
            </w:pPr>
            <w:r>
              <w:rPr>
                <w:sz w:val="18"/>
              </w:rPr>
              <w:t>0 – 30</w:t>
            </w:r>
          </w:p>
        </w:tc>
        <w:tc>
          <w:tcPr>
            <w:tcW w:type="dxa" w:w="2493"/>
            <w:shd w:val="clear" w:color="auto" w:fill="FFFFFF"/>
          </w:tcPr>
          <w:p>
            <w:pPr>
              <w:spacing w:before="40" w:after="40"/>
            </w:pPr>
            <w:r>
              <w:rPr>
                <w:sz w:val="18"/>
              </w:rPr>
              <w:t>**Low**</w:t>
            </w:r>
          </w:p>
        </w:tc>
        <w:tc>
          <w:tcPr>
            <w:tcW w:type="dxa" w:w="2493"/>
            <w:shd w:val="clear" w:color="auto" w:fill="FFFFFF"/>
          </w:tcPr>
          <w:p>
            <w:pPr>
              <w:spacing w:before="40" w:after="40"/>
            </w:pPr>
            <w:r>
              <w:rPr>
                <w:sz w:val="18"/>
              </w:rPr>
              <w:t>Minimal risk, controls in place, short duration</w:t>
            </w:r>
          </w:p>
        </w:tc>
        <w:tc>
          <w:tcPr>
            <w:tcW w:type="dxa" w:w="2493"/>
            <w:shd w:val="clear" w:color="auto" w:fill="FFFFFF"/>
          </w:tcPr>
          <w:p>
            <w:pPr>
              <w:spacing w:before="40" w:after="40"/>
            </w:pPr>
            <w:r>
              <w:rPr>
                <w:sz w:val="18"/>
              </w:rPr>
              <w:t>Monitor; standard renewal</w:t>
            </w:r>
          </w:p>
        </w:tc>
      </w:tr>
      <w:tr>
        <w:tc>
          <w:tcPr>
            <w:tcW w:type="dxa" w:w="2493"/>
            <w:shd w:val="clear" w:color="auto" w:fill="FFF7F7"/>
          </w:tcPr>
          <w:p>
            <w:pPr>
              <w:spacing w:before="40" w:after="40"/>
            </w:pPr>
            <w:r>
              <w:rPr>
                <w:sz w:val="18"/>
              </w:rPr>
              <w:t>31 – 60</w:t>
            </w:r>
          </w:p>
        </w:tc>
        <w:tc>
          <w:tcPr>
            <w:tcW w:type="dxa" w:w="2493"/>
            <w:shd w:val="clear" w:color="auto" w:fill="FFF7F7"/>
          </w:tcPr>
          <w:p>
            <w:pPr>
              <w:spacing w:before="40" w:after="40"/>
            </w:pPr>
            <w:r>
              <w:rPr>
                <w:sz w:val="18"/>
              </w:rPr>
              <w:t>**Medium**</w:t>
            </w:r>
          </w:p>
        </w:tc>
        <w:tc>
          <w:tcPr>
            <w:tcW w:type="dxa" w:w="2493"/>
            <w:shd w:val="clear" w:color="auto" w:fill="FFF7F7"/>
          </w:tcPr>
          <w:p>
            <w:pPr>
              <w:spacing w:before="40" w:after="40"/>
            </w:pPr>
            <w:r>
              <w:rPr>
                <w:sz w:val="18"/>
              </w:rPr>
              <w:t>Moderate risk; some factors elevated</w:t>
            </w:r>
          </w:p>
        </w:tc>
        <w:tc>
          <w:tcPr>
            <w:tcW w:type="dxa" w:w="2493"/>
            <w:shd w:val="clear" w:color="auto" w:fill="FFF7F7"/>
          </w:tcPr>
          <w:p>
            <w:pPr>
              <w:spacing w:before="40" w:after="40"/>
            </w:pPr>
            <w:r>
              <w:rPr>
                <w:sz w:val="18"/>
              </w:rPr>
              <w:t>Review before renewal; add controls</w:t>
            </w:r>
          </w:p>
        </w:tc>
      </w:tr>
      <w:tr>
        <w:tc>
          <w:tcPr>
            <w:tcW w:type="dxa" w:w="2493"/>
            <w:shd w:val="clear" w:color="auto" w:fill="FFFFFF"/>
          </w:tcPr>
          <w:p>
            <w:pPr>
              <w:spacing w:before="40" w:after="40"/>
            </w:pPr>
            <w:r>
              <w:rPr>
                <w:sz w:val="18"/>
              </w:rPr>
              <w:t>61 – 80</w:t>
            </w:r>
          </w:p>
        </w:tc>
        <w:tc>
          <w:tcPr>
            <w:tcW w:type="dxa" w:w="2493"/>
            <w:shd w:val="clear" w:color="auto" w:fill="FFFFFF"/>
          </w:tcPr>
          <w:p>
            <w:pPr>
              <w:spacing w:before="40" w:after="40"/>
            </w:pPr>
            <w:r>
              <w:rPr>
                <w:sz w:val="18"/>
              </w:rPr>
              <w:t>**High**</w:t>
            </w:r>
          </w:p>
        </w:tc>
        <w:tc>
          <w:tcPr>
            <w:tcW w:type="dxa" w:w="2493"/>
            <w:shd w:val="clear" w:color="auto" w:fill="FFFFFF"/>
          </w:tcPr>
          <w:p>
            <w:pPr>
              <w:spacing w:before="40" w:after="40"/>
            </w:pPr>
            <w:r>
              <w:rPr>
                <w:sz w:val="18"/>
              </w:rPr>
              <w:t>Significant risk; multiple elevated factors</w:t>
            </w:r>
          </w:p>
        </w:tc>
        <w:tc>
          <w:tcPr>
            <w:tcW w:type="dxa" w:w="2493"/>
            <w:shd w:val="clear" w:color="auto" w:fill="FFFFFF"/>
          </w:tcPr>
          <w:p>
            <w:pPr>
              <w:spacing w:before="40" w:after="40"/>
            </w:pPr>
            <w:r>
              <w:rPr>
                <w:sz w:val="18"/>
              </w:rPr>
              <w:t>Escalate; owner must confirm</w:t>
            </w:r>
          </w:p>
        </w:tc>
      </w:tr>
      <w:tr>
        <w:tc>
          <w:tcPr>
            <w:tcW w:type="dxa" w:w="2493"/>
            <w:shd w:val="clear" w:color="auto" w:fill="FFF7F7"/>
          </w:tcPr>
          <w:p>
            <w:pPr>
              <w:spacing w:before="40" w:after="40"/>
            </w:pPr>
            <w:r>
              <w:rPr>
                <w:sz w:val="18"/>
              </w:rPr>
              <w:t>81 – 100</w:t>
            </w:r>
          </w:p>
        </w:tc>
        <w:tc>
          <w:tcPr>
            <w:tcW w:type="dxa" w:w="2493"/>
            <w:shd w:val="clear" w:color="auto" w:fill="FFF7F7"/>
          </w:tcPr>
          <w:p>
            <w:pPr>
              <w:spacing w:before="40" w:after="40"/>
            </w:pPr>
            <w:r>
              <w:rPr>
                <w:sz w:val="18"/>
              </w:rPr>
              <w:t>**Critical**</w:t>
            </w:r>
          </w:p>
        </w:tc>
        <w:tc>
          <w:tcPr>
            <w:tcW w:type="dxa" w:w="2493"/>
            <w:shd w:val="clear" w:color="auto" w:fill="FFF7F7"/>
          </w:tcPr>
          <w:p>
            <w:pPr>
              <w:spacing w:before="40" w:after="40"/>
            </w:pPr>
            <w:r>
              <w:rPr>
                <w:sz w:val="18"/>
              </w:rPr>
              <w:t>Severe risk; immediate attention required</w:t>
            </w:r>
          </w:p>
        </w:tc>
        <w:tc>
          <w:tcPr>
            <w:tcW w:type="dxa" w:w="2493"/>
            <w:shd w:val="clear" w:color="auto" w:fill="FFF7F7"/>
          </w:tcPr>
          <w:p>
            <w:pPr>
              <w:spacing w:before="40" w:after="40"/>
            </w:pPr>
            <w:r>
              <w:rPr>
                <w:sz w:val="18"/>
              </w:rPr>
              <w:t>Revoke or escalate immediately</w:t>
            </w:r>
          </w:p>
        </w:tc>
      </w:tr>
    </w:tbl>
    <w:p/>
    <w:p>
      <w:pPr>
        <w:pStyle w:val="Heading3"/>
      </w:pPr>
      <w:r>
        <w:rPr>
          <w:color w:val="1E293B"/>
          <w:sz w:val="24"/>
        </w:rPr>
        <w:t>Design Philosophy</w:t>
      </w:r>
    </w:p>
    <w:p>
      <w:pPr>
        <w:spacing w:after="120"/>
      </w:pPr>
      <w:r>
        <w:rPr>
          <w:b w:val="0"/>
        </w:rPr>
        <w:t xml:space="preserve">The current risk scoring model is </w:t>
      </w:r>
      <w:r>
        <w:rPr>
          <w:b/>
        </w:rPr>
        <w:t>fully rule-based and explainable</w:t>
      </w:r>
      <w:r>
        <w:rPr>
          <w:b w:val="0"/>
        </w:rPr>
        <w:t>. Every point in an exception's score can be traced to a specific factor with a specific weight. This is intentional:</w:t>
      </w:r>
    </w:p>
    <w:p>
      <w:pPr>
        <w:pStyle w:val="ListBullet"/>
        <w:spacing w:after="60"/>
      </w:pPr>
      <w:r>
        <w:rPr>
          <w:b w:val="0"/>
        </w:rPr>
        <w:t>Security teams can audit the scoring logic without a data science background</w:t>
      </w:r>
    </w:p>
    <w:p>
      <w:pPr>
        <w:pStyle w:val="ListBullet"/>
        <w:spacing w:after="60"/>
      </w:pPr>
      <w:r>
        <w:rPr>
          <w:b w:val="0"/>
        </w:rPr>
        <w:t>Judges and auditors can verify why a score of 95 was assigned</w:t>
      </w:r>
    </w:p>
    <w:p>
      <w:pPr>
        <w:pStyle w:val="ListBullet"/>
        <w:spacing w:after="60"/>
      </w:pPr>
      <w:r>
        <w:rPr>
          <w:b w:val="0"/>
        </w:rPr>
        <w:t>No black-box AI is involved in scoring decisions</w:t>
      </w:r>
    </w:p>
    <w:p>
      <w:pPr>
        <w:spacing w:after="120"/>
      </w:pPr>
      <w:r>
        <w:rPr>
          <w:b w:val="0"/>
        </w:rPr>
        <w:t>The system is architected to later add AI-based layers (see Section 19), but the current prototype prioritises explainability over complexity.</w:t>
      </w:r>
    </w:p>
    <w:p>
      <w:pPr>
        <w:pStyle w:val="Heading2"/>
      </w:pPr>
      <w:r>
        <w:rPr>
          <w:color w:val="991B1B"/>
          <w:sz w:val="28"/>
        </w:rPr>
        <w:t>9. Alert System</w:t>
      </w:r>
    </w:p>
    <w:p>
      <w:pPr>
        <w:pStyle w:val="Heading3"/>
      </w:pPr>
      <w:r>
        <w:rPr>
          <w:color w:val="1E293B"/>
          <w:sz w:val="24"/>
        </w:rPr>
        <w:t>Overview</w:t>
      </w:r>
    </w:p>
    <w:p>
      <w:pPr>
        <w:spacing w:after="120"/>
      </w:pPr>
      <w:r>
        <w:rPr>
          <w:b w:val="0"/>
        </w:rPr>
        <w:t>The alert engine runs on every API request, evaluating every active exception against seven rule-based conditions. Alerts are not stored permanently — they are recomputed live so they always reflect the current state of the exception registry.</w:t>
      </w:r>
    </w:p>
    <w:p>
      <w:pPr>
        <w:pStyle w:val="Heading3"/>
      </w:pPr>
      <w:r>
        <w:rPr>
          <w:color w:val="1E293B"/>
          <w:sz w:val="24"/>
        </w:rPr>
        <w:t>Alert Types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991B1B"/>
          </w:tcPr>
          <w:p>
            <w:pPr>
              <w:spacing w:before="60" w:after="60"/>
            </w:pPr>
            <w:r>
              <w:rPr>
                <w:b/>
                <w:color w:val="FFFFFF"/>
                <w:sz w:val="18"/>
              </w:rPr>
              <w:t>Alert Type</w:t>
            </w:r>
          </w:p>
        </w:tc>
        <w:tc>
          <w:tcPr>
            <w:tcW w:type="dxa" w:w="3324"/>
            <w:shd w:val="clear" w:color="auto" w:fill="991B1B"/>
          </w:tcPr>
          <w:p>
            <w:pPr>
              <w:spacing w:before="60" w:after="60"/>
            </w:pPr>
            <w:r>
              <w:rPr>
                <w:b/>
                <w:color w:val="FFFFFF"/>
                <w:sz w:val="18"/>
              </w:rPr>
              <w:t>Trigger Condition</w:t>
            </w:r>
          </w:p>
        </w:tc>
        <w:tc>
          <w:tcPr>
            <w:tcW w:type="dxa" w:w="3324"/>
            <w:shd w:val="clear" w:color="auto" w:fill="991B1B"/>
          </w:tcPr>
          <w:p>
            <w:pPr>
              <w:spacing w:before="60" w:after="60"/>
            </w:pPr>
            <w:r>
              <w:rPr>
                <w:b/>
                <w:color w:val="FFFFFF"/>
                <w:sz w:val="18"/>
              </w:rPr>
              <w:t>Severity</w:t>
            </w:r>
          </w:p>
        </w:tc>
      </w:tr>
      <w:tr>
        <w:tc>
          <w:tcPr>
            <w:tcW w:type="dxa" w:w="3324"/>
            <w:shd w:val="clear" w:color="auto" w:fill="FFFFFF"/>
          </w:tcPr>
          <w:p>
            <w:pPr>
              <w:spacing w:before="40" w:after="40"/>
            </w:pPr>
            <w:r>
              <w:rPr>
                <w:sz w:val="18"/>
              </w:rPr>
              <w:t>**Expiring Soon**</w:t>
            </w:r>
          </w:p>
        </w:tc>
        <w:tc>
          <w:tcPr>
            <w:tcW w:type="dxa" w:w="3324"/>
            <w:shd w:val="clear" w:color="auto" w:fill="FFFFFF"/>
          </w:tcPr>
          <w:p>
            <w:pPr>
              <w:spacing w:before="40" w:after="40"/>
            </w:pPr>
            <w:r>
              <w:rPr>
                <w:sz w:val="18"/>
              </w:rPr>
              <w:t>Expiry date is within 7 days and exception is still active</w:t>
            </w:r>
          </w:p>
        </w:tc>
        <w:tc>
          <w:tcPr>
            <w:tcW w:type="dxa" w:w="3324"/>
            <w:shd w:val="clear" w:color="auto" w:fill="FFFFFF"/>
          </w:tcPr>
          <w:p>
            <w:pPr>
              <w:spacing w:before="40" w:after="40"/>
            </w:pPr>
            <w:r>
              <w:rPr>
                <w:sz w:val="18"/>
              </w:rPr>
              <w:t>High</w:t>
            </w:r>
          </w:p>
        </w:tc>
      </w:tr>
      <w:tr>
        <w:tc>
          <w:tcPr>
            <w:tcW w:type="dxa" w:w="3324"/>
            <w:shd w:val="clear" w:color="auto" w:fill="FFF7F7"/>
          </w:tcPr>
          <w:p>
            <w:pPr>
              <w:spacing w:before="40" w:after="40"/>
            </w:pPr>
            <w:r>
              <w:rPr>
                <w:sz w:val="18"/>
              </w:rPr>
              <w:t>**Overdue**</w:t>
            </w:r>
          </w:p>
        </w:tc>
        <w:tc>
          <w:tcPr>
            <w:tcW w:type="dxa" w:w="3324"/>
            <w:shd w:val="clear" w:color="auto" w:fill="FFF7F7"/>
          </w:tcPr>
          <w:p>
            <w:pPr>
              <w:spacing w:before="40" w:after="40"/>
            </w:pPr>
            <w:r>
              <w:rPr>
                <w:sz w:val="18"/>
              </w:rPr>
              <w:t>Expiry date has passed and exception has not been renewed or revoked</w:t>
            </w:r>
          </w:p>
        </w:tc>
        <w:tc>
          <w:tcPr>
            <w:tcW w:type="dxa" w:w="3324"/>
            <w:shd w:val="clear" w:color="auto" w:fill="FFF7F7"/>
          </w:tcPr>
          <w:p>
            <w:pPr>
              <w:spacing w:before="40" w:after="40"/>
            </w:pPr>
            <w:r>
              <w:rPr>
                <w:sz w:val="18"/>
              </w:rPr>
              <w:t>Critical</w:t>
            </w:r>
          </w:p>
        </w:tc>
      </w:tr>
      <w:tr>
        <w:tc>
          <w:tcPr>
            <w:tcW w:type="dxa" w:w="3324"/>
            <w:shd w:val="clear" w:color="auto" w:fill="FFFFFF"/>
          </w:tcPr>
          <w:p>
            <w:pPr>
              <w:spacing w:before="40" w:after="40"/>
            </w:pPr>
            <w:r>
              <w:rPr>
                <w:sz w:val="18"/>
              </w:rPr>
              <w:t>**Orphaned Owner**</w:t>
            </w:r>
          </w:p>
        </w:tc>
        <w:tc>
          <w:tcPr>
            <w:tcW w:type="dxa" w:w="3324"/>
            <w:shd w:val="clear" w:color="auto" w:fill="FFFFFF"/>
          </w:tcPr>
          <w:p>
            <w:pPr>
              <w:spacing w:before="40" w:after="40"/>
            </w:pPr>
            <w:r>
              <w:rPr>
                <w:sz w:val="18"/>
              </w:rPr>
              <w:t>The owner on record has left the organisation or is marked inactive</w:t>
            </w:r>
          </w:p>
        </w:tc>
        <w:tc>
          <w:tcPr>
            <w:tcW w:type="dxa" w:w="3324"/>
            <w:shd w:val="clear" w:color="auto" w:fill="FFFFFF"/>
          </w:tcPr>
          <w:p>
            <w:pPr>
              <w:spacing w:before="40" w:after="40"/>
            </w:pPr>
            <w:r>
              <w:rPr>
                <w:sz w:val="18"/>
              </w:rPr>
              <w:t>High</w:t>
            </w:r>
          </w:p>
        </w:tc>
      </w:tr>
      <w:tr>
        <w:tc>
          <w:tcPr>
            <w:tcW w:type="dxa" w:w="3324"/>
            <w:shd w:val="clear" w:color="auto" w:fill="FFF7F7"/>
          </w:tcPr>
          <w:p>
            <w:pPr>
              <w:spacing w:before="40" w:after="40"/>
            </w:pPr>
            <w:r>
              <w:rPr>
                <w:sz w:val="18"/>
              </w:rPr>
              <w:t>**Missing Compensating Control**</w:t>
            </w:r>
          </w:p>
        </w:tc>
        <w:tc>
          <w:tcPr>
            <w:tcW w:type="dxa" w:w="3324"/>
            <w:shd w:val="clear" w:color="auto" w:fill="FFF7F7"/>
          </w:tcPr>
          <w:p>
            <w:pPr>
              <w:spacing w:before="40" w:after="40"/>
            </w:pPr>
            <w:r>
              <w:rPr>
                <w:sz w:val="18"/>
              </w:rPr>
              <w:t>Exception has no compensating control recorded, especially for Critical assets</w:t>
            </w:r>
          </w:p>
        </w:tc>
        <w:tc>
          <w:tcPr>
            <w:tcW w:type="dxa" w:w="3324"/>
            <w:shd w:val="clear" w:color="auto" w:fill="FFF7F7"/>
          </w:tcPr>
          <w:p>
            <w:pPr>
              <w:spacing w:before="40" w:after="40"/>
            </w:pPr>
            <w:r>
              <w:rPr>
                <w:sz w:val="18"/>
              </w:rPr>
              <w:t>Medium–High</w:t>
            </w:r>
          </w:p>
        </w:tc>
      </w:tr>
      <w:tr>
        <w:tc>
          <w:tcPr>
            <w:tcW w:type="dxa" w:w="3324"/>
            <w:shd w:val="clear" w:color="auto" w:fill="FFFFFF"/>
          </w:tcPr>
          <w:p>
            <w:pPr>
              <w:spacing w:before="40" w:after="40"/>
            </w:pPr>
            <w:r>
              <w:rPr>
                <w:sz w:val="18"/>
              </w:rPr>
              <w:t>**Review Overdue**</w:t>
            </w:r>
          </w:p>
        </w:tc>
        <w:tc>
          <w:tcPr>
            <w:tcW w:type="dxa" w:w="3324"/>
            <w:shd w:val="clear" w:color="auto" w:fill="FFFFFF"/>
          </w:tcPr>
          <w:p>
            <w:pPr>
              <w:spacing w:before="40" w:after="40"/>
            </w:pPr>
            <w:r>
              <w:rPr>
                <w:sz w:val="18"/>
              </w:rPr>
              <w:t>Exception has not been reviewed within the required review cycle</w:t>
            </w:r>
          </w:p>
        </w:tc>
        <w:tc>
          <w:tcPr>
            <w:tcW w:type="dxa" w:w="3324"/>
            <w:shd w:val="clear" w:color="auto" w:fill="FFFFFF"/>
          </w:tcPr>
          <w:p>
            <w:pPr>
              <w:spacing w:before="40" w:after="40"/>
            </w:pPr>
            <w:r>
              <w:rPr>
                <w:sz w:val="18"/>
              </w:rPr>
              <w:t>Medium</w:t>
            </w:r>
          </w:p>
        </w:tc>
      </w:tr>
      <w:tr>
        <w:tc>
          <w:tcPr>
            <w:tcW w:type="dxa" w:w="3324"/>
            <w:shd w:val="clear" w:color="auto" w:fill="FFF7F7"/>
          </w:tcPr>
          <w:p>
            <w:pPr>
              <w:spacing w:before="40" w:after="40"/>
            </w:pPr>
            <w:r>
              <w:rPr>
                <w:sz w:val="18"/>
              </w:rPr>
              <w:t>**Critical Risk**</w:t>
            </w:r>
          </w:p>
        </w:tc>
        <w:tc>
          <w:tcPr>
            <w:tcW w:type="dxa" w:w="3324"/>
            <w:shd w:val="clear" w:color="auto" w:fill="FFF7F7"/>
          </w:tcPr>
          <w:p>
            <w:pPr>
              <w:spacing w:before="40" w:after="40"/>
            </w:pPr>
            <w:r>
              <w:rPr>
                <w:sz w:val="18"/>
              </w:rPr>
              <w:t>Risk score ≥ 81 and exception remains active without escalation</w:t>
            </w:r>
          </w:p>
        </w:tc>
        <w:tc>
          <w:tcPr>
            <w:tcW w:type="dxa" w:w="3324"/>
            <w:shd w:val="clear" w:color="auto" w:fill="FFF7F7"/>
          </w:tcPr>
          <w:p>
            <w:pPr>
              <w:spacing w:before="40" w:after="40"/>
            </w:pPr>
            <w:r>
              <w:rPr>
                <w:sz w:val="18"/>
              </w:rPr>
              <w:t>Critical</w:t>
            </w:r>
          </w:p>
        </w:tc>
      </w:tr>
      <w:tr>
        <w:tc>
          <w:tcPr>
            <w:tcW w:type="dxa" w:w="3324"/>
            <w:shd w:val="clear" w:color="auto" w:fill="FFFFFF"/>
          </w:tcPr>
          <w:p>
            <w:pPr>
              <w:spacing w:before="40" w:after="40"/>
            </w:pPr>
            <w:r>
              <w:rPr>
                <w:sz w:val="18"/>
              </w:rPr>
              <w:t>**Vague Justification**</w:t>
            </w:r>
          </w:p>
        </w:tc>
        <w:tc>
          <w:tcPr>
            <w:tcW w:type="dxa" w:w="3324"/>
            <w:shd w:val="clear" w:color="auto" w:fill="FFFFFF"/>
          </w:tcPr>
          <w:p>
            <w:pPr>
              <w:spacing w:before="40" w:after="40"/>
            </w:pPr>
            <w:r>
              <w:rPr>
                <w:sz w:val="18"/>
              </w:rPr>
              <w:t>Business justification is shorter than a threshold or uses flagged phrases ("testing", "needed for business")</w:t>
            </w:r>
          </w:p>
        </w:tc>
        <w:tc>
          <w:tcPr>
            <w:tcW w:type="dxa" w:w="3324"/>
            <w:shd w:val="clear" w:color="auto" w:fill="FFFFFF"/>
          </w:tcPr>
          <w:p>
            <w:pPr>
              <w:spacing w:before="40" w:after="40"/>
            </w:pPr>
            <w:r>
              <w:rPr>
                <w:sz w:val="18"/>
              </w:rPr>
              <w:t>Low–Medium</w:t>
            </w:r>
          </w:p>
        </w:tc>
      </w:tr>
    </w:tbl>
    <w:p/>
    <w:p>
      <w:pPr>
        <w:pStyle w:val="Heading3"/>
      </w:pPr>
      <w:r>
        <w:rPr>
          <w:color w:val="1E293B"/>
          <w:sz w:val="24"/>
        </w:rPr>
        <w:t>Email Reminder Simulation</w:t>
      </w:r>
    </w:p>
    <w:p>
      <w:pPr>
        <w:spacing w:after="120"/>
      </w:pPr>
      <w:r>
        <w:rPr>
          <w:b w:val="0"/>
        </w:rPr>
        <w:t>The Alerts page includes a simulated email reminder that shows exactly what an automated notification to an exception owner would look like — including the exception ID, risk level, expiry date, and a call-to-action link.</w:t>
      </w:r>
    </w:p>
    <w:p>
      <w:pPr>
        <w:spacing w:after="120"/>
      </w:pPr>
      <w:r>
        <w:rPr>
          <w:b/>
        </w:rPr>
        <w:t>Important: No real email is sent.</w:t>
      </w:r>
      <w:r>
        <w:rPr>
          <w:b w:val="0"/>
        </w:rPr>
        <w:t xml:space="preserve"> This is a demo simulation only. In a production deployment, the email content shown would be delivered via an SMTP gateway, SendGrid, or an enterprise email system (Exchange/O365).</w:t>
      </w:r>
    </w:p>
    <w:p>
      <w:pPr>
        <w:pStyle w:val="Heading2"/>
      </w:pPr>
      <w:r>
        <w:rPr>
          <w:color w:val="991B1B"/>
          <w:sz w:val="28"/>
        </w:rPr>
        <w:t>10. GRC Intelligence</w:t>
      </w:r>
    </w:p>
    <w:p>
      <w:pPr>
        <w:pStyle w:val="Heading3"/>
      </w:pPr>
      <w:r>
        <w:rPr>
          <w:color w:val="1E293B"/>
          <w:sz w:val="24"/>
        </w:rPr>
        <w:t>Overview</w:t>
      </w:r>
    </w:p>
    <w:p>
      <w:pPr>
        <w:spacing w:after="120"/>
      </w:pPr>
      <w:r>
        <w:rPr>
          <w:b w:val="0"/>
        </w:rPr>
        <w:t xml:space="preserve">GRC Intelligence goes beyond individual exception alerts to detect </w:t>
      </w:r>
      <w:r>
        <w:rPr>
          <w:b/>
        </w:rPr>
        <w:t>cross-exception patterns</w:t>
      </w:r>
      <w:r>
        <w:rPr>
          <w:b w:val="0"/>
        </w:rPr>
        <w:t xml:space="preserve"> — problems that only become visible when looking at the full portfolio together.</w:t>
      </w:r>
    </w:p>
    <w:p>
      <w:pPr>
        <w:pStyle w:val="Heading3"/>
      </w:pPr>
      <w:r>
        <w:rPr>
          <w:color w:val="1E293B"/>
          <w:sz w:val="24"/>
        </w:rPr>
        <w:t>Detection Categories</w:t>
      </w:r>
    </w:p>
    <w:p>
      <w:pPr>
        <w:spacing w:after="120"/>
      </w:pPr>
      <w:r>
        <w:rPr>
          <w:b/>
        </w:rPr>
        <w:t>Overlapping Exceptions</w:t>
      </w:r>
    </w:p>
    <w:p>
      <w:pPr>
        <w:spacing w:after="120"/>
      </w:pPr>
      <w:r>
        <w:rPr>
          <w:b w:val="0"/>
        </w:rPr>
        <w:t>Two or more exceptions that cover the same asset and the same policy, both in an active or approved state simultaneously. Overlap creates ambiguity about which exception's controls apply and which approval takes precedence.</w:t>
      </w:r>
    </w:p>
    <w:p>
      <w:pPr>
        <w:spacing w:after="120"/>
      </w:pPr>
      <w:r>
        <w:rPr>
          <w:b/>
        </w:rPr>
        <w:t>Conflicting Approvals</w:t>
      </w:r>
    </w:p>
    <w:p>
      <w:pPr>
        <w:spacing w:after="120"/>
      </w:pPr>
      <w:r>
        <w:rPr>
          <w:b w:val="0"/>
        </w:rPr>
        <w:t>One approver has approved an exception for a scope that another approver has rejected. This indicates inconsistent risk tolerance and can undermine the integrity of the exception governance process.</w:t>
      </w:r>
    </w:p>
    <w:p>
      <w:pPr>
        <w:spacing w:after="120"/>
      </w:pPr>
      <w:r>
        <w:rPr>
          <w:b/>
        </w:rPr>
        <w:t>Duplicate Waivers</w:t>
      </w:r>
    </w:p>
    <w:p>
      <w:pPr>
        <w:spacing w:after="120"/>
      </w:pPr>
      <w:r>
        <w:rPr>
          <w:b w:val="0"/>
        </w:rPr>
        <w:t>Near-identical exception requests submitted separately by different requesters for the same scope. Duplicates suggest a communication breakdown and result in double-counted risk.</w:t>
      </w:r>
    </w:p>
    <w:p>
      <w:pPr>
        <w:spacing w:after="120"/>
      </w:pPr>
      <w:r>
        <w:rPr>
          <w:b/>
        </w:rPr>
        <w:t>Risk Accumulation Hotspots</w:t>
      </w:r>
    </w:p>
    <w:p>
      <w:pPr>
        <w:spacing w:after="120"/>
      </w:pPr>
      <w:r>
        <w:rPr>
          <w:b w:val="0"/>
        </w:rPr>
        <w:t>Analysis of the total combined risk held by a single asset, business unit, owner, or policy. An asset with five individually-Medium exceptions may have a combined exposure equivalent to a Critical risk. Hotspots are ranked by total accumulated risk score.</w:t>
      </w:r>
    </w:p>
    <w:p>
      <w:pPr>
        <w:spacing w:after="120"/>
      </w:pPr>
      <w:r>
        <w:rPr>
          <w:b/>
        </w:rPr>
        <w:t>Remediation Plan</w:t>
      </w:r>
    </w:p>
    <w:p>
      <w:pPr>
        <w:spacing w:after="120"/>
      </w:pPr>
      <w:r>
        <w:rPr>
          <w:b w:val="0"/>
        </w:rPr>
        <w:t>The GRC Intelligence Center produces a prioritised remediation action list: which exception to address first, what action to take (revoke, escalate, merge, renew), and who owns the action.</w:t>
      </w:r>
    </w:p>
    <w:p>
      <w:pPr>
        <w:pStyle w:val="Heading3"/>
      </w:pPr>
      <w:r>
        <w:rPr>
          <w:color w:val="1E293B"/>
          <w:sz w:val="24"/>
        </w:rPr>
        <w:t>Where Findings Surface</w:t>
      </w:r>
    </w:p>
    <w:p>
      <w:pPr>
        <w:pStyle w:val="ListBullet"/>
        <w:spacing w:after="60"/>
      </w:pPr>
      <w:r>
        <w:rPr>
          <w:b w:val="0"/>
        </w:rPr>
        <w:t>GRC Intelligence dedicated page (full analysis)</w:t>
      </w:r>
    </w:p>
    <w:p>
      <w:pPr>
        <w:pStyle w:val="ListBullet"/>
        <w:spacing w:after="60"/>
      </w:pPr>
      <w:r>
        <w:rPr>
          <w:b w:val="0"/>
        </w:rPr>
        <w:t>Portfolio Dashboard (summary cards and top findings)</w:t>
      </w:r>
    </w:p>
    <w:p>
      <w:pPr>
        <w:pStyle w:val="ListBullet"/>
        <w:spacing w:after="60"/>
      </w:pPr>
      <w:r>
        <w:rPr>
          <w:b w:val="0"/>
        </w:rPr>
        <w:t>Exception Details page (related conflicts panel per exception)</w:t>
      </w:r>
    </w:p>
    <w:p>
      <w:pPr>
        <w:pStyle w:val="ListBullet"/>
        <w:spacing w:after="60"/>
      </w:pPr>
      <w:r>
        <w:rPr>
          <w:b w:val="0"/>
        </w:rPr>
        <w:t>Exception Registry (conflict flag badge and filter)</w:t>
      </w:r>
    </w:p>
    <w:p>
      <w:pPr>
        <w:pStyle w:val="ListBullet"/>
        <w:spacing w:after="60"/>
      </w:pPr>
      <w:r>
        <w:rPr>
          <w:b w:val="0"/>
        </w:rPr>
        <w:t>Audit Report (conflict findings section)</w:t>
      </w:r>
    </w:p>
    <w:p>
      <w:pPr>
        <w:pStyle w:val="Heading2"/>
      </w:pPr>
      <w:r>
        <w:rPr>
          <w:color w:val="991B1B"/>
          <w:sz w:val="28"/>
        </w:rPr>
        <w:t>11. Compliance Alignment</w:t>
      </w:r>
    </w:p>
    <w:p>
      <w:pPr>
        <w:spacing w:after="120"/>
      </w:pPr>
      <w:r>
        <w:rPr>
          <w:b w:val="0"/>
        </w:rPr>
        <w:t>RiskWaiver360 is designed to support compliance with the following standards and frameworks:</w:t>
      </w:r>
    </w:p>
    <w:p>
      <w:pPr>
        <w:pStyle w:val="Heading3"/>
      </w:pPr>
      <w:r>
        <w:rPr>
          <w:color w:val="1E293B"/>
          <w:sz w:val="24"/>
        </w:rPr>
        <w:t>NIST SP 800-53 — AC-2 (Account Management)</w:t>
      </w:r>
    </w:p>
    <w:p>
      <w:pPr>
        <w:spacing w:after="120"/>
      </w:pPr>
      <w:r>
        <w:rPr>
          <w:b/>
        </w:rPr>
        <w:t>Requirement:</w:t>
      </w:r>
      <w:r>
        <w:rPr>
          <w:b w:val="0"/>
        </w:rPr>
        <w:t xml:space="preserve"> Privileged and admin account access must be controlled, periodically reviewed, and revoked when no longer needed.</w:t>
      </w:r>
    </w:p>
    <w:p>
      <w:pPr>
        <w:spacing w:after="120"/>
      </w:pPr>
      <w:r>
        <w:rPr>
          <w:b/>
        </w:rPr>
        <w:t>How RiskWaiver360 supports it:</w:t>
      </w:r>
    </w:p>
    <w:p>
      <w:pPr>
        <w:pStyle w:val="ListBullet"/>
        <w:spacing w:after="60"/>
      </w:pPr>
      <w:r>
        <w:rPr>
          <w:b w:val="0"/>
        </w:rPr>
        <w:t>Admin Access and Privileged Access exception types carry the highest type weight (35 and 32 points respectively) in the risk scoring model</w:t>
      </w:r>
    </w:p>
    <w:p>
      <w:pPr>
        <w:pStyle w:val="ListBullet"/>
        <w:spacing w:after="60"/>
      </w:pPr>
      <w:r>
        <w:rPr>
          <w:b w:val="0"/>
        </w:rPr>
        <w:t>Review Overdue alerts fire when admin access exceptions have not been reviewed within cycle</w:t>
      </w:r>
    </w:p>
    <w:p>
      <w:pPr>
        <w:pStyle w:val="ListBullet"/>
        <w:spacing w:after="60"/>
      </w:pPr>
      <w:r>
        <w:rPr>
          <w:b w:val="0"/>
        </w:rPr>
        <w:t>Every approval, review, and revocation is logged with actor and timestamp</w:t>
      </w:r>
    </w:p>
    <w:p>
      <w:pPr>
        <w:pStyle w:val="ListBullet"/>
        <w:spacing w:after="60"/>
      </w:pPr>
      <w:r>
        <w:rPr>
          <w:b w:val="0"/>
        </w:rPr>
        <w:t>The Audit Report includes a roll-up of admin-access exceptions with review status</w:t>
      </w:r>
    </w:p>
    <w:p>
      <w:pPr>
        <w:pStyle w:val="Heading3"/>
      </w:pPr>
      <w:r>
        <w:rPr>
          <w:color w:val="1E293B"/>
          <w:sz w:val="24"/>
        </w:rPr>
        <w:t>NIST SP 800-53 — PL-4 (Rules of Behavior)</w:t>
      </w:r>
    </w:p>
    <w:p>
      <w:pPr>
        <w:spacing w:after="120"/>
      </w:pPr>
      <w:r>
        <w:rPr>
          <w:b/>
        </w:rPr>
        <w:t>Requirement:</w:t>
      </w:r>
      <w:r>
        <w:rPr>
          <w:b w:val="0"/>
        </w:rPr>
        <w:t xml:space="preserve"> Policy deviations must be documented, justified, and formally acknowledged.</w:t>
      </w:r>
    </w:p>
    <w:p>
      <w:pPr>
        <w:spacing w:after="120"/>
      </w:pPr>
      <w:r>
        <w:rPr>
          <w:b/>
        </w:rPr>
        <w:t>How RiskWaiver360 supports it:</w:t>
      </w:r>
    </w:p>
    <w:p>
      <w:pPr>
        <w:pStyle w:val="ListBullet"/>
        <w:spacing w:after="60"/>
      </w:pPr>
      <w:r>
        <w:rPr>
          <w:b w:val="0"/>
        </w:rPr>
        <w:t>Mandatory business justification field on every exception request</w:t>
      </w:r>
    </w:p>
    <w:p>
      <w:pPr>
        <w:pStyle w:val="ListBullet"/>
        <w:spacing w:after="60"/>
      </w:pPr>
      <w:r>
        <w:rPr>
          <w:b w:val="0"/>
        </w:rPr>
        <w:t>Vague Justification alert fires when the justification is too short or uses non-specific language</w:t>
      </w:r>
    </w:p>
    <w:p>
      <w:pPr>
        <w:pStyle w:val="ListBullet"/>
        <w:spacing w:after="60"/>
      </w:pPr>
      <w:r>
        <w:rPr>
          <w:b w:val="0"/>
        </w:rPr>
        <w:t xml:space="preserve">Approver decision is formally recorded — no exception reaches </w:t>
      </w:r>
      <w:r>
        <w:rPr>
          <w:rFonts w:ascii="Courier New" w:hAnsi="Courier New"/>
          <w:b w:val="0"/>
          <w:color w:val="DC2626"/>
          <w:sz w:val="18"/>
        </w:rPr>
        <w:t>active</w:t>
      </w:r>
      <w:r>
        <w:rPr>
          <w:b w:val="0"/>
        </w:rPr>
        <w:t xml:space="preserve"> status without a recorded approval</w:t>
      </w:r>
    </w:p>
    <w:p>
      <w:pPr>
        <w:pStyle w:val="ListBullet"/>
        <w:spacing w:after="60"/>
      </w:pPr>
      <w:r>
        <w:rPr>
          <w:b w:val="0"/>
        </w:rPr>
        <w:t xml:space="preserve">Full </w:t>
      </w:r>
      <w:r>
        <w:rPr>
          <w:rFonts w:ascii="Courier New" w:hAnsi="Courier New"/>
          <w:b w:val="0"/>
          <w:color w:val="DC2626"/>
          <w:sz w:val="18"/>
        </w:rPr>
        <w:t>exception_history</w:t>
      </w:r>
      <w:r>
        <w:rPr>
          <w:b w:val="0"/>
        </w:rPr>
        <w:t xml:space="preserve"> timeline documents every interaction with the exception</w:t>
      </w:r>
    </w:p>
    <w:p>
      <w:pPr>
        <w:pStyle w:val="Heading3"/>
      </w:pPr>
      <w:r>
        <w:rPr>
          <w:color w:val="1E293B"/>
          <w:sz w:val="24"/>
        </w:rPr>
        <w:t>GDPR Article 25 — Data Protection by Design and by Default</w:t>
      </w:r>
    </w:p>
    <w:p>
      <w:pPr>
        <w:spacing w:after="120"/>
      </w:pPr>
      <w:r>
        <w:rPr>
          <w:b/>
        </w:rPr>
        <w:t>Requirement:</w:t>
      </w:r>
      <w:r>
        <w:rPr>
          <w:b w:val="0"/>
        </w:rPr>
        <w:t xml:space="preserve"> Personal data must be protected by design; deviations from data protection defaults must be justified.</w:t>
      </w:r>
    </w:p>
    <w:p>
      <w:pPr>
        <w:spacing w:after="120"/>
      </w:pPr>
      <w:r>
        <w:rPr>
          <w:b/>
        </w:rPr>
        <w:t>How RiskWaiver360 supports it:</w:t>
      </w:r>
    </w:p>
    <w:p>
      <w:pPr>
        <w:pStyle w:val="ListBullet"/>
        <w:spacing w:after="60"/>
      </w:pPr>
      <w:r>
        <w:rPr>
          <w:b w:val="0"/>
        </w:rPr>
        <w:t>Encryption Disabled and Data Access Extension exception types receive the highest type weights</w:t>
      </w:r>
    </w:p>
    <w:p>
      <w:pPr>
        <w:pStyle w:val="ListBullet"/>
        <w:spacing w:after="60"/>
      </w:pPr>
      <w:r>
        <w:rPr>
          <w:b w:val="0"/>
        </w:rPr>
        <w:t>These exception types map to CIA: Confidentiality</w:t>
      </w:r>
    </w:p>
    <w:p>
      <w:pPr>
        <w:pStyle w:val="ListBullet"/>
        <w:spacing w:after="60"/>
      </w:pPr>
      <w:r>
        <w:rPr>
          <w:b w:val="0"/>
        </w:rPr>
        <w:t>Critical assets (e.g., Customer Data Warehouse) receive the maximum asset criticality weight</w:t>
      </w:r>
    </w:p>
    <w:p>
      <w:pPr>
        <w:pStyle w:val="ListBullet"/>
        <w:spacing w:after="60"/>
      </w:pPr>
      <w:r>
        <w:rPr>
          <w:b w:val="0"/>
        </w:rPr>
        <w:t>Exceptions on critical data assets are surfaced at the top of the risk ranking and generate Critical alerts</w:t>
      </w:r>
    </w:p>
    <w:p>
      <w:pPr>
        <w:pStyle w:val="Heading3"/>
      </w:pPr>
      <w:r>
        <w:rPr>
          <w:color w:val="1E293B"/>
          <w:sz w:val="24"/>
        </w:rPr>
        <w:t>CIS Control 1.1 — Enterprise Asset Inventory</w:t>
      </w:r>
    </w:p>
    <w:p>
      <w:pPr>
        <w:spacing w:after="120"/>
      </w:pPr>
      <w:r>
        <w:rPr>
          <w:b/>
        </w:rPr>
        <w:t>Requirement:</w:t>
      </w:r>
      <w:r>
        <w:rPr>
          <w:b w:val="0"/>
        </w:rPr>
        <w:t xml:space="preserve"> Maintain an accurate inventory of enterprise assets and their risk posture.</w:t>
      </w:r>
    </w:p>
    <w:p>
      <w:pPr>
        <w:spacing w:after="120"/>
      </w:pPr>
      <w:r>
        <w:rPr>
          <w:b/>
        </w:rPr>
        <w:t>How RiskWaiver360 supports it:</w:t>
      </w:r>
    </w:p>
    <w:p>
      <w:pPr>
        <w:pStyle w:val="ListBullet"/>
        <w:spacing w:after="60"/>
      </w:pPr>
      <w:r>
        <w:rPr>
          <w:b w:val="0"/>
        </w:rPr>
        <w:t>Every exception is linked to a specific named asset</w:t>
      </w:r>
    </w:p>
    <w:p>
      <w:pPr>
        <w:pStyle w:val="ListBullet"/>
        <w:spacing w:after="60"/>
      </w:pPr>
      <w:r>
        <w:rPr>
          <w:b w:val="0"/>
        </w:rPr>
        <w:t>Asset criticality is a factor in the risk scoring model</w:t>
      </w:r>
    </w:p>
    <w:p>
      <w:pPr>
        <w:pStyle w:val="ListBullet"/>
        <w:spacing w:after="60"/>
      </w:pPr>
      <w:r>
        <w:rPr>
          <w:b w:val="0"/>
        </w:rPr>
        <w:t>Risk is rolled up by asset in the hotspot analysis</w:t>
      </w:r>
    </w:p>
    <w:p>
      <w:pPr>
        <w:pStyle w:val="ListBullet"/>
        <w:spacing w:after="60"/>
      </w:pPr>
      <w:r>
        <w:rPr>
          <w:b w:val="0"/>
        </w:rPr>
        <w:t>The audit report and dashboard show which assets carry the highest exception burden</w:t>
      </w:r>
    </w:p>
    <w:p>
      <w:pPr>
        <w:pStyle w:val="ListBullet"/>
        <w:spacing w:after="60"/>
      </w:pPr>
      <w:r>
        <w:rPr>
          <w:b w:val="0"/>
        </w:rPr>
        <w:t>CSV import allows mapping of existing asset inventory records to exceptions</w:t>
      </w:r>
    </w:p>
    <w:p>
      <w:pPr>
        <w:pStyle w:val="Heading3"/>
      </w:pPr>
      <w:r>
        <w:rPr>
          <w:color w:val="1E293B"/>
          <w:sz w:val="24"/>
        </w:rPr>
        <w:t>Internal Security Policy Governance</w:t>
      </w:r>
    </w:p>
    <w:p>
      <w:pPr>
        <w:spacing w:after="120"/>
      </w:pPr>
      <w:r>
        <w:rPr>
          <w:b w:val="0"/>
        </w:rPr>
        <w:t>Beyond external standards, RiskWaiver360 supports internal GRC governance by:</w:t>
      </w:r>
    </w:p>
    <w:p>
      <w:pPr>
        <w:pStyle w:val="ListBullet"/>
        <w:spacing w:after="60"/>
      </w:pPr>
      <w:r>
        <w:rPr>
          <w:b w:val="0"/>
        </w:rPr>
        <w:t>Requiring every exception to have an identified owner and approver</w:t>
      </w:r>
    </w:p>
    <w:p>
      <w:pPr>
        <w:pStyle w:val="ListBullet"/>
        <w:spacing w:after="60"/>
      </w:pPr>
      <w:r>
        <w:rPr>
          <w:b w:val="0"/>
        </w:rPr>
        <w:t>Enforcing time-limited exceptions with mandatory expiry dates</w:t>
      </w:r>
    </w:p>
    <w:p>
      <w:pPr>
        <w:pStyle w:val="ListBullet"/>
        <w:spacing w:after="60"/>
      </w:pPr>
      <w:r>
        <w:rPr>
          <w:b w:val="0"/>
        </w:rPr>
        <w:t>Preventing exceptions from persisting silently through automatic expiry detection and overdue alerts</w:t>
      </w:r>
    </w:p>
    <w:p>
      <w:pPr>
        <w:pStyle w:val="ListBullet"/>
        <w:spacing w:after="60"/>
      </w:pPr>
      <w:r>
        <w:rPr>
          <w:b w:val="0"/>
        </w:rPr>
        <w:t>Providing the Review Queue as a formal checkpoint before any exception reaches active status</w:t>
      </w:r>
    </w:p>
    <w:p>
      <w:pPr>
        <w:pStyle w:val="Heading2"/>
      </w:pPr>
      <w:r>
        <w:rPr>
          <w:color w:val="991B1B"/>
          <w:sz w:val="28"/>
        </w:rPr>
        <w:t>12. CIA Triad Mapping</w:t>
      </w:r>
    </w:p>
    <w:p>
      <w:pPr>
        <w:pStyle w:val="Heading3"/>
      </w:pPr>
      <w:r>
        <w:rPr>
          <w:color w:val="1E293B"/>
          <w:sz w:val="24"/>
        </w:rPr>
        <w:t>What the CIA Triad Means in This Context</w:t>
      </w:r>
    </w:p>
    <w:p>
      <w:pPr>
        <w:spacing w:after="120"/>
      </w:pPr>
      <w:r>
        <w:rPr>
          <w:b w:val="0"/>
        </w:rPr>
        <w:t>The CIA Triad (Confidentiality, Integrity, Availability) is the foundational framework for classifying information security risk. Mapping each policy exception to the CIA Triad translates a technical deviation ("Encryption Disabled") into a business risk statement that non-technical stakeholders and auditors can immediately understand.</w:t>
      </w:r>
    </w:p>
    <w:p>
      <w:pPr>
        <w:pStyle w:val="Heading3"/>
      </w:pPr>
      <w:r>
        <w:rPr>
          <w:color w:val="1E293B"/>
          <w:sz w:val="24"/>
        </w:rPr>
        <w:t>Mapping Table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991B1B"/>
          </w:tcPr>
          <w:p>
            <w:pPr>
              <w:spacing w:before="60" w:after="60"/>
            </w:pPr>
            <w:r>
              <w:rPr>
                <w:b/>
                <w:color w:val="FFFFFF"/>
                <w:sz w:val="18"/>
              </w:rPr>
              <w:t>Exception Type</w:t>
            </w:r>
          </w:p>
        </w:tc>
        <w:tc>
          <w:tcPr>
            <w:tcW w:type="dxa" w:w="3324"/>
            <w:shd w:val="clear" w:color="auto" w:fill="991B1B"/>
          </w:tcPr>
          <w:p>
            <w:pPr>
              <w:spacing w:before="60" w:after="60"/>
            </w:pPr>
            <w:r>
              <w:rPr>
                <w:b/>
                <w:color w:val="FFFFFF"/>
                <w:sz w:val="18"/>
              </w:rPr>
              <w:t>CIA Impact</w:t>
            </w:r>
          </w:p>
        </w:tc>
        <w:tc>
          <w:tcPr>
            <w:tcW w:type="dxa" w:w="3324"/>
            <w:shd w:val="clear" w:color="auto" w:fill="991B1B"/>
          </w:tcPr>
          <w:p>
            <w:pPr>
              <w:spacing w:before="60" w:after="60"/>
            </w:pPr>
            <w:r>
              <w:rPr>
                <w:b/>
                <w:color w:val="FFFFFF"/>
                <w:sz w:val="18"/>
              </w:rPr>
              <w:t>Business Risk</w:t>
            </w:r>
          </w:p>
        </w:tc>
      </w:tr>
      <w:tr>
        <w:tc>
          <w:tcPr>
            <w:tcW w:type="dxa" w:w="3324"/>
            <w:shd w:val="clear" w:color="auto" w:fill="FFFFFF"/>
          </w:tcPr>
          <w:p>
            <w:pPr>
              <w:spacing w:before="40" w:after="40"/>
            </w:pPr>
            <w:r>
              <w:rPr>
                <w:sz w:val="18"/>
              </w:rPr>
              <w:t>Encryption Disabled</w:t>
            </w:r>
          </w:p>
        </w:tc>
        <w:tc>
          <w:tcPr>
            <w:tcW w:type="dxa" w:w="3324"/>
            <w:shd w:val="clear" w:color="auto" w:fill="FFFFFF"/>
          </w:tcPr>
          <w:p>
            <w:pPr>
              <w:spacing w:before="40" w:after="40"/>
            </w:pPr>
            <w:r>
              <w:rPr>
                <w:sz w:val="18"/>
              </w:rPr>
              <w:t>Confidentiality</w:t>
            </w:r>
          </w:p>
        </w:tc>
        <w:tc>
          <w:tcPr>
            <w:tcW w:type="dxa" w:w="3324"/>
            <w:shd w:val="clear" w:color="auto" w:fill="FFFFFF"/>
          </w:tcPr>
          <w:p>
            <w:pPr>
              <w:spacing w:before="40" w:after="40"/>
            </w:pPr>
            <w:r>
              <w:rPr>
                <w:sz w:val="18"/>
              </w:rPr>
              <w:t>Sensitive data could be intercepted or accessed in transit or at rest</w:t>
            </w:r>
          </w:p>
        </w:tc>
      </w:tr>
      <w:tr>
        <w:tc>
          <w:tcPr>
            <w:tcW w:type="dxa" w:w="3324"/>
            <w:shd w:val="clear" w:color="auto" w:fill="FFF7F7"/>
          </w:tcPr>
          <w:p>
            <w:pPr>
              <w:spacing w:before="40" w:after="40"/>
            </w:pPr>
            <w:r>
              <w:rPr>
                <w:sz w:val="18"/>
              </w:rPr>
              <w:t>Data Access Extension</w:t>
            </w:r>
          </w:p>
        </w:tc>
        <w:tc>
          <w:tcPr>
            <w:tcW w:type="dxa" w:w="3324"/>
            <w:shd w:val="clear" w:color="auto" w:fill="FFF7F7"/>
          </w:tcPr>
          <w:p>
            <w:pPr>
              <w:spacing w:before="40" w:after="40"/>
            </w:pPr>
            <w:r>
              <w:rPr>
                <w:sz w:val="18"/>
              </w:rPr>
              <w:t>Confidentiality</w:t>
            </w:r>
          </w:p>
        </w:tc>
        <w:tc>
          <w:tcPr>
            <w:tcW w:type="dxa" w:w="3324"/>
            <w:shd w:val="clear" w:color="auto" w:fill="FFF7F7"/>
          </w:tcPr>
          <w:p>
            <w:pPr>
              <w:spacing w:before="40" w:after="40"/>
            </w:pPr>
            <w:r>
              <w:rPr>
                <w:sz w:val="18"/>
              </w:rPr>
              <w:t>Unauthorised or over-privileged data access beyond the intended scope</w:t>
            </w:r>
          </w:p>
        </w:tc>
      </w:tr>
      <w:tr>
        <w:tc>
          <w:tcPr>
            <w:tcW w:type="dxa" w:w="3324"/>
            <w:shd w:val="clear" w:color="auto" w:fill="FFFFFF"/>
          </w:tcPr>
          <w:p>
            <w:pPr>
              <w:spacing w:before="40" w:after="40"/>
            </w:pPr>
            <w:r>
              <w:rPr>
                <w:sz w:val="18"/>
              </w:rPr>
              <w:t>Admin Access</w:t>
            </w:r>
          </w:p>
        </w:tc>
        <w:tc>
          <w:tcPr>
            <w:tcW w:type="dxa" w:w="3324"/>
            <w:shd w:val="clear" w:color="auto" w:fill="FFFFFF"/>
          </w:tcPr>
          <w:p>
            <w:pPr>
              <w:spacing w:before="40" w:after="40"/>
            </w:pPr>
            <w:r>
              <w:rPr>
                <w:sz w:val="18"/>
              </w:rPr>
              <w:t>Integrity</w:t>
            </w:r>
          </w:p>
        </w:tc>
        <w:tc>
          <w:tcPr>
            <w:tcW w:type="dxa" w:w="3324"/>
            <w:shd w:val="clear" w:color="auto" w:fill="FFFFFF"/>
          </w:tcPr>
          <w:p>
            <w:pPr>
              <w:spacing w:before="40" w:after="40"/>
            </w:pPr>
            <w:r>
              <w:rPr>
                <w:sz w:val="18"/>
              </w:rPr>
              <w:t>Unrestricted administrative changes could corrupt data or configurations</w:t>
            </w:r>
          </w:p>
        </w:tc>
      </w:tr>
      <w:tr>
        <w:tc>
          <w:tcPr>
            <w:tcW w:type="dxa" w:w="3324"/>
            <w:shd w:val="clear" w:color="auto" w:fill="FFF7F7"/>
          </w:tcPr>
          <w:p>
            <w:pPr>
              <w:spacing w:before="40" w:after="40"/>
            </w:pPr>
            <w:r>
              <w:rPr>
                <w:sz w:val="18"/>
              </w:rPr>
              <w:t>Privileged Access Extension</w:t>
            </w:r>
          </w:p>
        </w:tc>
        <w:tc>
          <w:tcPr>
            <w:tcW w:type="dxa" w:w="3324"/>
            <w:shd w:val="clear" w:color="auto" w:fill="FFF7F7"/>
          </w:tcPr>
          <w:p>
            <w:pPr>
              <w:spacing w:before="40" w:after="40"/>
            </w:pPr>
            <w:r>
              <w:rPr>
                <w:sz w:val="18"/>
              </w:rPr>
              <w:t>Integrity</w:t>
            </w:r>
          </w:p>
        </w:tc>
        <w:tc>
          <w:tcPr>
            <w:tcW w:type="dxa" w:w="3324"/>
            <w:shd w:val="clear" w:color="auto" w:fill="FFF7F7"/>
          </w:tcPr>
          <w:p>
            <w:pPr>
              <w:spacing w:before="40" w:after="40"/>
            </w:pPr>
            <w:r>
              <w:rPr>
                <w:sz w:val="18"/>
              </w:rPr>
              <w:t>Elevated permissions beyond role scope; risk of misuse or error</w:t>
            </w:r>
          </w:p>
        </w:tc>
      </w:tr>
      <w:tr>
        <w:tc>
          <w:tcPr>
            <w:tcW w:type="dxa" w:w="3324"/>
            <w:shd w:val="clear" w:color="auto" w:fill="FFFFFF"/>
          </w:tcPr>
          <w:p>
            <w:pPr>
              <w:spacing w:before="40" w:after="40"/>
            </w:pPr>
            <w:r>
              <w:rPr>
                <w:sz w:val="18"/>
              </w:rPr>
              <w:t>Firewall Bypass</w:t>
            </w:r>
          </w:p>
        </w:tc>
        <w:tc>
          <w:tcPr>
            <w:tcW w:type="dxa" w:w="3324"/>
            <w:shd w:val="clear" w:color="auto" w:fill="FFFFFF"/>
          </w:tcPr>
          <w:p>
            <w:pPr>
              <w:spacing w:before="40" w:after="40"/>
            </w:pPr>
            <w:r>
              <w:rPr>
                <w:sz w:val="18"/>
              </w:rPr>
              <w:t>Availability</w:t>
            </w:r>
          </w:p>
        </w:tc>
        <w:tc>
          <w:tcPr>
            <w:tcW w:type="dxa" w:w="3324"/>
            <w:shd w:val="clear" w:color="auto" w:fill="FFFFFF"/>
          </w:tcPr>
          <w:p>
            <w:pPr>
              <w:spacing w:before="40" w:after="40"/>
            </w:pPr>
            <w:r>
              <w:rPr>
                <w:sz w:val="18"/>
              </w:rPr>
              <w:t>Network exposure could enable attacks affecting system availability</w:t>
            </w:r>
          </w:p>
        </w:tc>
      </w:tr>
      <w:tr>
        <w:tc>
          <w:tcPr>
            <w:tcW w:type="dxa" w:w="3324"/>
            <w:shd w:val="clear" w:color="auto" w:fill="FFF7F7"/>
          </w:tcPr>
          <w:p>
            <w:pPr>
              <w:spacing w:before="40" w:after="40"/>
            </w:pPr>
            <w:r>
              <w:rPr>
                <w:sz w:val="18"/>
              </w:rPr>
              <w:t>Network Exposure</w:t>
            </w:r>
          </w:p>
        </w:tc>
        <w:tc>
          <w:tcPr>
            <w:tcW w:type="dxa" w:w="3324"/>
            <w:shd w:val="clear" w:color="auto" w:fill="FFF7F7"/>
          </w:tcPr>
          <w:p>
            <w:pPr>
              <w:spacing w:before="40" w:after="40"/>
            </w:pPr>
            <w:r>
              <w:rPr>
                <w:sz w:val="18"/>
              </w:rPr>
              <w:t>Availability</w:t>
            </w:r>
          </w:p>
        </w:tc>
        <w:tc>
          <w:tcPr>
            <w:tcW w:type="dxa" w:w="3324"/>
            <w:shd w:val="clear" w:color="auto" w:fill="FFF7F7"/>
          </w:tcPr>
          <w:p>
            <w:pPr>
              <w:spacing w:before="40" w:after="40"/>
            </w:pPr>
            <w:r>
              <w:rPr>
                <w:sz w:val="18"/>
              </w:rPr>
              <w:t>Systems accessible from untrusted networks; availability risk</w:t>
            </w:r>
          </w:p>
        </w:tc>
      </w:tr>
      <w:tr>
        <w:tc>
          <w:tcPr>
            <w:tcW w:type="dxa" w:w="3324"/>
            <w:shd w:val="clear" w:color="auto" w:fill="FFFFFF"/>
          </w:tcPr>
          <w:p>
            <w:pPr>
              <w:spacing w:before="40" w:after="40"/>
            </w:pPr>
            <w:r>
              <w:rPr>
                <w:sz w:val="18"/>
              </w:rPr>
              <w:t>Password Policy Exception</w:t>
            </w:r>
          </w:p>
        </w:tc>
        <w:tc>
          <w:tcPr>
            <w:tcW w:type="dxa" w:w="3324"/>
            <w:shd w:val="clear" w:color="auto" w:fill="FFFFFF"/>
          </w:tcPr>
          <w:p>
            <w:pPr>
              <w:spacing w:before="40" w:after="40"/>
            </w:pPr>
            <w:r>
              <w:rPr>
                <w:sz w:val="18"/>
              </w:rPr>
              <w:t>Multiple</w:t>
            </w:r>
          </w:p>
        </w:tc>
        <w:tc>
          <w:tcPr>
            <w:tcW w:type="dxa" w:w="3324"/>
            <w:shd w:val="clear" w:color="auto" w:fill="FFFFFF"/>
          </w:tcPr>
          <w:p>
            <w:pPr>
              <w:spacing w:before="40" w:after="40"/>
            </w:pPr>
            <w:r>
              <w:rPr>
                <w:sz w:val="18"/>
              </w:rPr>
              <w:t>Weak authentication affects Confidentiality (breach), Integrity (unauthorised change), and Availability (account lockout)</w:t>
            </w:r>
          </w:p>
        </w:tc>
      </w:tr>
      <w:tr>
        <w:tc>
          <w:tcPr>
            <w:tcW w:type="dxa" w:w="3324"/>
            <w:shd w:val="clear" w:color="auto" w:fill="FFF7F7"/>
          </w:tcPr>
          <w:p>
            <w:pPr>
              <w:spacing w:before="40" w:after="40"/>
            </w:pPr>
            <w:r>
              <w:rPr>
                <w:sz w:val="18"/>
              </w:rPr>
              <w:t>Audit Logging Disabled</w:t>
            </w:r>
          </w:p>
        </w:tc>
        <w:tc>
          <w:tcPr>
            <w:tcW w:type="dxa" w:w="3324"/>
            <w:shd w:val="clear" w:color="auto" w:fill="FFF7F7"/>
          </w:tcPr>
          <w:p>
            <w:pPr>
              <w:spacing w:before="40" w:after="40"/>
            </w:pPr>
            <w:r>
              <w:rPr>
                <w:sz w:val="18"/>
              </w:rPr>
              <w:t>Multiple</w:t>
            </w:r>
          </w:p>
        </w:tc>
        <w:tc>
          <w:tcPr>
            <w:tcW w:type="dxa" w:w="3324"/>
            <w:shd w:val="clear" w:color="auto" w:fill="FFF7F7"/>
          </w:tcPr>
          <w:p>
            <w:pPr>
              <w:spacing w:before="40" w:after="40"/>
            </w:pPr>
            <w:r>
              <w:rPr>
                <w:sz w:val="18"/>
              </w:rPr>
              <w:t>Loss of audit trail affects Integrity (undetected changes), Confidentiality (undetected access), and Availability (undetected outages)</w:t>
            </w:r>
          </w:p>
        </w:tc>
      </w:tr>
    </w:tbl>
    <w:p/>
    <w:p>
      <w:pPr>
        <w:pStyle w:val="Heading3"/>
      </w:pPr>
      <w:r>
        <w:rPr>
          <w:color w:val="1E293B"/>
          <w:sz w:val="24"/>
        </w:rPr>
        <w:t>Why CIA Mapping Matters</w:t>
      </w:r>
    </w:p>
    <w:p>
      <w:pPr>
        <w:spacing w:after="120"/>
      </w:pPr>
      <w:r>
        <w:rPr>
          <w:b w:val="0"/>
        </w:rPr>
        <w:t xml:space="preserve">A risk score of 92 on its own tells a security analyst that an exception is critical. Adding a CIA: Confidentiality badge tells the CISO, the data privacy officer, and the external auditor that this is a </w:t>
      </w:r>
      <w:r>
        <w:rPr>
          <w:b/>
        </w:rPr>
        <w:t>data breach risk</w:t>
      </w:r>
      <w:r>
        <w:rPr>
          <w:b w:val="0"/>
        </w:rPr>
        <w:t>, not an availability problem — without requiring them to read the technical details. It also allows compliance teams to quickly identify all exceptions that affect data subject privacy (GDPR scope) versus those that affect business continuity.</w:t>
      </w:r>
    </w:p>
    <w:p>
      <w:pPr>
        <w:spacing w:after="120"/>
      </w:pPr>
      <w:r>
        <w:rPr>
          <w:b w:val="0"/>
        </w:rPr>
        <w:t xml:space="preserve">CIA impact in RiskWaiver360 is </w:t>
      </w:r>
      <w:r>
        <w:rPr>
          <w:b/>
        </w:rPr>
        <w:t>automatically derived</w:t>
      </w:r>
      <w:r>
        <w:rPr>
          <w:b w:val="0"/>
        </w:rPr>
        <w:t xml:space="preserve"> from the exception type and policy. It appears as a badge in the Exception Registry, Exception Details, Risk Scoring page, and Audit Report.</w:t>
      </w:r>
    </w:p>
    <w:p>
      <w:pPr>
        <w:pStyle w:val="Heading2"/>
      </w:pPr>
      <w:r>
        <w:rPr>
          <w:color w:val="991B1B"/>
          <w:sz w:val="28"/>
        </w:rPr>
        <w:t>13. Audit Readiness</w:t>
      </w:r>
    </w:p>
    <w:p>
      <w:pPr>
        <w:pStyle w:val="Heading3"/>
      </w:pPr>
      <w:r>
        <w:rPr>
          <w:color w:val="1E293B"/>
          <w:sz w:val="24"/>
        </w:rPr>
        <w:t>What Auditors Need</w:t>
      </w:r>
    </w:p>
    <w:p>
      <w:pPr>
        <w:spacing w:after="120"/>
      </w:pPr>
      <w:r>
        <w:rPr>
          <w:b w:val="0"/>
        </w:rPr>
        <w:t>When an external or internal auditor reviews security policy exception governance, they need to answer four questions:</w:t>
      </w:r>
    </w:p>
    <w:p>
      <w:pPr>
        <w:pStyle w:val="ListNumber"/>
        <w:spacing w:after="60"/>
      </w:pPr>
      <w:r>
        <w:rPr>
          <w:b w:val="0"/>
        </w:rPr>
        <w:t>Who holds which exceptions, and why?</w:t>
      </w:r>
    </w:p>
    <w:p>
      <w:pPr>
        <w:pStyle w:val="ListNumber"/>
        <w:spacing w:after="60"/>
      </w:pPr>
      <w:r>
        <w:rPr>
          <w:b w:val="0"/>
        </w:rPr>
        <w:t>Were exceptions formally approved by an authorised person?</w:t>
      </w:r>
    </w:p>
    <w:p>
      <w:pPr>
        <w:pStyle w:val="ListNumber"/>
        <w:spacing w:after="60"/>
      </w:pPr>
      <w:r>
        <w:rPr>
          <w:b w:val="0"/>
        </w:rPr>
        <w:t>Are exceptions time-limited and actively monitored?</w:t>
      </w:r>
    </w:p>
    <w:p>
      <w:pPr>
        <w:pStyle w:val="ListNumber"/>
        <w:spacing w:after="60"/>
      </w:pPr>
      <w:r>
        <w:rPr>
          <w:b w:val="0"/>
        </w:rPr>
        <w:t>What happened when an exception expired or was no longer needed?</w:t>
      </w:r>
    </w:p>
    <w:p>
      <w:pPr>
        <w:spacing w:after="120"/>
      </w:pPr>
      <w:r>
        <w:rPr>
          <w:b w:val="0"/>
        </w:rPr>
        <w:t>RiskWaiver360 produces a complete answer to all four questions for every exception in the system.</w:t>
      </w:r>
    </w:p>
    <w:p>
      <w:pPr>
        <w:pStyle w:val="Heading3"/>
      </w:pPr>
      <w:r>
        <w:rPr>
          <w:color w:val="1E293B"/>
          <w:sz w:val="24"/>
        </w:rPr>
        <w:t>Audit Evidence Components</w:t>
      </w:r>
    </w:p>
    <w:p>
      <w:pPr>
        <w:spacing w:after="120"/>
      </w:pPr>
      <w:r>
        <w:rPr>
          <w:b/>
        </w:rPr>
        <w:t>Per-Exception Evidence File (Exception Details page)</w:t>
      </w:r>
    </w:p>
    <w:p>
      <w:pPr>
        <w:pStyle w:val="ListBullet"/>
        <w:spacing w:after="60"/>
      </w:pPr>
      <w:r>
        <w:rPr>
          <w:b w:val="0"/>
        </w:rPr>
        <w:t>Full metadata: requester, business unit, policy, asset, type, dates</w:t>
      </w:r>
    </w:p>
    <w:p>
      <w:pPr>
        <w:pStyle w:val="ListBullet"/>
        <w:spacing w:after="60"/>
      </w:pPr>
      <w:r>
        <w:rPr>
          <w:b w:val="0"/>
        </w:rPr>
        <w:t>Business justification (verbatim from the requester)</w:t>
      </w:r>
    </w:p>
    <w:p>
      <w:pPr>
        <w:pStyle w:val="ListBullet"/>
        <w:spacing w:after="60"/>
      </w:pPr>
      <w:r>
        <w:rPr>
          <w:b w:val="0"/>
        </w:rPr>
        <w:t>Compensating controls on record</w:t>
      </w:r>
    </w:p>
    <w:p>
      <w:pPr>
        <w:pStyle w:val="ListBullet"/>
        <w:spacing w:after="60"/>
      </w:pPr>
      <w:r>
        <w:rPr>
          <w:b w:val="0"/>
        </w:rPr>
        <w:t>Risk score with factor breakdown</w:t>
      </w:r>
    </w:p>
    <w:p>
      <w:pPr>
        <w:pStyle w:val="ListBullet"/>
        <w:spacing w:after="60"/>
      </w:pPr>
      <w:r>
        <w:rPr>
          <w:b w:val="0"/>
        </w:rPr>
        <w:t>CIA Triad impact</w:t>
      </w:r>
    </w:p>
    <w:p>
      <w:pPr>
        <w:pStyle w:val="ListBullet"/>
        <w:spacing w:after="60"/>
      </w:pPr>
      <w:r>
        <w:rPr>
          <w:b w:val="0"/>
        </w:rPr>
        <w:t>Immutable lifecycle history timeline: every action logged with actor name, timestamp, and note</w:t>
      </w:r>
    </w:p>
    <w:p>
      <w:pPr>
        <w:pStyle w:val="ListBullet"/>
        <w:spacing w:after="60"/>
      </w:pPr>
      <w:r>
        <w:rPr>
          <w:b w:val="0"/>
        </w:rPr>
        <w:t>Reviewer comments and questions</w:t>
      </w:r>
    </w:p>
    <w:p>
      <w:pPr>
        <w:pStyle w:val="ListBullet"/>
        <w:spacing w:after="60"/>
      </w:pPr>
      <w:r>
        <w:rPr>
          <w:b w:val="0"/>
        </w:rPr>
        <w:t>Approver decision (who approved it and when)</w:t>
      </w:r>
    </w:p>
    <w:p>
      <w:pPr>
        <w:pStyle w:val="ListBullet"/>
        <w:spacing w:after="60"/>
      </w:pPr>
      <w:r>
        <w:rPr>
          <w:b w:val="0"/>
        </w:rPr>
        <w:t>Related alerts (any flags raised during the active period)</w:t>
      </w:r>
    </w:p>
    <w:p>
      <w:pPr>
        <w:pStyle w:val="ListBullet"/>
        <w:spacing w:after="60"/>
      </w:pPr>
      <w:r>
        <w:rPr>
          <w:b w:val="0"/>
        </w:rPr>
        <w:t>Related conflict findings (any overlaps or conflicts detected)</w:t>
      </w:r>
    </w:p>
    <w:p>
      <w:pPr>
        <w:spacing w:after="120"/>
      </w:pPr>
      <w:r>
        <w:rPr>
          <w:b/>
        </w:rPr>
        <w:t>Portfolio-Level Audit Report</w:t>
      </w:r>
    </w:p>
    <w:p>
      <w:pPr>
        <w:pStyle w:val="ListBullet"/>
        <w:spacing w:after="60"/>
      </w:pPr>
      <w:r>
        <w:rPr>
          <w:b w:val="0"/>
        </w:rPr>
        <w:t>Executive summary: total exceptions, active/overdue/orphaned counts, average risk score</w:t>
      </w:r>
    </w:p>
    <w:p>
      <w:pPr>
        <w:pStyle w:val="ListBullet"/>
        <w:spacing w:after="60"/>
      </w:pPr>
      <w:r>
        <w:rPr>
          <w:b w:val="0"/>
        </w:rPr>
        <w:t>Posture breakdown: on-track / at-risk / critical counts</w:t>
      </w:r>
    </w:p>
    <w:p>
      <w:pPr>
        <w:pStyle w:val="ListBullet"/>
        <w:spacing w:after="60"/>
      </w:pPr>
      <w:r>
        <w:rPr>
          <w:b w:val="0"/>
        </w:rPr>
        <w:t>Roll-up by policy category (how many exceptions per policy type, combined risk)</w:t>
      </w:r>
    </w:p>
    <w:p>
      <w:pPr>
        <w:pStyle w:val="ListBullet"/>
        <w:spacing w:after="60"/>
      </w:pPr>
      <w:r>
        <w:rPr>
          <w:b w:val="0"/>
        </w:rPr>
        <w:t>Roll-up by business unit (which business units hold the most exception risk)</w:t>
      </w:r>
    </w:p>
    <w:p>
      <w:pPr>
        <w:pStyle w:val="ListBullet"/>
        <w:spacing w:after="60"/>
      </w:pPr>
      <w:r>
        <w:rPr>
          <w:b w:val="0"/>
        </w:rPr>
        <w:t>Roll-up by owner (accountability mapping)</w:t>
      </w:r>
    </w:p>
    <w:p>
      <w:pPr>
        <w:pStyle w:val="ListBullet"/>
        <w:spacing w:after="60"/>
      </w:pPr>
      <w:r>
        <w:rPr>
          <w:b w:val="0"/>
        </w:rPr>
        <w:t>Compliance status overview (NIST, GDPR, CIS)</w:t>
      </w:r>
    </w:p>
    <w:p>
      <w:pPr>
        <w:pStyle w:val="ListBullet"/>
        <w:spacing w:after="60"/>
      </w:pPr>
      <w:r>
        <w:rPr>
          <w:b w:val="0"/>
        </w:rPr>
        <w:t>Overlap and conflict findings (detailed list)</w:t>
      </w:r>
    </w:p>
    <w:p>
      <w:pPr>
        <w:pStyle w:val="ListBullet"/>
        <w:spacing w:after="60"/>
      </w:pPr>
      <w:r>
        <w:rPr>
          <w:b w:val="0"/>
        </w:rPr>
        <w:t>Top 10 riskiest exceptions</w:t>
      </w:r>
    </w:p>
    <w:p>
      <w:pPr>
        <w:pStyle w:val="ListBullet"/>
        <w:spacing w:after="60"/>
      </w:pPr>
      <w:r>
        <w:rPr>
          <w:b w:val="0"/>
        </w:rPr>
        <w:t>Overdue exceptions requiring immediate action</w:t>
      </w:r>
    </w:p>
    <w:p>
      <w:pPr>
        <w:pStyle w:val="ListBullet"/>
        <w:spacing w:after="60"/>
      </w:pPr>
      <w:r>
        <w:rPr>
          <w:b w:val="0"/>
        </w:rPr>
        <w:t>Orphaned exceptions requiring owner assignment</w:t>
      </w:r>
    </w:p>
    <w:p>
      <w:pPr>
        <w:pStyle w:val="ListBullet"/>
        <w:spacing w:after="60"/>
      </w:pPr>
      <w:r>
        <w:rPr>
          <w:b w:val="0"/>
        </w:rPr>
        <w:t>Recommendations summary with actions and owners</w:t>
      </w:r>
    </w:p>
    <w:p>
      <w:pPr>
        <w:spacing w:after="120"/>
      </w:pPr>
      <w:r>
        <w:rPr>
          <w:b/>
        </w:rPr>
        <w:t>Print / Export</w:t>
      </w:r>
    </w:p>
    <w:p>
      <w:pPr>
        <w:spacing w:after="120"/>
      </w:pPr>
      <w:r>
        <w:rPr>
          <w:b w:val="0"/>
        </w:rPr>
        <w:t>The Audit Report page includes a Print / Export button that uses the browser's native print API to produce a clean, formatted document suitable for PDF export. The printed output includes all sections above in a print-optimised layout.</w:t>
      </w:r>
    </w:p>
    <w:p>
      <w:pPr>
        <w:pStyle w:val="Heading2"/>
      </w:pPr>
      <w:r>
        <w:rPr>
          <w:color w:val="991B1B"/>
          <w:sz w:val="28"/>
        </w:rPr>
        <w:t>14. Technology Stack</w:t>
      </w:r>
    </w:p>
    <w:p>
      <w:pPr>
        <w:pStyle w:val="Heading3"/>
      </w:pPr>
      <w:r>
        <w:rPr>
          <w:color w:val="1E293B"/>
          <w:sz w:val="24"/>
        </w:rPr>
        <w:t>Frontend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991B1B"/>
          </w:tcPr>
          <w:p>
            <w:pPr>
              <w:spacing w:before="60" w:after="60"/>
            </w:pPr>
            <w:r>
              <w:rPr>
                <w:b/>
                <w:color w:val="FFFFFF"/>
                <w:sz w:val="18"/>
              </w:rPr>
              <w:t>Technology</w:t>
            </w:r>
          </w:p>
        </w:tc>
        <w:tc>
          <w:tcPr>
            <w:tcW w:type="dxa" w:w="3324"/>
            <w:shd w:val="clear" w:color="auto" w:fill="991B1B"/>
          </w:tcPr>
          <w:p>
            <w:pPr>
              <w:spacing w:before="60" w:after="60"/>
            </w:pPr>
            <w:r>
              <w:rPr>
                <w:b/>
                <w:color w:val="FFFFFF"/>
                <w:sz w:val="18"/>
              </w:rPr>
              <w:t>Version</w:t>
            </w:r>
          </w:p>
        </w:tc>
        <w:tc>
          <w:tcPr>
            <w:tcW w:type="dxa" w:w="3324"/>
            <w:shd w:val="clear" w:color="auto" w:fill="991B1B"/>
          </w:tcPr>
          <w:p>
            <w:pPr>
              <w:spacing w:before="60" w:after="60"/>
            </w:pPr>
            <w:r>
              <w:rPr>
                <w:b/>
                <w:color w:val="FFFFFF"/>
                <w:sz w:val="18"/>
              </w:rPr>
              <w:t>Purpose</w:t>
            </w:r>
          </w:p>
        </w:tc>
      </w:tr>
      <w:tr>
        <w:tc>
          <w:tcPr>
            <w:tcW w:type="dxa" w:w="3324"/>
            <w:shd w:val="clear" w:color="auto" w:fill="FFFFFF"/>
          </w:tcPr>
          <w:p>
            <w:pPr>
              <w:spacing w:before="40" w:after="40"/>
            </w:pPr>
            <w:r>
              <w:rPr>
                <w:sz w:val="18"/>
              </w:rPr>
              <w:t>React</w:t>
            </w:r>
          </w:p>
        </w:tc>
        <w:tc>
          <w:tcPr>
            <w:tcW w:type="dxa" w:w="3324"/>
            <w:shd w:val="clear" w:color="auto" w:fill="FFFFFF"/>
          </w:tcPr>
          <w:p>
            <w:pPr>
              <w:spacing w:before="40" w:after="40"/>
            </w:pPr>
            <w:r>
              <w:rPr>
                <w:sz w:val="18"/>
              </w:rPr>
              <w:t>18.3.1</w:t>
            </w:r>
          </w:p>
        </w:tc>
        <w:tc>
          <w:tcPr>
            <w:tcW w:type="dxa" w:w="3324"/>
            <w:shd w:val="clear" w:color="auto" w:fill="FFFFFF"/>
          </w:tcPr>
          <w:p>
            <w:pPr>
              <w:spacing w:before="40" w:after="40"/>
            </w:pPr>
            <w:r>
              <w:rPr>
                <w:sz w:val="18"/>
              </w:rPr>
              <w:t>Component-based UI framework</w:t>
            </w:r>
          </w:p>
        </w:tc>
      </w:tr>
      <w:tr>
        <w:tc>
          <w:tcPr>
            <w:tcW w:type="dxa" w:w="3324"/>
            <w:shd w:val="clear" w:color="auto" w:fill="FFF7F7"/>
          </w:tcPr>
          <w:p>
            <w:pPr>
              <w:spacing w:before="40" w:after="40"/>
            </w:pPr>
            <w:r>
              <w:rPr>
                <w:sz w:val="18"/>
              </w:rPr>
              <w:t>Vite</w:t>
            </w:r>
          </w:p>
        </w:tc>
        <w:tc>
          <w:tcPr>
            <w:tcW w:type="dxa" w:w="3324"/>
            <w:shd w:val="clear" w:color="auto" w:fill="FFF7F7"/>
          </w:tcPr>
          <w:p>
            <w:pPr>
              <w:spacing w:before="40" w:after="40"/>
            </w:pPr>
            <w:r>
              <w:rPr>
                <w:sz w:val="18"/>
              </w:rPr>
              <w:t>5.4.21</w:t>
            </w:r>
          </w:p>
        </w:tc>
        <w:tc>
          <w:tcPr>
            <w:tcW w:type="dxa" w:w="3324"/>
            <w:shd w:val="clear" w:color="auto" w:fill="FFF7F7"/>
          </w:tcPr>
          <w:p>
            <w:pPr>
              <w:spacing w:before="40" w:after="40"/>
            </w:pPr>
            <w:r>
              <w:rPr>
                <w:sz w:val="18"/>
              </w:rPr>
              <w:t>Build tool and dev server</w:t>
            </w:r>
          </w:p>
        </w:tc>
      </w:tr>
      <w:tr>
        <w:tc>
          <w:tcPr>
            <w:tcW w:type="dxa" w:w="3324"/>
            <w:shd w:val="clear" w:color="auto" w:fill="FFFFFF"/>
          </w:tcPr>
          <w:p>
            <w:pPr>
              <w:spacing w:before="40" w:after="40"/>
            </w:pPr>
            <w:r>
              <w:rPr>
                <w:sz w:val="18"/>
              </w:rPr>
              <w:t>React Router</w:t>
            </w:r>
          </w:p>
        </w:tc>
        <w:tc>
          <w:tcPr>
            <w:tcW w:type="dxa" w:w="3324"/>
            <w:shd w:val="clear" w:color="auto" w:fill="FFFFFF"/>
          </w:tcPr>
          <w:p>
            <w:pPr>
              <w:spacing w:before="40" w:after="40"/>
            </w:pPr>
            <w:r>
              <w:rPr>
                <w:sz w:val="18"/>
              </w:rPr>
              <w:t>6.x</w:t>
            </w:r>
          </w:p>
        </w:tc>
        <w:tc>
          <w:tcPr>
            <w:tcW w:type="dxa" w:w="3324"/>
            <w:shd w:val="clear" w:color="auto" w:fill="FFFFFF"/>
          </w:tcPr>
          <w:p>
            <w:pPr>
              <w:spacing w:before="40" w:after="40"/>
            </w:pPr>
            <w:r>
              <w:rPr>
                <w:sz w:val="18"/>
              </w:rPr>
              <w:t>Client-side routing</w:t>
            </w:r>
          </w:p>
        </w:tc>
      </w:tr>
      <w:tr>
        <w:tc>
          <w:tcPr>
            <w:tcW w:type="dxa" w:w="3324"/>
            <w:shd w:val="clear" w:color="auto" w:fill="FFF7F7"/>
          </w:tcPr>
          <w:p>
            <w:pPr>
              <w:spacing w:before="40" w:after="40"/>
            </w:pPr>
            <w:r>
              <w:rPr>
                <w:sz w:val="18"/>
              </w:rPr>
              <w:t>Axios</w:t>
            </w:r>
          </w:p>
        </w:tc>
        <w:tc>
          <w:tcPr>
            <w:tcW w:type="dxa" w:w="3324"/>
            <w:shd w:val="clear" w:color="auto" w:fill="FFF7F7"/>
          </w:tcPr>
          <w:p>
            <w:pPr>
              <w:spacing w:before="40" w:after="40"/>
            </w:pPr>
            <w:r>
              <w:rPr>
                <w:sz w:val="18"/>
              </w:rPr>
              <w:t>1.x</w:t>
            </w:r>
          </w:p>
        </w:tc>
        <w:tc>
          <w:tcPr>
            <w:tcW w:type="dxa" w:w="3324"/>
            <w:shd w:val="clear" w:color="auto" w:fill="FFF7F7"/>
          </w:tcPr>
          <w:p>
            <w:pPr>
              <w:spacing w:before="40" w:after="40"/>
            </w:pPr>
            <w:r>
              <w:rPr>
                <w:sz w:val="18"/>
              </w:rPr>
              <w:t>HTTP API calls</w:t>
            </w:r>
          </w:p>
        </w:tc>
      </w:tr>
      <w:tr>
        <w:tc>
          <w:tcPr>
            <w:tcW w:type="dxa" w:w="3324"/>
            <w:shd w:val="clear" w:color="auto" w:fill="FFFFFF"/>
          </w:tcPr>
          <w:p>
            <w:pPr>
              <w:spacing w:before="40" w:after="40"/>
            </w:pPr>
            <w:r>
              <w:rPr>
                <w:sz w:val="18"/>
              </w:rPr>
              <w:t>Recharts</w:t>
            </w:r>
          </w:p>
        </w:tc>
        <w:tc>
          <w:tcPr>
            <w:tcW w:type="dxa" w:w="3324"/>
            <w:shd w:val="clear" w:color="auto" w:fill="FFFFFF"/>
          </w:tcPr>
          <w:p>
            <w:pPr>
              <w:spacing w:before="40" w:after="40"/>
            </w:pPr>
            <w:r>
              <w:rPr>
                <w:sz w:val="18"/>
              </w:rPr>
              <w:t>2.x</w:t>
            </w:r>
          </w:p>
        </w:tc>
        <w:tc>
          <w:tcPr>
            <w:tcW w:type="dxa" w:w="3324"/>
            <w:shd w:val="clear" w:color="auto" w:fill="FFFFFF"/>
          </w:tcPr>
          <w:p>
            <w:pPr>
              <w:spacing w:before="40" w:after="40"/>
            </w:pPr>
            <w:r>
              <w:rPr>
                <w:sz w:val="18"/>
              </w:rPr>
              <w:t>Charts and data visualisation</w:t>
            </w:r>
          </w:p>
        </w:tc>
      </w:tr>
      <w:tr>
        <w:tc>
          <w:tcPr>
            <w:tcW w:type="dxa" w:w="3324"/>
            <w:shd w:val="clear" w:color="auto" w:fill="FFF7F7"/>
          </w:tcPr>
          <w:p>
            <w:pPr>
              <w:spacing w:before="40" w:after="40"/>
            </w:pPr>
            <w:r>
              <w:rPr>
                <w:sz w:val="18"/>
              </w:rPr>
              <w:t>lucide-react</w:t>
            </w:r>
          </w:p>
        </w:tc>
        <w:tc>
          <w:tcPr>
            <w:tcW w:type="dxa" w:w="3324"/>
            <w:shd w:val="clear" w:color="auto" w:fill="FFF7F7"/>
          </w:tcPr>
          <w:p>
            <w:pPr>
              <w:spacing w:before="40" w:after="40"/>
            </w:pPr>
            <w:r>
              <w:rPr>
                <w:sz w:val="18"/>
              </w:rPr>
              <w:t>latest</w:t>
            </w:r>
          </w:p>
        </w:tc>
        <w:tc>
          <w:tcPr>
            <w:tcW w:type="dxa" w:w="3324"/>
            <w:shd w:val="clear" w:color="auto" w:fill="FFF7F7"/>
          </w:tcPr>
          <w:p>
            <w:pPr>
              <w:spacing w:before="40" w:after="40"/>
            </w:pPr>
            <w:r>
              <w:rPr>
                <w:sz w:val="18"/>
              </w:rPr>
              <w:t>Icon library</w:t>
            </w:r>
          </w:p>
        </w:tc>
      </w:tr>
      <w:tr>
        <w:tc>
          <w:tcPr>
            <w:tcW w:type="dxa" w:w="3324"/>
            <w:shd w:val="clear" w:color="auto" w:fill="FFFFFF"/>
          </w:tcPr>
          <w:p>
            <w:pPr>
              <w:spacing w:before="40" w:after="40"/>
            </w:pPr>
            <w:r>
              <w:rPr>
                <w:sz w:val="18"/>
              </w:rPr>
              <w:t>Custom CSS</w:t>
            </w:r>
          </w:p>
        </w:tc>
        <w:tc>
          <w:tcPr>
            <w:tcW w:type="dxa" w:w="3324"/>
            <w:shd w:val="clear" w:color="auto" w:fill="FFFFFF"/>
          </w:tcPr>
          <w:p>
            <w:pPr>
              <w:spacing w:before="40" w:after="40"/>
            </w:pPr>
            <w:r>
              <w:rPr>
                <w:sz w:val="18"/>
              </w:rPr>
              <w:t>—</w:t>
            </w:r>
          </w:p>
        </w:tc>
        <w:tc>
          <w:tcPr>
            <w:tcW w:type="dxa" w:w="3324"/>
            <w:shd w:val="clear" w:color="auto" w:fill="FFFFFF"/>
          </w:tcPr>
          <w:p>
            <w:pPr>
              <w:spacing w:before="40" w:after="40"/>
            </w:pPr>
            <w:r>
              <w:rPr>
                <w:sz w:val="18"/>
              </w:rPr>
              <w:t>Three-file styling system (global, layout, components)</w:t>
            </w:r>
          </w:p>
        </w:tc>
      </w:tr>
    </w:tbl>
    <w:p/>
    <w:p>
      <w:pPr>
        <w:pStyle w:val="Heading3"/>
      </w:pPr>
      <w:r>
        <w:rPr>
          <w:color w:val="1E293B"/>
          <w:sz w:val="24"/>
        </w:rPr>
        <w:t>Backend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991B1B"/>
          </w:tcPr>
          <w:p>
            <w:pPr>
              <w:spacing w:before="60" w:after="60"/>
            </w:pPr>
            <w:r>
              <w:rPr>
                <w:b/>
                <w:color w:val="FFFFFF"/>
                <w:sz w:val="18"/>
              </w:rPr>
              <w:t>Technology</w:t>
            </w:r>
          </w:p>
        </w:tc>
        <w:tc>
          <w:tcPr>
            <w:tcW w:type="dxa" w:w="3324"/>
            <w:shd w:val="clear" w:color="auto" w:fill="991B1B"/>
          </w:tcPr>
          <w:p>
            <w:pPr>
              <w:spacing w:before="60" w:after="60"/>
            </w:pPr>
            <w:r>
              <w:rPr>
                <w:b/>
                <w:color w:val="FFFFFF"/>
                <w:sz w:val="18"/>
              </w:rPr>
              <w:t>Version</w:t>
            </w:r>
          </w:p>
        </w:tc>
        <w:tc>
          <w:tcPr>
            <w:tcW w:type="dxa" w:w="3324"/>
            <w:shd w:val="clear" w:color="auto" w:fill="991B1B"/>
          </w:tcPr>
          <w:p>
            <w:pPr>
              <w:spacing w:before="60" w:after="60"/>
            </w:pPr>
            <w:r>
              <w:rPr>
                <w:b/>
                <w:color w:val="FFFFFF"/>
                <w:sz w:val="18"/>
              </w:rPr>
              <w:t>Purpose</w:t>
            </w:r>
          </w:p>
        </w:tc>
      </w:tr>
      <w:tr>
        <w:tc>
          <w:tcPr>
            <w:tcW w:type="dxa" w:w="3324"/>
            <w:shd w:val="clear" w:color="auto" w:fill="FFFFFF"/>
          </w:tcPr>
          <w:p>
            <w:pPr>
              <w:spacing w:before="40" w:after="40"/>
            </w:pPr>
            <w:r>
              <w:rPr>
                <w:sz w:val="18"/>
              </w:rPr>
              <w:t>Node.js</w:t>
            </w:r>
          </w:p>
        </w:tc>
        <w:tc>
          <w:tcPr>
            <w:tcW w:type="dxa" w:w="3324"/>
            <w:shd w:val="clear" w:color="auto" w:fill="FFFFFF"/>
          </w:tcPr>
          <w:p>
            <w:pPr>
              <w:spacing w:before="40" w:after="40"/>
            </w:pPr>
            <w:r>
              <w:rPr>
                <w:sz w:val="18"/>
              </w:rPr>
              <w:t>18+</w:t>
            </w:r>
          </w:p>
        </w:tc>
        <w:tc>
          <w:tcPr>
            <w:tcW w:type="dxa" w:w="3324"/>
            <w:shd w:val="clear" w:color="auto" w:fill="FFFFFF"/>
          </w:tcPr>
          <w:p>
            <w:pPr>
              <w:spacing w:before="40" w:after="40"/>
            </w:pPr>
            <w:r>
              <w:rPr>
                <w:sz w:val="18"/>
              </w:rPr>
              <w:t>JavaScript runtime</w:t>
            </w:r>
          </w:p>
        </w:tc>
      </w:tr>
      <w:tr>
        <w:tc>
          <w:tcPr>
            <w:tcW w:type="dxa" w:w="3324"/>
            <w:shd w:val="clear" w:color="auto" w:fill="FFF7F7"/>
          </w:tcPr>
          <w:p>
            <w:pPr>
              <w:spacing w:before="40" w:after="40"/>
            </w:pPr>
            <w:r>
              <w:rPr>
                <w:sz w:val="18"/>
              </w:rPr>
              <w:t>Express</w:t>
            </w:r>
          </w:p>
        </w:tc>
        <w:tc>
          <w:tcPr>
            <w:tcW w:type="dxa" w:w="3324"/>
            <w:shd w:val="clear" w:color="auto" w:fill="FFF7F7"/>
          </w:tcPr>
          <w:p>
            <w:pPr>
              <w:spacing w:before="40" w:after="40"/>
            </w:pPr>
            <w:r>
              <w:rPr>
                <w:sz w:val="18"/>
              </w:rPr>
              <w:t>4.x</w:t>
            </w:r>
          </w:p>
        </w:tc>
        <w:tc>
          <w:tcPr>
            <w:tcW w:type="dxa" w:w="3324"/>
            <w:shd w:val="clear" w:color="auto" w:fill="FFF7F7"/>
          </w:tcPr>
          <w:p>
            <w:pPr>
              <w:spacing w:before="40" w:after="40"/>
            </w:pPr>
            <w:r>
              <w:rPr>
                <w:sz w:val="18"/>
              </w:rPr>
              <w:t>REST API framework</w:t>
            </w:r>
          </w:p>
        </w:tc>
      </w:tr>
      <w:tr>
        <w:tc>
          <w:tcPr>
            <w:tcW w:type="dxa" w:w="3324"/>
            <w:shd w:val="clear" w:color="auto" w:fill="FFFFFF"/>
          </w:tcPr>
          <w:p>
            <w:pPr>
              <w:spacing w:before="40" w:after="40"/>
            </w:pPr>
            <w:r>
              <w:rPr>
                <w:sz w:val="18"/>
              </w:rPr>
              <w:t>CORS</w:t>
            </w:r>
          </w:p>
        </w:tc>
        <w:tc>
          <w:tcPr>
            <w:tcW w:type="dxa" w:w="3324"/>
            <w:shd w:val="clear" w:color="auto" w:fill="FFFFFF"/>
          </w:tcPr>
          <w:p>
            <w:pPr>
              <w:spacing w:before="40" w:after="40"/>
            </w:pPr>
            <w:r>
              <w:rPr>
                <w:sz w:val="18"/>
              </w:rPr>
              <w:t>—</w:t>
            </w:r>
          </w:p>
        </w:tc>
        <w:tc>
          <w:tcPr>
            <w:tcW w:type="dxa" w:w="3324"/>
            <w:shd w:val="clear" w:color="auto" w:fill="FFFFFF"/>
          </w:tcPr>
          <w:p>
            <w:pPr>
              <w:spacing w:before="40" w:after="40"/>
            </w:pPr>
            <w:r>
              <w:rPr>
                <w:sz w:val="18"/>
              </w:rPr>
              <w:t>Cross-origin request handling</w:t>
            </w:r>
          </w:p>
        </w:tc>
      </w:tr>
      <w:tr>
        <w:tc>
          <w:tcPr>
            <w:tcW w:type="dxa" w:w="3324"/>
            <w:shd w:val="clear" w:color="auto" w:fill="FFF7F7"/>
          </w:tcPr>
          <w:p>
            <w:pPr>
              <w:spacing w:before="40" w:after="40"/>
            </w:pPr>
            <w:r>
              <w:rPr>
                <w:sz w:val="18"/>
              </w:rPr>
              <w:t>fs (Node built-in)</w:t>
            </w:r>
          </w:p>
        </w:tc>
        <w:tc>
          <w:tcPr>
            <w:tcW w:type="dxa" w:w="3324"/>
            <w:shd w:val="clear" w:color="auto" w:fill="FFF7F7"/>
          </w:tcPr>
          <w:p>
            <w:pPr>
              <w:spacing w:before="40" w:after="40"/>
            </w:pPr>
            <w:r>
              <w:rPr>
                <w:sz w:val="18"/>
              </w:rPr>
              <w:t>—</w:t>
            </w:r>
          </w:p>
        </w:tc>
        <w:tc>
          <w:tcPr>
            <w:tcW w:type="dxa" w:w="3324"/>
            <w:shd w:val="clear" w:color="auto" w:fill="FFF7F7"/>
          </w:tcPr>
          <w:p>
            <w:pPr>
              <w:spacing w:before="40" w:after="40"/>
            </w:pPr>
            <w:r>
              <w:rPr>
                <w:sz w:val="18"/>
              </w:rPr>
              <w:t>JSON file read/write</w:t>
            </w:r>
          </w:p>
        </w:tc>
      </w:tr>
    </w:tbl>
    <w:p/>
    <w:p>
      <w:pPr>
        <w:pStyle w:val="Heading3"/>
      </w:pPr>
      <w:r>
        <w:rPr>
          <w:color w:val="1E293B"/>
          <w:sz w:val="24"/>
        </w:rPr>
        <w:t>Storage</w:t>
      </w:r>
    </w:p>
    <w:tbl>
      <w:tblPr>
        <w:tblStyle w:val="TableGrid"/>
        <w:tblW w:type="auto" w:w="0"/>
        <w:tblLook w:firstColumn="1" w:firstRow="1" w:lastColumn="0" w:lastRow="0" w:noHBand="0" w:noVBand="1" w:val="04A0"/>
      </w:tblPr>
      <w:tblGrid>
        <w:gridCol w:w="4986"/>
        <w:gridCol w:w="4986"/>
      </w:tblGrid>
      <w:tr>
        <w:tc>
          <w:tcPr>
            <w:tcW w:type="dxa" w:w="4986"/>
            <w:shd w:val="clear" w:color="auto" w:fill="991B1B"/>
          </w:tcPr>
          <w:p>
            <w:pPr>
              <w:spacing w:before="60" w:after="60"/>
            </w:pPr>
            <w:r>
              <w:rPr>
                <w:b/>
                <w:color w:val="FFFFFF"/>
                <w:sz w:val="18"/>
              </w:rPr>
              <w:t>Storage</w:t>
            </w:r>
          </w:p>
        </w:tc>
        <w:tc>
          <w:tcPr>
            <w:tcW w:type="dxa" w:w="4986"/>
            <w:shd w:val="clear" w:color="auto" w:fill="991B1B"/>
          </w:tcPr>
          <w:p>
            <w:pPr>
              <w:spacing w:before="60" w:after="60"/>
            </w:pPr>
            <w:r>
              <w:rPr>
                <w:b/>
                <w:color w:val="FFFFFF"/>
                <w:sz w:val="18"/>
              </w:rPr>
              <w:t>Description</w:t>
            </w:r>
          </w:p>
        </w:tc>
      </w:tr>
      <w:tr>
        <w:tc>
          <w:tcPr>
            <w:tcW w:type="dxa" w:w="4986"/>
            <w:shd w:val="clear" w:color="auto" w:fill="FFFFFF"/>
          </w:tcPr>
          <w:p>
            <w:pPr>
              <w:spacing w:before="40" w:after="40"/>
            </w:pPr>
            <w:r>
              <w:rPr>
                <w:sz w:val="18"/>
              </w:rPr>
              <w:t>JSON files</w:t>
            </w:r>
          </w:p>
        </w:tc>
        <w:tc>
          <w:tcPr>
            <w:tcW w:type="dxa" w:w="4986"/>
            <w:shd w:val="clear" w:color="auto" w:fill="FFFFFF"/>
          </w:tcPr>
          <w:p>
            <w:pPr>
              <w:spacing w:before="40" w:after="40"/>
            </w:pPr>
            <w:r>
              <w:rPr>
                <w:sz w:val="18"/>
              </w:rPr>
              <w:t>`backend/data/` — one JSON file per data collection (exceptions, approvals, history, alerts, users, policies, assets)</w:t>
            </w:r>
          </w:p>
        </w:tc>
      </w:tr>
      <w:tr>
        <w:tc>
          <w:tcPr>
            <w:tcW w:type="dxa" w:w="4986"/>
            <w:shd w:val="clear" w:color="auto" w:fill="FFF7F7"/>
          </w:tcPr>
          <w:p>
            <w:pPr>
              <w:spacing w:before="40" w:after="40"/>
            </w:pPr>
            <w:r>
              <w:rPr>
                <w:sz w:val="18"/>
              </w:rPr>
              <w:t>No database</w:t>
            </w:r>
          </w:p>
        </w:tc>
        <w:tc>
          <w:tcPr>
            <w:tcW w:type="dxa" w:w="4986"/>
            <w:shd w:val="clear" w:color="auto" w:fill="FFF7F7"/>
          </w:tcPr>
          <w:p>
            <w:pPr>
              <w:spacing w:before="40" w:after="40"/>
            </w:pPr>
            <w:r>
              <w:rPr>
                <w:sz w:val="18"/>
              </w:rPr>
              <w:t>Intentionally database-free for portability; any machine with Node.js 18+ can run the full prototype</w:t>
            </w:r>
          </w:p>
        </w:tc>
      </w:tr>
    </w:tbl>
    <w:p/>
    <w:p>
      <w:pPr>
        <w:pStyle w:val="Heading3"/>
      </w:pPr>
      <w:r>
        <w:rPr>
          <w:color w:val="1E293B"/>
          <w:sz w:val="24"/>
        </w:rPr>
        <w:t>Other</w:t>
      </w:r>
    </w:p>
    <w:tbl>
      <w:tblPr>
        <w:tblStyle w:val="TableGrid"/>
        <w:tblW w:type="auto" w:w="0"/>
        <w:tblLook w:firstColumn="1" w:firstRow="1" w:lastColumn="0" w:lastRow="0" w:noHBand="0" w:noVBand="1" w:val="04A0"/>
      </w:tblPr>
      <w:tblGrid>
        <w:gridCol w:w="4986"/>
        <w:gridCol w:w="4986"/>
      </w:tblGrid>
      <w:tr>
        <w:tc>
          <w:tcPr>
            <w:tcW w:type="dxa" w:w="4986"/>
            <w:shd w:val="clear" w:color="auto" w:fill="991B1B"/>
          </w:tcPr>
          <w:p>
            <w:pPr>
              <w:spacing w:before="60" w:after="60"/>
            </w:pPr>
            <w:r>
              <w:rPr>
                <w:b/>
                <w:color w:val="FFFFFF"/>
                <w:sz w:val="18"/>
              </w:rPr>
              <w:t>Feature</w:t>
            </w:r>
          </w:p>
        </w:tc>
        <w:tc>
          <w:tcPr>
            <w:tcW w:type="dxa" w:w="4986"/>
            <w:shd w:val="clear" w:color="auto" w:fill="991B1B"/>
          </w:tcPr>
          <w:p>
            <w:pPr>
              <w:spacing w:before="60" w:after="60"/>
            </w:pPr>
            <w:r>
              <w:rPr>
                <w:b/>
                <w:color w:val="FFFFFF"/>
                <w:sz w:val="18"/>
              </w:rPr>
              <w:t>Implementation</w:t>
            </w:r>
          </w:p>
        </w:tc>
      </w:tr>
      <w:tr>
        <w:tc>
          <w:tcPr>
            <w:tcW w:type="dxa" w:w="4986"/>
            <w:shd w:val="clear" w:color="auto" w:fill="FFFFFF"/>
          </w:tcPr>
          <w:p>
            <w:pPr>
              <w:spacing w:before="40" w:after="40"/>
            </w:pPr>
            <w:r>
              <w:rPr>
                <w:sz w:val="18"/>
              </w:rPr>
              <w:t>CSV import</w:t>
            </w:r>
          </w:p>
        </w:tc>
        <w:tc>
          <w:tcPr>
            <w:tcW w:type="dxa" w:w="4986"/>
            <w:shd w:val="clear" w:color="auto" w:fill="FFFFFF"/>
          </w:tcPr>
          <w:p>
            <w:pPr>
              <w:spacing w:before="40" w:after="40"/>
            </w:pPr>
            <w:r>
              <w:rPr>
                <w:sz w:val="18"/>
              </w:rPr>
              <w:t>Backend `/bulk-import` endpoint parses CSV rows, validates fields, maps names to IDs, scores risk</w:t>
            </w:r>
          </w:p>
        </w:tc>
      </w:tr>
      <w:tr>
        <w:tc>
          <w:tcPr>
            <w:tcW w:type="dxa" w:w="4986"/>
            <w:shd w:val="clear" w:color="auto" w:fill="FFF7F7"/>
          </w:tcPr>
          <w:p>
            <w:pPr>
              <w:spacing w:before="40" w:after="40"/>
            </w:pPr>
            <w:r>
              <w:rPr>
                <w:sz w:val="18"/>
              </w:rPr>
              <w:t>CSV export</w:t>
            </w:r>
          </w:p>
        </w:tc>
        <w:tc>
          <w:tcPr>
            <w:tcW w:type="dxa" w:w="4986"/>
            <w:shd w:val="clear" w:color="auto" w:fill="FFF7F7"/>
          </w:tcPr>
          <w:p>
            <w:pPr>
              <w:spacing w:before="40" w:after="40"/>
            </w:pPr>
            <w:r>
              <w:rPr>
                <w:sz w:val="18"/>
              </w:rPr>
              <w:t>Backend `/export-csv` endpoint serialises the enriched registry</w:t>
            </w:r>
          </w:p>
        </w:tc>
      </w:tr>
      <w:tr>
        <w:tc>
          <w:tcPr>
            <w:tcW w:type="dxa" w:w="4986"/>
            <w:shd w:val="clear" w:color="auto" w:fill="FFFFFF"/>
          </w:tcPr>
          <w:p>
            <w:pPr>
              <w:spacing w:before="40" w:after="40"/>
            </w:pPr>
            <w:r>
              <w:rPr>
                <w:sz w:val="18"/>
              </w:rPr>
              <w:t>Audit report export</w:t>
            </w:r>
          </w:p>
        </w:tc>
        <w:tc>
          <w:tcPr>
            <w:tcW w:type="dxa" w:w="4986"/>
            <w:shd w:val="clear" w:color="auto" w:fill="FFFFFF"/>
          </w:tcPr>
          <w:p>
            <w:pPr>
              <w:spacing w:before="40" w:after="40"/>
            </w:pPr>
            <w:r>
              <w:rPr>
                <w:sz w:val="18"/>
              </w:rPr>
              <w:t>Browser `window.print()` — print-optimised CSS produces a clean PDF</w:t>
            </w:r>
          </w:p>
        </w:tc>
      </w:tr>
      <w:tr>
        <w:tc>
          <w:tcPr>
            <w:tcW w:type="dxa" w:w="4986"/>
            <w:shd w:val="clear" w:color="auto" w:fill="FFF7F7"/>
          </w:tcPr>
          <w:p>
            <w:pPr>
              <w:spacing w:before="40" w:after="40"/>
            </w:pPr>
            <w:r>
              <w:rPr>
                <w:sz w:val="18"/>
              </w:rPr>
              <w:t>Demo authentication</w:t>
            </w:r>
          </w:p>
        </w:tc>
        <w:tc>
          <w:tcPr>
            <w:tcW w:type="dxa" w:w="4986"/>
            <w:shd w:val="clear" w:color="auto" w:fill="FFF7F7"/>
          </w:tcPr>
          <w:p>
            <w:pPr>
              <w:spacing w:before="40" w:after="40"/>
            </w:pPr>
            <w:r>
              <w:rPr>
                <w:sz w:val="18"/>
              </w:rPr>
              <w:t>localStorage (`rw_role`, `rw_email`) — client-side only, no server sessions</w:t>
            </w:r>
          </w:p>
        </w:tc>
      </w:tr>
      <w:tr>
        <w:tc>
          <w:tcPr>
            <w:tcW w:type="dxa" w:w="4986"/>
            <w:shd w:val="clear" w:color="auto" w:fill="FFFFFF"/>
          </w:tcPr>
          <w:p>
            <w:pPr>
              <w:spacing w:before="40" w:after="40"/>
            </w:pPr>
            <w:r>
              <w:rPr>
                <w:sz w:val="18"/>
              </w:rPr>
              <w:t>Login captcha</w:t>
            </w:r>
          </w:p>
        </w:tc>
        <w:tc>
          <w:tcPr>
            <w:tcW w:type="dxa" w:w="4986"/>
            <w:shd w:val="clear" w:color="auto" w:fill="FFFFFF"/>
          </w:tcPr>
          <w:p>
            <w:pPr>
              <w:spacing w:before="40" w:after="40"/>
            </w:pPr>
            <w:r>
              <w:rPr>
                <w:sz w:val="18"/>
              </w:rPr>
              <w:t>Simple math captcha — frontend verification only, for demo experience</w:t>
            </w:r>
          </w:p>
        </w:tc>
      </w:tr>
    </w:tbl>
    <w:p/>
    <w:p>
      <w:pPr>
        <w:pStyle w:val="Heading2"/>
      </w:pPr>
      <w:r>
        <w:rPr>
          <w:color w:val="991B1B"/>
          <w:sz w:val="28"/>
        </w:rPr>
        <w:t>15. Run Instructions</w:t>
      </w:r>
    </w:p>
    <w:p>
      <w:pPr>
        <w:pStyle w:val="Heading3"/>
      </w:pPr>
      <w:r>
        <w:rPr>
          <w:color w:val="1E293B"/>
          <w:sz w:val="24"/>
        </w:rPr>
        <w:t>Prerequisites</w:t>
      </w:r>
    </w:p>
    <w:p>
      <w:pPr>
        <w:pStyle w:val="ListBullet"/>
        <w:spacing w:after="60"/>
      </w:pPr>
      <w:r>
        <w:rPr>
          <w:b w:val="0"/>
        </w:rPr>
        <w:t>Node.js 18 or later</w:t>
      </w:r>
    </w:p>
    <w:p>
      <w:pPr>
        <w:pStyle w:val="ListBullet"/>
        <w:spacing w:after="60"/>
      </w:pPr>
      <w:r>
        <w:rPr>
          <w:b w:val="0"/>
        </w:rPr>
        <w:t>npm (bundled with Node.js)</w:t>
      </w:r>
    </w:p>
    <w:p>
      <w:pPr>
        <w:pStyle w:val="ListBullet"/>
        <w:spacing w:after="60"/>
      </w:pPr>
      <w:r>
        <w:rPr>
          <w:b w:val="0"/>
        </w:rPr>
        <w:t>Two terminal windows</w:t>
      </w:r>
    </w:p>
    <w:p>
      <w:pPr>
        <w:pStyle w:val="Heading3"/>
      </w:pPr>
      <w:r>
        <w:rPr>
          <w:color w:val="1E293B"/>
          <w:sz w:val="24"/>
        </w:rPr>
        <w:t>Step 1 — Backend</w:t>
      </w:r>
    </w:p>
    <w:p>
      <w:pPr>
        <w:shd w:val="clear" w:color="auto" w:fill="0F172A"/>
        <w:spacing w:before="120" w:after="120"/>
        <w:ind w:left="288" w:right="288"/>
        <w:pBdr>
          <w:left w:val="single" w:sz="24" w:space="4" w:color="DC2626"/>
        </w:pBdr>
      </w:pPr>
      <w:r>
        <w:rPr>
          <w:rFonts w:ascii="Courier New" w:hAnsi="Courier New"/>
          <w:color w:val="E2E8F0"/>
          <w:sz w:val="17"/>
        </w:rPr>
        <w:t>cd backend</w:t>
        <w:br/>
        <w:t>npm install</w:t>
        <w:br/>
        <w:t>npm run reset-demo</w:t>
        <w:br/>
        <w:t>npm run dev</w:t>
      </w:r>
    </w:p>
    <w:p>
      <w:pPr>
        <w:spacing w:after="120"/>
      </w:pPr>
      <w:r>
        <w:rPr>
          <w:b w:val="0"/>
        </w:rPr>
        <w:t xml:space="preserve">Backend starts at </w:t>
      </w:r>
      <w:r>
        <w:rPr>
          <w:b/>
        </w:rPr>
        <w:t>http://localhost:4000</w:t>
      </w:r>
    </w:p>
    <w:p>
      <w:pPr>
        <w:spacing w:after="120"/>
      </w:pPr>
      <w:r>
        <w:rPr>
          <w:b w:val="0"/>
        </w:rPr>
        <w:t xml:space="preserve">Health check: </w:t>
      </w:r>
      <w:r>
        <w:rPr>
          <w:rFonts w:ascii="Courier New" w:hAnsi="Courier New"/>
          <w:b w:val="0"/>
          <w:color w:val="DC2626"/>
          <w:sz w:val="18"/>
        </w:rPr>
        <w:t>http://localhost:4000/api/health</w:t>
      </w:r>
    </w:p>
    <w:p>
      <w:pPr>
        <w:spacing w:after="120"/>
        <w:ind w:left="432"/>
      </w:pPr>
      <w:r>
        <w:rPr>
          <w:i/>
          <w:color w:val="475569"/>
        </w:rPr>
        <w:t>`npm run reset-demo` restores the original synthetic dataset from `backend/seed/` to `backend/data/`. Run this before every demo to get a clean, consistent state.</w:t>
      </w:r>
    </w:p>
    <w:p>
      <w:pPr>
        <w:pStyle w:val="Heading3"/>
      </w:pPr>
      <w:r>
        <w:rPr>
          <w:color w:val="1E293B"/>
          <w:sz w:val="24"/>
        </w:rPr>
        <w:t>Step 2 — Frontend (second terminal)</w:t>
      </w:r>
    </w:p>
    <w:p>
      <w:pPr>
        <w:shd w:val="clear" w:color="auto" w:fill="0F172A"/>
        <w:spacing w:before="120" w:after="120"/>
        <w:ind w:left="288" w:right="288"/>
        <w:pBdr>
          <w:left w:val="single" w:sz="24" w:space="4" w:color="DC2626"/>
        </w:pBdr>
      </w:pPr>
      <w:r>
        <w:rPr>
          <w:rFonts w:ascii="Courier New" w:hAnsi="Courier New"/>
          <w:color w:val="E2E8F0"/>
          <w:sz w:val="17"/>
        </w:rPr>
        <w:t>cd frontend</w:t>
        <w:br/>
        <w:t>npm install</w:t>
        <w:br/>
        <w:t>npm run dev</w:t>
      </w:r>
    </w:p>
    <w:p>
      <w:pPr>
        <w:spacing w:after="120"/>
      </w:pPr>
      <w:r>
        <w:rPr>
          <w:b w:val="0"/>
        </w:rPr>
        <w:t xml:space="preserve">Open </w:t>
      </w:r>
      <w:r>
        <w:rPr>
          <w:b/>
        </w:rPr>
        <w:t>http://localhost:5173</w:t>
      </w:r>
      <w:r>
        <w:rPr>
          <w:b w:val="0"/>
        </w:rPr>
        <w:t xml:space="preserve"> in your browser.</w:t>
      </w:r>
    </w:p>
    <w:p>
      <w:pPr>
        <w:spacing w:after="120"/>
      </w:pPr>
      <w:r>
        <w:rPr>
          <w:b w:val="0"/>
        </w:rPr>
        <w:t xml:space="preserve">The Vite dev server automatically proxies all </w:t>
      </w:r>
      <w:r>
        <w:rPr>
          <w:rFonts w:ascii="Courier New" w:hAnsi="Courier New"/>
          <w:b w:val="0"/>
          <w:color w:val="DC2626"/>
          <w:sz w:val="18"/>
        </w:rPr>
        <w:t>/api</w:t>
      </w:r>
      <w:r>
        <w:rPr>
          <w:b w:val="0"/>
        </w:rPr>
        <w:t xml:space="preserve"> requests to the backend — no additional configuration required.</w:t>
      </w:r>
    </w:p>
    <w:p>
      <w:pPr>
        <w:pStyle w:val="Heading3"/>
      </w:pPr>
      <w:r>
        <w:rPr>
          <w:color w:val="1E293B"/>
          <w:sz w:val="24"/>
        </w:rPr>
        <w:t>Step 3 — Production Build (optional)</w:t>
      </w:r>
    </w:p>
    <w:p>
      <w:pPr>
        <w:shd w:val="clear" w:color="auto" w:fill="0F172A"/>
        <w:spacing w:before="120" w:after="120"/>
        <w:ind w:left="288" w:right="288"/>
        <w:pBdr>
          <w:left w:val="single" w:sz="24" w:space="4" w:color="DC2626"/>
        </w:pBdr>
      </w:pPr>
      <w:r>
        <w:rPr>
          <w:rFonts w:ascii="Courier New" w:hAnsi="Courier New"/>
          <w:color w:val="E2E8F0"/>
          <w:sz w:val="17"/>
        </w:rPr>
        <w:t>cd frontend</w:t>
        <w:br/>
        <w:t>npm run build</w:t>
      </w:r>
    </w:p>
    <w:p>
      <w:pPr>
        <w:spacing w:after="120"/>
      </w:pPr>
      <w:r>
        <w:rPr>
          <w:b w:val="0"/>
        </w:rPr>
        <w:t xml:space="preserve">Produces a static bundle in </w:t>
      </w:r>
      <w:r>
        <w:rPr>
          <w:rFonts w:ascii="Courier New" w:hAnsi="Courier New"/>
          <w:b w:val="0"/>
          <w:color w:val="DC2626"/>
          <w:sz w:val="18"/>
        </w:rPr>
        <w:t>frontend/dist/</w:t>
      </w:r>
      <w:r>
        <w:rPr>
          <w:b w:val="0"/>
        </w:rPr>
        <w:t>. Serve it with any static file server alongside the running backend.</w:t>
      </w:r>
    </w:p>
    <w:p>
      <w:pPr>
        <w:pStyle w:val="Heading2"/>
      </w:pPr>
      <w:r>
        <w:rPr>
          <w:color w:val="991B1B"/>
          <w:sz w:val="28"/>
        </w:rPr>
        <w:t>16. Demo Accounts</w:t>
      </w:r>
    </w:p>
    <w:p>
      <w:pPr>
        <w:spacing w:after="120"/>
      </w:pPr>
      <w:r>
        <w:rPr>
          <w:b w:val="0"/>
        </w:rPr>
        <w:t>Sign in at the login page using email and password. After credentials are accepted, a simple math captcha is displayed and must be solved manually before access is granted.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991B1B"/>
          </w:tcPr>
          <w:p>
            <w:pPr>
              <w:spacing w:before="60" w:after="60"/>
            </w:pPr>
            <w:r>
              <w:rPr>
                <w:b/>
                <w:color w:val="FFFFFF"/>
                <w:sz w:val="18"/>
              </w:rPr>
              <w:t>Role</w:t>
            </w:r>
          </w:p>
        </w:tc>
        <w:tc>
          <w:tcPr>
            <w:tcW w:type="dxa" w:w="3324"/>
            <w:shd w:val="clear" w:color="auto" w:fill="991B1B"/>
          </w:tcPr>
          <w:p>
            <w:pPr>
              <w:spacing w:before="60" w:after="60"/>
            </w:pPr>
            <w:r>
              <w:rPr>
                <w:b/>
                <w:color w:val="FFFFFF"/>
                <w:sz w:val="18"/>
              </w:rPr>
              <w:t>Email</w:t>
            </w:r>
          </w:p>
        </w:tc>
        <w:tc>
          <w:tcPr>
            <w:tcW w:type="dxa" w:w="3324"/>
            <w:shd w:val="clear" w:color="auto" w:fill="991B1B"/>
          </w:tcPr>
          <w:p>
            <w:pPr>
              <w:spacing w:before="60" w:after="60"/>
            </w:pPr>
            <w:r>
              <w:rPr>
                <w:b/>
                <w:color w:val="FFFFFF"/>
                <w:sz w:val="18"/>
              </w:rPr>
              <w:t>Password</w:t>
            </w:r>
          </w:p>
        </w:tc>
      </w:tr>
      <w:tr>
        <w:tc>
          <w:tcPr>
            <w:tcW w:type="dxa" w:w="3324"/>
            <w:shd w:val="clear" w:color="auto" w:fill="FFFFFF"/>
          </w:tcPr>
          <w:p>
            <w:pPr>
              <w:spacing w:before="40" w:after="40"/>
            </w:pPr>
            <w:r>
              <w:rPr>
                <w:sz w:val="18"/>
              </w:rPr>
              <w:t>**Requester**</w:t>
            </w:r>
          </w:p>
        </w:tc>
        <w:tc>
          <w:tcPr>
            <w:tcW w:type="dxa" w:w="3324"/>
            <w:shd w:val="clear" w:color="auto" w:fill="FFFFFF"/>
          </w:tcPr>
          <w:p>
            <w:pPr>
              <w:spacing w:before="40" w:after="40"/>
            </w:pPr>
            <w:r>
              <w:rPr>
                <w:sz w:val="18"/>
              </w:rPr>
              <w:t>requester@riskwaiver360.demo</w:t>
            </w:r>
          </w:p>
        </w:tc>
        <w:tc>
          <w:tcPr>
            <w:tcW w:type="dxa" w:w="3324"/>
            <w:shd w:val="clear" w:color="auto" w:fill="FFFFFF"/>
          </w:tcPr>
          <w:p>
            <w:pPr>
              <w:spacing w:before="40" w:after="40"/>
            </w:pPr>
            <w:r>
              <w:rPr>
                <w:sz w:val="18"/>
              </w:rPr>
              <w:t>Requester@123</w:t>
            </w:r>
          </w:p>
        </w:tc>
      </w:tr>
      <w:tr>
        <w:tc>
          <w:tcPr>
            <w:tcW w:type="dxa" w:w="3324"/>
            <w:shd w:val="clear" w:color="auto" w:fill="FFF7F7"/>
          </w:tcPr>
          <w:p>
            <w:pPr>
              <w:spacing w:before="40" w:after="40"/>
            </w:pPr>
            <w:r>
              <w:rPr>
                <w:sz w:val="18"/>
              </w:rPr>
              <w:t>**Security Reviewer**</w:t>
            </w:r>
          </w:p>
        </w:tc>
        <w:tc>
          <w:tcPr>
            <w:tcW w:type="dxa" w:w="3324"/>
            <w:shd w:val="clear" w:color="auto" w:fill="FFF7F7"/>
          </w:tcPr>
          <w:p>
            <w:pPr>
              <w:spacing w:before="40" w:after="40"/>
            </w:pPr>
            <w:r>
              <w:rPr>
                <w:sz w:val="18"/>
              </w:rPr>
              <w:t>reviewer@riskwaiver360.demo</w:t>
            </w:r>
          </w:p>
        </w:tc>
        <w:tc>
          <w:tcPr>
            <w:tcW w:type="dxa" w:w="3324"/>
            <w:shd w:val="clear" w:color="auto" w:fill="FFF7F7"/>
          </w:tcPr>
          <w:p>
            <w:pPr>
              <w:spacing w:before="40" w:after="40"/>
            </w:pPr>
            <w:r>
              <w:rPr>
                <w:sz w:val="18"/>
              </w:rPr>
              <w:t>Reviewer@123</w:t>
            </w:r>
          </w:p>
        </w:tc>
      </w:tr>
      <w:tr>
        <w:tc>
          <w:tcPr>
            <w:tcW w:type="dxa" w:w="3324"/>
            <w:shd w:val="clear" w:color="auto" w:fill="FFFFFF"/>
          </w:tcPr>
          <w:p>
            <w:pPr>
              <w:spacing w:before="40" w:after="40"/>
            </w:pPr>
            <w:r>
              <w:rPr>
                <w:sz w:val="18"/>
              </w:rPr>
              <w:t>**Approver**</w:t>
            </w:r>
          </w:p>
        </w:tc>
        <w:tc>
          <w:tcPr>
            <w:tcW w:type="dxa" w:w="3324"/>
            <w:shd w:val="clear" w:color="auto" w:fill="FFFFFF"/>
          </w:tcPr>
          <w:p>
            <w:pPr>
              <w:spacing w:before="40" w:after="40"/>
            </w:pPr>
            <w:r>
              <w:rPr>
                <w:sz w:val="18"/>
              </w:rPr>
              <w:t>approver@riskwaiver360.demo</w:t>
            </w:r>
          </w:p>
        </w:tc>
        <w:tc>
          <w:tcPr>
            <w:tcW w:type="dxa" w:w="3324"/>
            <w:shd w:val="clear" w:color="auto" w:fill="FFFFFF"/>
          </w:tcPr>
          <w:p>
            <w:pPr>
              <w:spacing w:before="40" w:after="40"/>
            </w:pPr>
            <w:r>
              <w:rPr>
                <w:sz w:val="18"/>
              </w:rPr>
              <w:t>Approver@123</w:t>
            </w:r>
          </w:p>
        </w:tc>
      </w:tr>
      <w:tr>
        <w:tc>
          <w:tcPr>
            <w:tcW w:type="dxa" w:w="3324"/>
            <w:shd w:val="clear" w:color="auto" w:fill="FFF7F7"/>
          </w:tcPr>
          <w:p>
            <w:pPr>
              <w:spacing w:before="40" w:after="40"/>
            </w:pPr>
            <w:r>
              <w:rPr>
                <w:sz w:val="18"/>
              </w:rPr>
              <w:t>**Auditor / Admin**</w:t>
            </w:r>
          </w:p>
        </w:tc>
        <w:tc>
          <w:tcPr>
            <w:tcW w:type="dxa" w:w="3324"/>
            <w:shd w:val="clear" w:color="auto" w:fill="FFF7F7"/>
          </w:tcPr>
          <w:p>
            <w:pPr>
              <w:spacing w:before="40" w:after="40"/>
            </w:pPr>
            <w:r>
              <w:rPr>
                <w:sz w:val="18"/>
              </w:rPr>
              <w:t>auditor@riskwaiver360.demo</w:t>
            </w:r>
          </w:p>
        </w:tc>
        <w:tc>
          <w:tcPr>
            <w:tcW w:type="dxa" w:w="3324"/>
            <w:shd w:val="clear" w:color="auto" w:fill="FFF7F7"/>
          </w:tcPr>
          <w:p>
            <w:pPr>
              <w:spacing w:before="40" w:after="40"/>
            </w:pPr>
            <w:r>
              <w:rPr>
                <w:sz w:val="18"/>
              </w:rPr>
              <w:t>Auditor@123</w:t>
            </w:r>
          </w:p>
        </w:tc>
      </w:tr>
    </w:tbl>
    <w:p/>
    <w:p>
      <w:pPr>
        <w:spacing w:after="120"/>
      </w:pPr>
      <w:r>
        <w:rPr>
          <w:b/>
        </w:rPr>
        <w:t>Important notes:</w:t>
      </w:r>
    </w:p>
    <w:p>
      <w:pPr>
        <w:pStyle w:val="ListBullet"/>
        <w:spacing w:after="60"/>
      </w:pPr>
      <w:r>
        <w:rPr>
          <w:b w:val="0"/>
        </w:rPr>
        <w:t>The captcha is always displayed on the login page and must be entered manually — the "Use this account" button fills email and password only</w:t>
      </w:r>
    </w:p>
    <w:p>
      <w:pPr>
        <w:pStyle w:val="ListBullet"/>
        <w:spacing w:after="60"/>
      </w:pPr>
      <w:r>
        <w:rPr>
          <w:b w:val="0"/>
        </w:rPr>
        <w:t xml:space="preserve">Authentication is client-side demo only — credentials are checked in the frontend and the role is stored in </w:t>
      </w:r>
      <w:r>
        <w:rPr>
          <w:rFonts w:ascii="Courier New" w:hAnsi="Courier New"/>
          <w:b w:val="0"/>
          <w:color w:val="DC2626"/>
          <w:sz w:val="18"/>
        </w:rPr>
        <w:t>localStorage</w:t>
      </w:r>
    </w:p>
    <w:p>
      <w:pPr>
        <w:pStyle w:val="ListBullet"/>
        <w:spacing w:after="60"/>
      </w:pPr>
      <w:r>
        <w:rPr>
          <w:b w:val="0"/>
        </w:rPr>
        <w:t>No real identity provider, backend RBAC, or server session is used in this prototype</w:t>
      </w:r>
    </w:p>
    <w:p>
      <w:pPr>
        <w:pStyle w:val="ListBullet"/>
        <w:spacing w:after="60"/>
      </w:pPr>
      <w:r>
        <w:rPr>
          <w:b w:val="0"/>
        </w:rPr>
        <w:t>To switch roles without logging out, use the Settings page role switcher</w:t>
      </w:r>
    </w:p>
    <w:p>
      <w:pPr>
        <w:pStyle w:val="Heading3"/>
      </w:pPr>
      <w:r>
        <w:rPr>
          <w:color w:val="1E293B"/>
          <w:sz w:val="24"/>
        </w:rPr>
        <w:t>Recommended Demo Flow (for judges)</w:t>
      </w:r>
    </w:p>
    <w:p>
      <w:pPr>
        <w:pStyle w:val="ListNumber"/>
        <w:spacing w:after="60"/>
      </w:pPr>
      <w:r>
        <w:rPr>
          <w:b/>
        </w:rPr>
        <w:t>Login as Approver</w:t>
      </w:r>
      <w:r>
        <w:rPr>
          <w:b w:val="0"/>
        </w:rPr>
        <w:t xml:space="preserve"> → Dashboard → note Overdue (3), Orphaned (6), Average Risk 82</w:t>
      </w:r>
    </w:p>
    <w:p>
      <w:pPr>
        <w:pStyle w:val="ListNumber"/>
        <w:spacing w:after="60"/>
      </w:pPr>
      <w:r>
        <w:rPr>
          <w:b/>
        </w:rPr>
        <w:t>Registry</w:t>
      </w:r>
      <w:r>
        <w:rPr>
          <w:b w:val="0"/>
        </w:rPr>
        <w:t xml:space="preserve"> → filter Critical → open EXC-0001 (Encryption Disabled, score 100, overdue)</w:t>
      </w:r>
    </w:p>
    <w:p>
      <w:pPr>
        <w:pStyle w:val="ListNumber"/>
        <w:spacing w:after="60"/>
      </w:pPr>
      <w:r>
        <w:rPr>
          <w:b/>
        </w:rPr>
        <w:t>Details</w:t>
      </w:r>
      <w:r>
        <w:rPr>
          <w:b w:val="0"/>
        </w:rPr>
        <w:t xml:space="preserve"> → show risk breakdown → Revoke → see history update</w:t>
      </w:r>
    </w:p>
    <w:p>
      <w:pPr>
        <w:pStyle w:val="ListNumber"/>
        <w:spacing w:after="60"/>
      </w:pPr>
      <w:r>
        <w:rPr>
          <w:b/>
        </w:rPr>
        <w:t>Add Exception</w:t>
      </w:r>
      <w:r>
        <w:rPr>
          <w:b w:val="0"/>
        </w:rPr>
        <w:t xml:space="preserve"> → long-duration Admin Access with no owner → note Critical score</w:t>
      </w:r>
    </w:p>
    <w:p>
      <w:pPr>
        <w:pStyle w:val="ListNumber"/>
        <w:spacing w:after="60"/>
      </w:pPr>
      <w:r>
        <w:rPr>
          <w:b/>
        </w:rPr>
        <w:t>Review Queue</w:t>
      </w:r>
      <w:r>
        <w:rPr>
          <w:b w:val="0"/>
        </w:rPr>
        <w:t xml:space="preserve"> → approve a submitted request → it auto-activates</w:t>
      </w:r>
    </w:p>
    <w:p>
      <w:pPr>
        <w:pStyle w:val="ListNumber"/>
        <w:spacing w:after="60"/>
      </w:pPr>
      <w:r>
        <w:rPr>
          <w:b/>
        </w:rPr>
        <w:t>Alerts</w:t>
      </w:r>
      <w:r>
        <w:rPr>
          <w:b w:val="0"/>
        </w:rPr>
        <w:t xml:space="preserve"> → filter Critical → show overdue + orphaned + critical-risk</w:t>
      </w:r>
    </w:p>
    <w:p>
      <w:pPr>
        <w:pStyle w:val="ListNumber"/>
        <w:spacing w:after="60"/>
      </w:pPr>
      <w:r>
        <w:rPr>
          <w:b/>
        </w:rPr>
        <w:t>Dashboard GRC Intelligence</w:t>
      </w:r>
      <w:r>
        <w:rPr>
          <w:b w:val="0"/>
        </w:rPr>
        <w:t xml:space="preserve"> → show overlap/conflict/accumulation findings</w:t>
      </w:r>
    </w:p>
    <w:p>
      <w:pPr>
        <w:pStyle w:val="ListNumber"/>
        <w:spacing w:after="60"/>
      </w:pPr>
      <w:r>
        <w:rPr>
          <w:b/>
        </w:rPr>
        <w:t>Registry</w:t>
      </w:r>
      <w:r>
        <w:rPr>
          <w:b w:val="0"/>
        </w:rPr>
        <w:t xml:space="preserve"> → filter "Has Conflicts" → open flagged exception → Related Conflicts panel</w:t>
      </w:r>
    </w:p>
    <w:p>
      <w:pPr>
        <w:pStyle w:val="ListNumber"/>
        <w:spacing w:after="60"/>
      </w:pPr>
      <w:r>
        <w:rPr>
          <w:b/>
        </w:rPr>
        <w:t>CSV</w:t>
      </w:r>
      <w:r>
        <w:rPr>
          <w:b w:val="0"/>
        </w:rPr>
        <w:t xml:space="preserve"> → Template → Import → preview → confirm → summary; then Export CSV</w:t>
      </w:r>
    </w:p>
    <w:p>
      <w:pPr>
        <w:pStyle w:val="ListNumber"/>
        <w:spacing w:after="60"/>
      </w:pPr>
      <w:r>
        <w:rPr>
          <w:b/>
        </w:rPr>
        <w:t>Audit Report</w:t>
      </w:r>
      <w:r>
        <w:rPr>
          <w:b w:val="0"/>
        </w:rPr>
        <w:t xml:space="preserve"> → read executive summary + conflict findings → Print / Export</w:t>
      </w:r>
    </w:p>
    <w:p>
      <w:pPr>
        <w:pStyle w:val="Heading2"/>
      </w:pPr>
      <w:r>
        <w:rPr>
          <w:color w:val="991B1B"/>
          <w:sz w:val="28"/>
        </w:rPr>
        <w:t>17. Prototype Limitations</w:t>
      </w:r>
    </w:p>
    <w:p>
      <w:pPr>
        <w:spacing w:after="120"/>
      </w:pPr>
      <w:r>
        <w:rPr>
          <w:b w:val="0"/>
        </w:rPr>
        <w:t>RiskWaiver360 is a hackathon prototype built to demonstrate a complete, working GRC exception management system within a time-constrained development window. The following limitations are present by design and are explicitly acknowledged: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991B1B"/>
          </w:tcPr>
          <w:p>
            <w:pPr>
              <w:spacing w:before="60" w:after="60"/>
            </w:pPr>
            <w:r>
              <w:rPr>
                <w:b/>
                <w:color w:val="FFFFFF"/>
                <w:sz w:val="18"/>
              </w:rPr>
              <w:t>Limitation</w:t>
            </w:r>
          </w:p>
        </w:tc>
        <w:tc>
          <w:tcPr>
            <w:tcW w:type="dxa" w:w="3324"/>
            <w:shd w:val="clear" w:color="auto" w:fill="991B1B"/>
          </w:tcPr>
          <w:p>
            <w:pPr>
              <w:spacing w:before="60" w:after="60"/>
            </w:pPr>
            <w:r>
              <w:rPr>
                <w:b/>
                <w:color w:val="FFFFFF"/>
                <w:sz w:val="18"/>
              </w:rPr>
              <w:t>Current Implementation</w:t>
            </w:r>
          </w:p>
        </w:tc>
        <w:tc>
          <w:tcPr>
            <w:tcW w:type="dxa" w:w="3324"/>
            <w:shd w:val="clear" w:color="auto" w:fill="991B1B"/>
          </w:tcPr>
          <w:p>
            <w:pPr>
              <w:spacing w:before="60" w:after="60"/>
            </w:pPr>
            <w:r>
              <w:rPr>
                <w:b/>
                <w:color w:val="FFFFFF"/>
                <w:sz w:val="18"/>
              </w:rPr>
              <w:t>Production Alternative</w:t>
            </w:r>
          </w:p>
        </w:tc>
      </w:tr>
      <w:tr>
        <w:tc>
          <w:tcPr>
            <w:tcW w:type="dxa" w:w="3324"/>
            <w:shd w:val="clear" w:color="auto" w:fill="FFFFFF"/>
          </w:tcPr>
          <w:p>
            <w:pPr>
              <w:spacing w:before="40" w:after="40"/>
            </w:pPr>
            <w:r>
              <w:rPr>
                <w:sz w:val="18"/>
              </w:rPr>
              <w:t>**Authentication**</w:t>
            </w:r>
          </w:p>
        </w:tc>
        <w:tc>
          <w:tcPr>
            <w:tcW w:type="dxa" w:w="3324"/>
            <w:shd w:val="clear" w:color="auto" w:fill="FFFFFF"/>
          </w:tcPr>
          <w:p>
            <w:pPr>
              <w:spacing w:before="40" w:after="40"/>
            </w:pPr>
            <w:r>
              <w:rPr>
                <w:sz w:val="18"/>
              </w:rPr>
              <w:t>Client-side `localStorage` demo auth</w:t>
            </w:r>
          </w:p>
        </w:tc>
        <w:tc>
          <w:tcPr>
            <w:tcW w:type="dxa" w:w="3324"/>
            <w:shd w:val="clear" w:color="auto" w:fill="FFFFFF"/>
          </w:tcPr>
          <w:p>
            <w:pPr>
              <w:spacing w:before="40" w:after="40"/>
            </w:pPr>
            <w:r>
              <w:rPr>
                <w:sz w:val="18"/>
              </w:rPr>
              <w:t>SSO/OIDC (Okta, Microsoft Entra ID)</w:t>
            </w:r>
          </w:p>
        </w:tc>
      </w:tr>
      <w:tr>
        <w:tc>
          <w:tcPr>
            <w:tcW w:type="dxa" w:w="3324"/>
            <w:shd w:val="clear" w:color="auto" w:fill="FFF7F7"/>
          </w:tcPr>
          <w:p>
            <w:pPr>
              <w:spacing w:before="40" w:after="40"/>
            </w:pPr>
            <w:r>
              <w:rPr>
                <w:sz w:val="18"/>
              </w:rPr>
              <w:t>**Authorization**</w:t>
            </w:r>
          </w:p>
        </w:tc>
        <w:tc>
          <w:tcPr>
            <w:tcW w:type="dxa" w:w="3324"/>
            <w:shd w:val="clear" w:color="auto" w:fill="FFF7F7"/>
          </w:tcPr>
          <w:p>
            <w:pPr>
              <w:spacing w:before="40" w:after="40"/>
            </w:pPr>
            <w:r>
              <w:rPr>
                <w:sz w:val="18"/>
              </w:rPr>
              <w:t>Frontend-only role simulation</w:t>
            </w:r>
          </w:p>
        </w:tc>
        <w:tc>
          <w:tcPr>
            <w:tcW w:type="dxa" w:w="3324"/>
            <w:shd w:val="clear" w:color="auto" w:fill="FFF7F7"/>
          </w:tcPr>
          <w:p>
            <w:pPr>
              <w:spacing w:before="40" w:after="40"/>
            </w:pPr>
            <w:r>
              <w:rPr>
                <w:sz w:val="18"/>
              </w:rPr>
              <w:t>Backend RBAC middleware; server-side permission enforcement</w:t>
            </w:r>
          </w:p>
        </w:tc>
      </w:tr>
      <w:tr>
        <w:tc>
          <w:tcPr>
            <w:tcW w:type="dxa" w:w="3324"/>
            <w:shd w:val="clear" w:color="auto" w:fill="FFFFFF"/>
          </w:tcPr>
          <w:p>
            <w:pPr>
              <w:spacing w:before="40" w:after="40"/>
            </w:pPr>
            <w:r>
              <w:rPr>
                <w:sz w:val="18"/>
              </w:rPr>
              <w:t>**Session management**</w:t>
            </w:r>
          </w:p>
        </w:tc>
        <w:tc>
          <w:tcPr>
            <w:tcW w:type="dxa" w:w="3324"/>
            <w:shd w:val="clear" w:color="auto" w:fill="FFFFFF"/>
          </w:tcPr>
          <w:p>
            <w:pPr>
              <w:spacing w:before="40" w:after="40"/>
            </w:pPr>
            <w:r>
              <w:rPr>
                <w:sz w:val="18"/>
              </w:rPr>
              <w:t>No server sessions</w:t>
            </w:r>
          </w:p>
        </w:tc>
        <w:tc>
          <w:tcPr>
            <w:tcW w:type="dxa" w:w="3324"/>
            <w:shd w:val="clear" w:color="auto" w:fill="FFFFFF"/>
          </w:tcPr>
          <w:p>
            <w:pPr>
              <w:spacing w:before="40" w:after="40"/>
            </w:pPr>
            <w:r>
              <w:rPr>
                <w:sz w:val="18"/>
              </w:rPr>
              <w:t>Secure HTTP-only cookie sessions; token rotation</w:t>
            </w:r>
          </w:p>
        </w:tc>
      </w:tr>
      <w:tr>
        <w:tc>
          <w:tcPr>
            <w:tcW w:type="dxa" w:w="3324"/>
            <w:shd w:val="clear" w:color="auto" w:fill="FFF7F7"/>
          </w:tcPr>
          <w:p>
            <w:pPr>
              <w:spacing w:before="40" w:after="40"/>
            </w:pPr>
            <w:r>
              <w:rPr>
                <w:sz w:val="18"/>
              </w:rPr>
              <w:t>**Storage**</w:t>
            </w:r>
          </w:p>
        </w:tc>
        <w:tc>
          <w:tcPr>
            <w:tcW w:type="dxa" w:w="3324"/>
            <w:shd w:val="clear" w:color="auto" w:fill="FFF7F7"/>
          </w:tcPr>
          <w:p>
            <w:pPr>
              <w:spacing w:before="40" w:after="40"/>
            </w:pPr>
            <w:r>
              <w:rPr>
                <w:sz w:val="18"/>
              </w:rPr>
              <w:t>JSON files (single-process, not concurrency-safe)</w:t>
            </w:r>
          </w:p>
        </w:tc>
        <w:tc>
          <w:tcPr>
            <w:tcW w:type="dxa" w:w="3324"/>
            <w:shd w:val="clear" w:color="auto" w:fill="FFF7F7"/>
          </w:tcPr>
          <w:p>
            <w:pPr>
              <w:spacing w:before="40" w:after="40"/>
            </w:pPr>
            <w:r>
              <w:rPr>
                <w:sz w:val="18"/>
              </w:rPr>
              <w:t>PostgreSQL or MongoDB with connection pooling</w:t>
            </w:r>
          </w:p>
        </w:tc>
      </w:tr>
      <w:tr>
        <w:tc>
          <w:tcPr>
            <w:tcW w:type="dxa" w:w="3324"/>
            <w:shd w:val="clear" w:color="auto" w:fill="FFFFFF"/>
          </w:tcPr>
          <w:p>
            <w:pPr>
              <w:spacing w:before="40" w:after="40"/>
            </w:pPr>
            <w:r>
              <w:rPr>
                <w:sz w:val="18"/>
              </w:rPr>
              <w:t>**Audit actor tracking**</w:t>
            </w:r>
          </w:p>
        </w:tc>
        <w:tc>
          <w:tcPr>
            <w:tcW w:type="dxa" w:w="3324"/>
            <w:shd w:val="clear" w:color="auto" w:fill="FFFFFF"/>
          </w:tcPr>
          <w:p>
            <w:pPr>
              <w:spacing w:before="40" w:after="40"/>
            </w:pPr>
            <w:r>
              <w:rPr>
                <w:sz w:val="18"/>
              </w:rPr>
              <w:t>Role from `localStorage`; no cryptographic binding</w:t>
            </w:r>
          </w:p>
        </w:tc>
        <w:tc>
          <w:tcPr>
            <w:tcW w:type="dxa" w:w="3324"/>
            <w:shd w:val="clear" w:color="auto" w:fill="FFFFFF"/>
          </w:tcPr>
          <w:p>
            <w:pPr>
              <w:spacing w:before="40" w:after="40"/>
            </w:pPr>
            <w:r>
              <w:rPr>
                <w:sz w:val="18"/>
              </w:rPr>
              <w:t>Server-side actor recording; tamper-evident audit logs</w:t>
            </w:r>
          </w:p>
        </w:tc>
      </w:tr>
      <w:tr>
        <w:tc>
          <w:tcPr>
            <w:tcW w:type="dxa" w:w="3324"/>
            <w:shd w:val="clear" w:color="auto" w:fill="FFF7F7"/>
          </w:tcPr>
          <w:p>
            <w:pPr>
              <w:spacing w:before="40" w:after="40"/>
            </w:pPr>
            <w:r>
              <w:rPr>
                <w:sz w:val="18"/>
              </w:rPr>
              <w:t>**Email reminders**</w:t>
            </w:r>
          </w:p>
        </w:tc>
        <w:tc>
          <w:tcPr>
            <w:tcW w:type="dxa" w:w="3324"/>
            <w:shd w:val="clear" w:color="auto" w:fill="FFF7F7"/>
          </w:tcPr>
          <w:p>
            <w:pPr>
              <w:spacing w:before="40" w:after="40"/>
            </w:pPr>
            <w:r>
              <w:rPr>
                <w:sz w:val="18"/>
              </w:rPr>
              <w:t>Simulated email preview only; no real delivery</w:t>
            </w:r>
          </w:p>
        </w:tc>
        <w:tc>
          <w:tcPr>
            <w:tcW w:type="dxa" w:w="3324"/>
            <w:shd w:val="clear" w:color="auto" w:fill="FFF7F7"/>
          </w:tcPr>
          <w:p>
            <w:pPr>
              <w:spacing w:before="40" w:after="40"/>
            </w:pPr>
            <w:r>
              <w:rPr>
                <w:sz w:val="18"/>
              </w:rPr>
              <w:t>SMTP gateway, SendGrid, or enterprise mail relay</w:t>
            </w:r>
          </w:p>
        </w:tc>
      </w:tr>
      <w:tr>
        <w:tc>
          <w:tcPr>
            <w:tcW w:type="dxa" w:w="3324"/>
            <w:shd w:val="clear" w:color="auto" w:fill="FFFFFF"/>
          </w:tcPr>
          <w:p>
            <w:pPr>
              <w:spacing w:before="40" w:after="40"/>
            </w:pPr>
            <w:r>
              <w:rPr>
                <w:sz w:val="18"/>
              </w:rPr>
              <w:t>**PDF export**</w:t>
            </w:r>
          </w:p>
        </w:tc>
        <w:tc>
          <w:tcPr>
            <w:tcW w:type="dxa" w:w="3324"/>
            <w:shd w:val="clear" w:color="auto" w:fill="FFFFFF"/>
          </w:tcPr>
          <w:p>
            <w:pPr>
              <w:spacing w:before="40" w:after="40"/>
            </w:pPr>
            <w:r>
              <w:rPr>
                <w:sz w:val="18"/>
              </w:rPr>
              <w:t>Browser print dialog</w:t>
            </w:r>
          </w:p>
        </w:tc>
        <w:tc>
          <w:tcPr>
            <w:tcW w:type="dxa" w:w="3324"/>
            <w:shd w:val="clear" w:color="auto" w:fill="FFFFFF"/>
          </w:tcPr>
          <w:p>
            <w:pPr>
              <w:spacing w:before="40" w:after="40"/>
            </w:pPr>
            <w:r>
              <w:rPr>
                <w:sz w:val="18"/>
              </w:rPr>
              <w:t>Server-side PDF generation (Puppeteer, WeasyPrint)</w:t>
            </w:r>
          </w:p>
        </w:tc>
      </w:tr>
      <w:tr>
        <w:tc>
          <w:tcPr>
            <w:tcW w:type="dxa" w:w="3324"/>
            <w:shd w:val="clear" w:color="auto" w:fill="FFF7F7"/>
          </w:tcPr>
          <w:p>
            <w:pPr>
              <w:spacing w:before="40" w:after="40"/>
            </w:pPr>
            <w:r>
              <w:rPr>
                <w:sz w:val="18"/>
              </w:rPr>
              <w:t>**Alert delivery**</w:t>
            </w:r>
          </w:p>
        </w:tc>
        <w:tc>
          <w:tcPr>
            <w:tcW w:type="dxa" w:w="3324"/>
            <w:shd w:val="clear" w:color="auto" w:fill="FFF7F7"/>
          </w:tcPr>
          <w:p>
            <w:pPr>
              <w:spacing w:before="40" w:after="40"/>
            </w:pPr>
            <w:r>
              <w:rPr>
                <w:sz w:val="18"/>
              </w:rPr>
              <w:t>Recomputed on each request; no push</w:t>
            </w:r>
          </w:p>
        </w:tc>
        <w:tc>
          <w:tcPr>
            <w:tcW w:type="dxa" w:w="3324"/>
            <w:shd w:val="clear" w:color="auto" w:fill="FFF7F7"/>
          </w:tcPr>
          <w:p>
            <w:pPr>
              <w:spacing w:before="40" w:after="40"/>
            </w:pPr>
            <w:r>
              <w:rPr>
                <w:sz w:val="18"/>
              </w:rPr>
              <w:t>Background job scheduler (cron, worker); WebSocket push</w:t>
            </w:r>
          </w:p>
        </w:tc>
      </w:tr>
      <w:tr>
        <w:tc>
          <w:tcPr>
            <w:tcW w:type="dxa" w:w="3324"/>
            <w:shd w:val="clear" w:color="auto" w:fill="FFFFFF"/>
          </w:tcPr>
          <w:p>
            <w:pPr>
              <w:spacing w:before="40" w:after="40"/>
            </w:pPr>
            <w:r>
              <w:rPr>
                <w:sz w:val="18"/>
              </w:rPr>
              <w:t>**Rate limiting**</w:t>
            </w:r>
          </w:p>
        </w:tc>
        <w:tc>
          <w:tcPr>
            <w:tcW w:type="dxa" w:w="3324"/>
            <w:shd w:val="clear" w:color="auto" w:fill="FFFFFF"/>
          </w:tcPr>
          <w:p>
            <w:pPr>
              <w:spacing w:before="40" w:after="40"/>
            </w:pPr>
            <w:r>
              <w:rPr>
                <w:sz w:val="18"/>
              </w:rPr>
              <w:t>None</w:t>
            </w:r>
          </w:p>
        </w:tc>
        <w:tc>
          <w:tcPr>
            <w:tcW w:type="dxa" w:w="3324"/>
            <w:shd w:val="clear" w:color="auto" w:fill="FFFFFF"/>
          </w:tcPr>
          <w:p>
            <w:pPr>
              <w:spacing w:before="40" w:after="40"/>
            </w:pPr>
            <w:r>
              <w:rPr>
                <w:sz w:val="18"/>
              </w:rPr>
              <w:t>Express rate-limiter; API gateway throttling</w:t>
            </w:r>
          </w:p>
        </w:tc>
      </w:tr>
      <w:tr>
        <w:tc>
          <w:tcPr>
            <w:tcW w:type="dxa" w:w="3324"/>
            <w:shd w:val="clear" w:color="auto" w:fill="FFF7F7"/>
          </w:tcPr>
          <w:p>
            <w:pPr>
              <w:spacing w:before="40" w:after="40"/>
            </w:pPr>
            <w:r>
              <w:rPr>
                <w:sz w:val="18"/>
              </w:rPr>
              <w:t>**Security headers**</w:t>
            </w:r>
          </w:p>
        </w:tc>
        <w:tc>
          <w:tcPr>
            <w:tcW w:type="dxa" w:w="3324"/>
            <w:shd w:val="clear" w:color="auto" w:fill="FFF7F7"/>
          </w:tcPr>
          <w:p>
            <w:pPr>
              <w:spacing w:before="40" w:after="40"/>
            </w:pPr>
            <w:r>
              <w:rPr>
                <w:sz w:val="18"/>
              </w:rPr>
              <w:t>Minimal</w:t>
            </w:r>
          </w:p>
        </w:tc>
        <w:tc>
          <w:tcPr>
            <w:tcW w:type="dxa" w:w="3324"/>
            <w:shd w:val="clear" w:color="auto" w:fill="FFF7F7"/>
          </w:tcPr>
          <w:p>
            <w:pPr>
              <w:spacing w:before="40" w:after="40"/>
            </w:pPr>
            <w:r>
              <w:rPr>
                <w:sz w:val="18"/>
              </w:rPr>
              <w:t>Helmet.js; Content-Security-Policy; HSTS</w:t>
            </w:r>
          </w:p>
        </w:tc>
      </w:tr>
      <w:tr>
        <w:tc>
          <w:tcPr>
            <w:tcW w:type="dxa" w:w="3324"/>
            <w:shd w:val="clear" w:color="auto" w:fill="FFFFFF"/>
          </w:tcPr>
          <w:p>
            <w:pPr>
              <w:spacing w:before="40" w:after="40"/>
            </w:pPr>
            <w:r>
              <w:rPr>
                <w:sz w:val="18"/>
              </w:rPr>
              <w:t>**Input validation**</w:t>
            </w:r>
          </w:p>
        </w:tc>
        <w:tc>
          <w:tcPr>
            <w:tcW w:type="dxa" w:w="3324"/>
            <w:shd w:val="clear" w:color="auto" w:fill="FFFFFF"/>
          </w:tcPr>
          <w:p>
            <w:pPr>
              <w:spacing w:before="40" w:after="40"/>
            </w:pPr>
            <w:r>
              <w:rPr>
                <w:sz w:val="18"/>
              </w:rPr>
              <w:t>Basic frontend + backend checks</w:t>
            </w:r>
          </w:p>
        </w:tc>
        <w:tc>
          <w:tcPr>
            <w:tcW w:type="dxa" w:w="3324"/>
            <w:shd w:val="clear" w:color="auto" w:fill="FFFFFF"/>
          </w:tcPr>
          <w:p>
            <w:pPr>
              <w:spacing w:before="40" w:after="40"/>
            </w:pPr>
            <w:r>
              <w:rPr>
                <w:sz w:val="18"/>
              </w:rPr>
              <w:t>Joi/Zod schema validation; parameterised queries</w:t>
            </w:r>
          </w:p>
        </w:tc>
      </w:tr>
      <w:tr>
        <w:tc>
          <w:tcPr>
            <w:tcW w:type="dxa" w:w="3324"/>
            <w:shd w:val="clear" w:color="auto" w:fill="FFF7F7"/>
          </w:tcPr>
          <w:p>
            <w:pPr>
              <w:spacing w:before="40" w:after="40"/>
            </w:pPr>
            <w:r>
              <w:rPr>
                <w:sz w:val="18"/>
              </w:rPr>
              <w:t>**Multi-user concurrency**</w:t>
            </w:r>
          </w:p>
        </w:tc>
        <w:tc>
          <w:tcPr>
            <w:tcW w:type="dxa" w:w="3324"/>
            <w:shd w:val="clear" w:color="auto" w:fill="FFF7F7"/>
          </w:tcPr>
          <w:p>
            <w:pPr>
              <w:spacing w:before="40" w:after="40"/>
            </w:pPr>
            <w:r>
              <w:rPr>
                <w:sz w:val="18"/>
              </w:rPr>
              <w:t>JSON writes are not atomic</w:t>
            </w:r>
          </w:p>
        </w:tc>
        <w:tc>
          <w:tcPr>
            <w:tcW w:type="dxa" w:w="3324"/>
            <w:shd w:val="clear" w:color="auto" w:fill="FFF7F7"/>
          </w:tcPr>
          <w:p>
            <w:pPr>
              <w:spacing w:before="40" w:after="40"/>
            </w:pPr>
            <w:r>
              <w:rPr>
                <w:sz w:val="18"/>
              </w:rPr>
              <w:t>Database transactions; optimistic locking</w:t>
            </w:r>
          </w:p>
        </w:tc>
      </w:tr>
      <w:tr>
        <w:tc>
          <w:tcPr>
            <w:tcW w:type="dxa" w:w="3324"/>
            <w:shd w:val="clear" w:color="auto" w:fill="FFFFFF"/>
          </w:tcPr>
          <w:p>
            <w:pPr>
              <w:spacing w:before="40" w:after="40"/>
            </w:pPr>
            <w:r>
              <w:rPr>
                <w:sz w:val="18"/>
              </w:rPr>
              <w:t>**Data encryption at rest**</w:t>
            </w:r>
          </w:p>
        </w:tc>
        <w:tc>
          <w:tcPr>
            <w:tcW w:type="dxa" w:w="3324"/>
            <w:shd w:val="clear" w:color="auto" w:fill="FFFFFF"/>
          </w:tcPr>
          <w:p>
            <w:pPr>
              <w:spacing w:before="40" w:after="40"/>
            </w:pPr>
            <w:r>
              <w:rPr>
                <w:sz w:val="18"/>
              </w:rPr>
              <w:t>No encryption</w:t>
            </w:r>
          </w:p>
        </w:tc>
        <w:tc>
          <w:tcPr>
            <w:tcW w:type="dxa" w:w="3324"/>
            <w:shd w:val="clear" w:color="auto" w:fill="FFFFFF"/>
          </w:tcPr>
          <w:p>
            <w:pPr>
              <w:spacing w:before="40" w:after="40"/>
            </w:pPr>
            <w:r>
              <w:rPr>
                <w:sz w:val="18"/>
              </w:rPr>
              <w:t>Database-level encryption; field-level encryption for PII</w:t>
            </w:r>
          </w:p>
        </w:tc>
      </w:tr>
    </w:tbl>
    <w:p/>
    <w:p>
      <w:pPr>
        <w:spacing w:after="120"/>
      </w:pPr>
      <w:r>
        <w:rPr>
          <w:b w:val="0"/>
        </w:rPr>
        <w:t>These limitations are clearly scoped to the prototype. The architecture is designed so that each limitation has a direct production replacement path.</w:t>
      </w:r>
    </w:p>
    <w:p>
      <w:pPr>
        <w:pStyle w:val="Heading2"/>
      </w:pPr>
      <w:r>
        <w:rPr>
          <w:color w:val="991B1B"/>
          <w:sz w:val="28"/>
        </w:rPr>
        <w:t>18. Production Roadmap</w:t>
      </w:r>
    </w:p>
    <w:p>
      <w:pPr>
        <w:spacing w:after="120"/>
      </w:pPr>
      <w:r>
        <w:rPr>
          <w:b w:val="0"/>
        </w:rPr>
        <w:t>The following enhancements would be required to deploy RiskWaiver360 as a production enterprise system:</w:t>
      </w:r>
    </w:p>
    <w:p>
      <w:pPr>
        <w:pStyle w:val="Heading3"/>
      </w:pPr>
      <w:r>
        <w:rPr>
          <w:color w:val="1E293B"/>
          <w:sz w:val="24"/>
        </w:rPr>
        <w:t>Security and Identity</w:t>
      </w:r>
    </w:p>
    <w:p>
      <w:pPr>
        <w:pStyle w:val="ListBullet"/>
        <w:spacing w:after="60"/>
      </w:pPr>
      <w:r>
        <w:rPr>
          <w:b/>
        </w:rPr>
        <w:t>SSO / OIDC integration</w:t>
      </w:r>
      <w:r>
        <w:rPr>
          <w:b w:val="0"/>
        </w:rPr>
        <w:t xml:space="preserve"> — Okta, Microsoft Entra ID, Ping Identity, or any SAML 2.0 / OAuth 2.0 compliant IdP</w:t>
      </w:r>
    </w:p>
    <w:p>
      <w:pPr>
        <w:pStyle w:val="ListBullet"/>
        <w:spacing w:after="60"/>
      </w:pPr>
      <w:r>
        <w:rPr>
          <w:b/>
        </w:rPr>
        <w:t>Backend RBAC</w:t>
      </w:r>
      <w:r>
        <w:rPr>
          <w:b w:val="0"/>
        </w:rPr>
        <w:t xml:space="preserve"> — every API endpoint enforces role-based permission checks server-side; no client-provided role is trusted</w:t>
      </w:r>
    </w:p>
    <w:p>
      <w:pPr>
        <w:pStyle w:val="ListBullet"/>
        <w:spacing w:after="60"/>
      </w:pPr>
      <w:r>
        <w:rPr>
          <w:b/>
        </w:rPr>
        <w:t>Secure sessions</w:t>
      </w:r>
      <w:r>
        <w:rPr>
          <w:b w:val="0"/>
        </w:rPr>
        <w:t xml:space="preserve"> — HTTP-only cookies; refresh token rotation; idle timeout; concurrent session limits</w:t>
      </w:r>
    </w:p>
    <w:p>
      <w:pPr>
        <w:pStyle w:val="ListBullet"/>
        <w:spacing w:after="60"/>
      </w:pPr>
      <w:r>
        <w:rPr>
          <w:b/>
        </w:rPr>
        <w:t>Server-side authorization</w:t>
      </w:r>
      <w:r>
        <w:rPr>
          <w:b w:val="0"/>
        </w:rPr>
        <w:t xml:space="preserve"> — the backend validates every action (approve, revoke, renew) against the authenticated actor's actual role and permissions</w:t>
      </w:r>
    </w:p>
    <w:p>
      <w:pPr>
        <w:pStyle w:val="ListBullet"/>
        <w:spacing w:after="60"/>
      </w:pPr>
      <w:r>
        <w:rPr>
          <w:b/>
        </w:rPr>
        <w:t>Audit-safe actor tracking</w:t>
      </w:r>
      <w:r>
        <w:rPr>
          <w:b w:val="0"/>
        </w:rPr>
        <w:t xml:space="preserve"> — the system records the authenticated server-verified actor identity, not a client-provided string</w:t>
      </w:r>
    </w:p>
    <w:p>
      <w:pPr>
        <w:pStyle w:val="Heading3"/>
      </w:pPr>
      <w:r>
        <w:rPr>
          <w:color w:val="1E293B"/>
          <w:sz w:val="24"/>
        </w:rPr>
        <w:t>Data and Storage</w:t>
      </w:r>
    </w:p>
    <w:p>
      <w:pPr>
        <w:pStyle w:val="ListBullet"/>
        <w:spacing w:after="60"/>
      </w:pPr>
      <w:r>
        <w:rPr>
          <w:b/>
        </w:rPr>
        <w:t>PostgreSQL or MongoDB</w:t>
      </w:r>
      <w:r>
        <w:rPr>
          <w:b w:val="0"/>
        </w:rPr>
        <w:t xml:space="preserve"> — transactional persistence; concurrent write safety; referential integrity</w:t>
      </w:r>
    </w:p>
    <w:p>
      <w:pPr>
        <w:pStyle w:val="ListBullet"/>
        <w:spacing w:after="60"/>
      </w:pPr>
      <w:r>
        <w:rPr>
          <w:b/>
        </w:rPr>
        <w:t>Database-level encryption</w:t>
      </w:r>
      <w:r>
        <w:rPr>
          <w:b w:val="0"/>
        </w:rPr>
        <w:t xml:space="preserve"> — sensitive fields (justifications, owner PII) encrypted at rest</w:t>
      </w:r>
    </w:p>
    <w:p>
      <w:pPr>
        <w:pStyle w:val="ListBullet"/>
        <w:spacing w:after="60"/>
      </w:pPr>
      <w:r>
        <w:rPr>
          <w:b/>
        </w:rPr>
        <w:t>Automated backups</w:t>
      </w:r>
      <w:r>
        <w:rPr>
          <w:b w:val="0"/>
        </w:rPr>
        <w:t xml:space="preserve"> — scheduled snapshots with point-in-time recovery</w:t>
      </w:r>
    </w:p>
    <w:p>
      <w:pPr>
        <w:pStyle w:val="Heading3"/>
      </w:pPr>
      <w:r>
        <w:rPr>
          <w:color w:val="1E293B"/>
          <w:sz w:val="24"/>
        </w:rPr>
        <w:t>Infrastructure and Hardening</w:t>
      </w:r>
    </w:p>
    <w:p>
      <w:pPr>
        <w:pStyle w:val="ListBullet"/>
        <w:spacing w:after="60"/>
      </w:pPr>
      <w:r>
        <w:rPr>
          <w:b/>
        </w:rPr>
        <w:t>Rate limiting</w:t>
      </w:r>
      <w:r>
        <w:rPr>
          <w:b w:val="0"/>
        </w:rPr>
        <w:t xml:space="preserve"> — per-IP and per-user rate limits on all API endpoints</w:t>
      </w:r>
    </w:p>
    <w:p>
      <w:pPr>
        <w:pStyle w:val="ListBullet"/>
        <w:spacing w:after="60"/>
      </w:pPr>
      <w:r>
        <w:rPr>
          <w:b/>
        </w:rPr>
        <w:t>Security headers</w:t>
      </w:r>
      <w:r>
        <w:rPr>
          <w:b w:val="0"/>
        </w:rPr>
        <w:t xml:space="preserve"> — Helmet.js, strict Content-Security-Policy, HSTS, X-Frame-Options</w:t>
      </w:r>
    </w:p>
    <w:p>
      <w:pPr>
        <w:pStyle w:val="ListBullet"/>
        <w:spacing w:after="60"/>
      </w:pPr>
      <w:r>
        <w:rPr>
          <w:b/>
        </w:rPr>
        <w:t>Input validation</w:t>
      </w:r>
      <w:r>
        <w:rPr>
          <w:b w:val="0"/>
        </w:rPr>
        <w:t xml:space="preserve"> — Joi or Zod schema validation on every API request body</w:t>
      </w:r>
    </w:p>
    <w:p>
      <w:pPr>
        <w:pStyle w:val="ListBullet"/>
        <w:spacing w:after="60"/>
      </w:pPr>
      <w:r>
        <w:rPr>
          <w:b/>
        </w:rPr>
        <w:t>Logging and monitoring</w:t>
      </w:r>
      <w:r>
        <w:rPr>
          <w:b w:val="0"/>
        </w:rPr>
        <w:t xml:space="preserve"> — structured application logs; SIEM integration; error alerting</w:t>
      </w:r>
    </w:p>
    <w:p>
      <w:pPr>
        <w:pStyle w:val="Heading3"/>
      </w:pPr>
      <w:r>
        <w:rPr>
          <w:color w:val="1E293B"/>
          <w:sz w:val="24"/>
        </w:rPr>
        <w:t>Integrations</w:t>
      </w:r>
    </w:p>
    <w:p>
      <w:pPr>
        <w:pStyle w:val="ListBullet"/>
        <w:spacing w:after="60"/>
      </w:pPr>
      <w:r>
        <w:rPr>
          <w:b/>
        </w:rPr>
        <w:t>CMDB integration</w:t>
      </w:r>
      <w:r>
        <w:rPr>
          <w:b w:val="0"/>
        </w:rPr>
        <w:t xml:space="preserve"> — pull the asset inventory and criticality directly from the enterprise Configuration Management Database (ServiceNow CMDB, Qualys, etc.) for accurate risk scoring</w:t>
      </w:r>
    </w:p>
    <w:p>
      <w:pPr>
        <w:pStyle w:val="ListBullet"/>
        <w:spacing w:after="60"/>
      </w:pPr>
      <w:r>
        <w:rPr>
          <w:b/>
        </w:rPr>
        <w:t>Okta / Microsoft Entra</w:t>
      </w:r>
      <w:r>
        <w:rPr>
          <w:b w:val="0"/>
        </w:rPr>
        <w:t xml:space="preserve"> — SSO and identity lifecycle; when a user is deprovisioned in the IdP, their owned exceptions are automatically flagged orphaned</w:t>
      </w:r>
    </w:p>
    <w:p>
      <w:pPr>
        <w:pStyle w:val="ListBullet"/>
        <w:spacing w:after="60"/>
      </w:pPr>
      <w:r>
        <w:rPr>
          <w:b/>
        </w:rPr>
        <w:t>Jira / ServiceNow</w:t>
      </w:r>
      <w:r>
        <w:rPr>
          <w:b w:val="0"/>
        </w:rPr>
        <w:t xml:space="preserve"> — raise and sync exception requests as ITSM tickets; lifecycle state mirrors the ticket</w:t>
      </w:r>
    </w:p>
    <w:p>
      <w:pPr>
        <w:pStyle w:val="ListBullet"/>
        <w:spacing w:after="60"/>
      </w:pPr>
      <w:r>
        <w:rPr>
          <w:b/>
        </w:rPr>
        <w:t>SIEM (Splunk / Sentinel / QRadar)</w:t>
      </w:r>
      <w:r>
        <w:rPr>
          <w:b w:val="0"/>
        </w:rPr>
        <w:t xml:space="preserve"> — feed active high-risk exceptions as context enrichment so alerts on those systems are automatically elevated</w:t>
      </w:r>
    </w:p>
    <w:p>
      <w:pPr>
        <w:pStyle w:val="ListBullet"/>
        <w:spacing w:after="60"/>
      </w:pPr>
      <w:r>
        <w:rPr>
          <w:b/>
        </w:rPr>
        <w:t>Email gateway</w:t>
      </w:r>
      <w:r>
        <w:rPr>
          <w:b w:val="0"/>
        </w:rPr>
        <w:t xml:space="preserve"> — deliver expiry and orphan reminders via enterprise SMTP; support reply-to-approve flows</w:t>
      </w:r>
    </w:p>
    <w:p>
      <w:pPr>
        <w:pStyle w:val="Heading3"/>
      </w:pPr>
      <w:r>
        <w:rPr>
          <w:color w:val="1E293B"/>
          <w:sz w:val="24"/>
        </w:rPr>
        <w:t>Governance</w:t>
      </w:r>
    </w:p>
    <w:p>
      <w:pPr>
        <w:pStyle w:val="ListBullet"/>
        <w:spacing w:after="60"/>
      </w:pPr>
      <w:r>
        <w:rPr>
          <w:b/>
        </w:rPr>
        <w:t>Tamper-evident audit logs</w:t>
      </w:r>
      <w:r>
        <w:rPr>
          <w:b w:val="0"/>
        </w:rPr>
        <w:t xml:space="preserve"> — cryptographic hash chain on exception history entries; any modification is detectable</w:t>
      </w:r>
    </w:p>
    <w:p>
      <w:pPr>
        <w:pStyle w:val="ListBullet"/>
        <w:spacing w:after="60"/>
      </w:pPr>
      <w:r>
        <w:rPr>
          <w:b/>
        </w:rPr>
        <w:t>Auto-revocation</w:t>
      </w:r>
      <w:r>
        <w:rPr>
          <w:b w:val="0"/>
        </w:rPr>
        <w:t xml:space="preserve"> — a scheduled background job automatically revokes overdue exceptions after a configurable grace period</w:t>
      </w:r>
    </w:p>
    <w:p>
      <w:pPr>
        <w:pStyle w:val="ListBullet"/>
        <w:spacing w:after="60"/>
      </w:pPr>
      <w:r>
        <w:rPr>
          <w:b/>
        </w:rPr>
        <w:t>Real PDF auditor pack</w:t>
      </w:r>
      <w:r>
        <w:rPr>
          <w:b w:val="0"/>
        </w:rPr>
        <w:t xml:space="preserve"> — server-side PDF generation with digital signature support</w:t>
      </w:r>
    </w:p>
    <w:p>
      <w:pPr>
        <w:pStyle w:val="ListBullet"/>
        <w:spacing w:after="60"/>
      </w:pPr>
      <w:r>
        <w:rPr>
          <w:b/>
        </w:rPr>
        <w:t>Multi-tenant support</w:t>
      </w:r>
      <w:r>
        <w:rPr>
          <w:b w:val="0"/>
        </w:rPr>
        <w:t xml:space="preserve"> — logical isolation between business units or subsidiaries</w:t>
      </w:r>
    </w:p>
    <w:p>
      <w:pPr>
        <w:pStyle w:val="Heading2"/>
      </w:pPr>
      <w:r>
        <w:rPr>
          <w:color w:val="991B1B"/>
          <w:sz w:val="28"/>
        </w:rPr>
        <w:t>19. Future AI Enhancements</w:t>
      </w:r>
    </w:p>
    <w:p>
      <w:pPr>
        <w:pStyle w:val="Heading3"/>
      </w:pPr>
      <w:r>
        <w:rPr>
          <w:color w:val="1E293B"/>
          <w:sz w:val="24"/>
        </w:rPr>
        <w:t>Current State</w:t>
      </w:r>
    </w:p>
    <w:p>
      <w:pPr>
        <w:spacing w:after="120"/>
      </w:pPr>
      <w:r>
        <w:rPr>
          <w:b w:val="0"/>
        </w:rPr>
        <w:t xml:space="preserve">The RiskWaiver360 prototype is </w:t>
      </w:r>
      <w:r>
        <w:rPr>
          <w:b/>
        </w:rPr>
        <w:t>fully rule-based and explainable</w:t>
      </w:r>
      <w:r>
        <w:rPr>
          <w:b w:val="0"/>
        </w:rPr>
        <w:t>. Every risk score, alert, and recommendation can be traced to a specific rule with a specific weight. This is intentional for the hackathon prototype — judges and auditors can verify the logic without needing to understand a machine learning model.</w:t>
      </w:r>
    </w:p>
    <w:p>
      <w:pPr>
        <w:spacing w:after="120"/>
      </w:pPr>
      <w:r>
        <w:rPr>
          <w:b/>
        </w:rPr>
        <w:t>The current prototype is not AI-powered.</w:t>
      </w:r>
    </w:p>
    <w:p>
      <w:pPr>
        <w:pStyle w:val="Heading3"/>
      </w:pPr>
      <w:r>
        <w:rPr>
          <w:color w:val="1E293B"/>
          <w:sz w:val="24"/>
        </w:rPr>
        <w:t>Planned AI Capabilities (Future Scope)</w:t>
      </w:r>
    </w:p>
    <w:p>
      <w:pPr>
        <w:spacing w:after="120"/>
      </w:pPr>
      <w:r>
        <w:rPr>
          <w:b w:val="0"/>
        </w:rPr>
        <w:t>The platform is architecturally ready to incorporate AI-based intelligence as a future enhancement layer without replacing the core rule-based engine: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991B1B"/>
          </w:tcPr>
          <w:p>
            <w:pPr>
              <w:spacing w:before="60" w:after="60"/>
            </w:pPr>
            <w:r>
              <w:rPr>
                <w:b/>
                <w:color w:val="FFFFFF"/>
                <w:sz w:val="18"/>
              </w:rPr>
              <w:t>AI Feature</w:t>
            </w:r>
          </w:p>
        </w:tc>
        <w:tc>
          <w:tcPr>
            <w:tcW w:type="dxa" w:w="3324"/>
            <w:shd w:val="clear" w:color="auto" w:fill="991B1B"/>
          </w:tcPr>
          <w:p>
            <w:pPr>
              <w:spacing w:before="60" w:after="60"/>
            </w:pPr>
            <w:r>
              <w:rPr>
                <w:b/>
                <w:color w:val="FFFFFF"/>
                <w:sz w:val="18"/>
              </w:rPr>
              <w:t>Description</w:t>
            </w:r>
          </w:p>
        </w:tc>
        <w:tc>
          <w:tcPr>
            <w:tcW w:type="dxa" w:w="3324"/>
            <w:shd w:val="clear" w:color="auto" w:fill="991B1B"/>
          </w:tcPr>
          <w:p>
            <w:pPr>
              <w:spacing w:before="60" w:after="60"/>
            </w:pPr>
            <w:r>
              <w:rPr>
                <w:b/>
                <w:color w:val="FFFFFF"/>
                <w:sz w:val="18"/>
              </w:rPr>
              <w:t>Value Delivered</w:t>
            </w:r>
          </w:p>
        </w:tc>
      </w:tr>
      <w:tr>
        <w:tc>
          <w:tcPr>
            <w:tcW w:type="dxa" w:w="3324"/>
            <w:shd w:val="clear" w:color="auto" w:fill="FFFFFF"/>
          </w:tcPr>
          <w:p>
            <w:pPr>
              <w:spacing w:before="40" w:after="40"/>
            </w:pPr>
            <w:r>
              <w:rPr>
                <w:sz w:val="18"/>
              </w:rPr>
              <w:t>**Vague Justification Detection**</w:t>
            </w:r>
          </w:p>
        </w:tc>
        <w:tc>
          <w:tcPr>
            <w:tcW w:type="dxa" w:w="3324"/>
            <w:shd w:val="clear" w:color="auto" w:fill="FFFFFF"/>
          </w:tcPr>
          <w:p>
            <w:pPr>
              <w:spacing w:before="40" w:after="40"/>
            </w:pPr>
            <w:r>
              <w:rPr>
                <w:sz w:val="18"/>
              </w:rPr>
              <w:t>NLP model trained on historical justifications to flag low-quality or evasive text</w:t>
            </w:r>
          </w:p>
        </w:tc>
        <w:tc>
          <w:tcPr>
            <w:tcW w:type="dxa" w:w="3324"/>
            <w:shd w:val="clear" w:color="auto" w:fill="FFFFFF"/>
          </w:tcPr>
          <w:p>
            <w:pPr>
              <w:spacing w:before="40" w:after="40"/>
            </w:pPr>
            <w:r>
              <w:rPr>
                <w:sz w:val="18"/>
              </w:rPr>
              <w:t>Reduces the risk of rubber-stamping poorly justified exceptions</w:t>
            </w:r>
          </w:p>
        </w:tc>
      </w:tr>
      <w:tr>
        <w:tc>
          <w:tcPr>
            <w:tcW w:type="dxa" w:w="3324"/>
            <w:shd w:val="clear" w:color="auto" w:fill="FFF7F7"/>
          </w:tcPr>
          <w:p>
            <w:pPr>
              <w:spacing w:before="40" w:after="40"/>
            </w:pPr>
            <w:r>
              <w:rPr>
                <w:sz w:val="18"/>
              </w:rPr>
              <w:t>**Anomaly Detection**</w:t>
            </w:r>
          </w:p>
        </w:tc>
        <w:tc>
          <w:tcPr>
            <w:tcW w:type="dxa" w:w="3324"/>
            <w:shd w:val="clear" w:color="auto" w:fill="FFF7F7"/>
          </w:tcPr>
          <w:p>
            <w:pPr>
              <w:spacing w:before="40" w:after="40"/>
            </w:pPr>
            <w:r>
              <w:rPr>
                <w:sz w:val="18"/>
              </w:rPr>
              <w:t>Machine learning on exception submission patterns to flag unusual frequency, unusual requesters, or unusual exception types</w:t>
            </w:r>
          </w:p>
        </w:tc>
        <w:tc>
          <w:tcPr>
            <w:tcW w:type="dxa" w:w="3324"/>
            <w:shd w:val="clear" w:color="auto" w:fill="FFF7F7"/>
          </w:tcPr>
          <w:p>
            <w:pPr>
              <w:spacing w:before="40" w:after="40"/>
            </w:pPr>
            <w:r>
              <w:rPr>
                <w:sz w:val="18"/>
              </w:rPr>
              <w:t>Surfaces potentially fraudulent or policy-gaming behaviour</w:t>
            </w:r>
          </w:p>
        </w:tc>
      </w:tr>
      <w:tr>
        <w:tc>
          <w:tcPr>
            <w:tcW w:type="dxa" w:w="3324"/>
            <w:shd w:val="clear" w:color="auto" w:fill="FFFFFF"/>
          </w:tcPr>
          <w:p>
            <w:pPr>
              <w:spacing w:before="40" w:after="40"/>
            </w:pPr>
            <w:r>
              <w:rPr>
                <w:sz w:val="18"/>
              </w:rPr>
              <w:t>**AI Recommendation Engine**</w:t>
            </w:r>
          </w:p>
        </w:tc>
        <w:tc>
          <w:tcPr>
            <w:tcW w:type="dxa" w:w="3324"/>
            <w:shd w:val="clear" w:color="auto" w:fill="FFFFFF"/>
          </w:tcPr>
          <w:p>
            <w:pPr>
              <w:spacing w:before="40" w:after="40"/>
            </w:pPr>
            <w:r>
              <w:rPr>
                <w:sz w:val="18"/>
              </w:rPr>
              <w:t>Model trained on historical approval decisions and outcomes to recommend approve/reject with confidence score</w:t>
            </w:r>
          </w:p>
        </w:tc>
        <w:tc>
          <w:tcPr>
            <w:tcW w:type="dxa" w:w="3324"/>
            <w:shd w:val="clear" w:color="auto" w:fill="FFFFFF"/>
          </w:tcPr>
          <w:p>
            <w:pPr>
              <w:spacing w:before="40" w:after="40"/>
            </w:pPr>
            <w:r>
              <w:rPr>
                <w:sz w:val="18"/>
              </w:rPr>
              <w:t>Reduces manual triage time for reviewers</w:t>
            </w:r>
          </w:p>
        </w:tc>
      </w:tr>
      <w:tr>
        <w:tc>
          <w:tcPr>
            <w:tcW w:type="dxa" w:w="3324"/>
            <w:shd w:val="clear" w:color="auto" w:fill="FFF7F7"/>
          </w:tcPr>
          <w:p>
            <w:pPr>
              <w:spacing w:before="40" w:after="40"/>
            </w:pPr>
            <w:r>
              <w:rPr>
                <w:sz w:val="18"/>
              </w:rPr>
              <w:t>**RAG Policy Assistant**</w:t>
            </w:r>
          </w:p>
        </w:tc>
        <w:tc>
          <w:tcPr>
            <w:tcW w:type="dxa" w:w="3324"/>
            <w:shd w:val="clear" w:color="auto" w:fill="FFF7F7"/>
          </w:tcPr>
          <w:p>
            <w:pPr>
              <w:spacing w:before="40" w:after="40"/>
            </w:pPr>
            <w:r>
              <w:rPr>
                <w:sz w:val="18"/>
              </w:rPr>
              <w:t>Retrieval-Augmented Generation over the policy document library to answer "does this exception violate policy X?"</w:t>
            </w:r>
          </w:p>
        </w:tc>
        <w:tc>
          <w:tcPr>
            <w:tcW w:type="dxa" w:w="3324"/>
            <w:shd w:val="clear" w:color="auto" w:fill="FFF7F7"/>
          </w:tcPr>
          <w:p>
            <w:pPr>
              <w:spacing w:before="40" w:after="40"/>
            </w:pPr>
            <w:r>
              <w:rPr>
                <w:sz w:val="18"/>
              </w:rPr>
              <w:t>Enables reviewers to quickly check policy alignment without reading full documents</w:t>
            </w:r>
          </w:p>
        </w:tc>
      </w:tr>
      <w:tr>
        <w:tc>
          <w:tcPr>
            <w:tcW w:type="dxa" w:w="3324"/>
            <w:shd w:val="clear" w:color="auto" w:fill="FFFFFF"/>
          </w:tcPr>
          <w:p>
            <w:pPr>
              <w:spacing w:before="40" w:after="40"/>
            </w:pPr>
            <w:r>
              <w:rPr>
                <w:sz w:val="18"/>
              </w:rPr>
              <w:t>**Automated Audit Summary**</w:t>
            </w:r>
          </w:p>
        </w:tc>
        <w:tc>
          <w:tcPr>
            <w:tcW w:type="dxa" w:w="3324"/>
            <w:shd w:val="clear" w:color="auto" w:fill="FFFFFF"/>
          </w:tcPr>
          <w:p>
            <w:pPr>
              <w:spacing w:before="40" w:after="40"/>
            </w:pPr>
            <w:r>
              <w:rPr>
                <w:sz w:val="18"/>
              </w:rPr>
              <w:t>LLM-generated narrative audit summary from structured exception data</w:t>
            </w:r>
          </w:p>
        </w:tc>
        <w:tc>
          <w:tcPr>
            <w:tcW w:type="dxa" w:w="3324"/>
            <w:shd w:val="clear" w:color="auto" w:fill="FFFFFF"/>
          </w:tcPr>
          <w:p>
            <w:pPr>
              <w:spacing w:before="40" w:after="40"/>
            </w:pPr>
            <w:r>
              <w:rPr>
                <w:sz w:val="18"/>
              </w:rPr>
              <w:t>Produces audit-ready written summaries that auditors can include in reports</w:t>
            </w:r>
          </w:p>
        </w:tc>
      </w:tr>
      <w:tr>
        <w:tc>
          <w:tcPr>
            <w:tcW w:type="dxa" w:w="3324"/>
            <w:shd w:val="clear" w:color="auto" w:fill="FFF7F7"/>
          </w:tcPr>
          <w:p>
            <w:pPr>
              <w:spacing w:before="40" w:after="40"/>
            </w:pPr>
            <w:r>
              <w:rPr>
                <w:sz w:val="18"/>
              </w:rPr>
              <w:t>**Predictive Escalation**</w:t>
            </w:r>
          </w:p>
        </w:tc>
        <w:tc>
          <w:tcPr>
            <w:tcW w:type="dxa" w:w="3324"/>
            <w:shd w:val="clear" w:color="auto" w:fill="FFF7F7"/>
          </w:tcPr>
          <w:p>
            <w:pPr>
              <w:spacing w:before="40" w:after="40"/>
            </w:pPr>
            <w:r>
              <w:rPr>
                <w:sz w:val="18"/>
              </w:rPr>
              <w:t>Model that predicts which active exceptions are likely to become critical based on pattern matching with historical cases</w:t>
            </w:r>
          </w:p>
        </w:tc>
        <w:tc>
          <w:tcPr>
            <w:tcW w:type="dxa" w:w="3324"/>
            <w:shd w:val="clear" w:color="auto" w:fill="FFF7F7"/>
          </w:tcPr>
          <w:p>
            <w:pPr>
              <w:spacing w:before="40" w:after="40"/>
            </w:pPr>
            <w:r>
              <w:rPr>
                <w:sz w:val="18"/>
              </w:rPr>
              <w:t>Enables proactive intervention before exceptions become crises</w:t>
            </w:r>
          </w:p>
        </w:tc>
      </w:tr>
      <w:tr>
        <w:tc>
          <w:tcPr>
            <w:tcW w:type="dxa" w:w="3324"/>
            <w:shd w:val="clear" w:color="auto" w:fill="FFFFFF"/>
          </w:tcPr>
          <w:p>
            <w:pPr>
              <w:spacing w:before="40" w:after="40"/>
            </w:pPr>
            <w:r>
              <w:rPr>
                <w:sz w:val="18"/>
              </w:rPr>
              <w:t>**AI-Assisted Compliance Mapping**</w:t>
            </w:r>
          </w:p>
        </w:tc>
        <w:tc>
          <w:tcPr>
            <w:tcW w:type="dxa" w:w="3324"/>
            <w:shd w:val="clear" w:color="auto" w:fill="FFFFFF"/>
          </w:tcPr>
          <w:p>
            <w:pPr>
              <w:spacing w:before="40" w:after="40"/>
            </w:pPr>
            <w:r>
              <w:rPr>
                <w:sz w:val="18"/>
              </w:rPr>
              <w:t>Automatically map exception types and policies to NIST, ISO 27001, GDPR, and CIS Controls</w:t>
            </w:r>
          </w:p>
        </w:tc>
        <w:tc>
          <w:tcPr>
            <w:tcW w:type="dxa" w:w="3324"/>
            <w:shd w:val="clear" w:color="auto" w:fill="FFFFFF"/>
          </w:tcPr>
          <w:p>
            <w:pPr>
              <w:spacing w:before="40" w:after="40"/>
            </w:pPr>
            <w:r>
              <w:rPr>
                <w:sz w:val="18"/>
              </w:rPr>
              <w:t>Reduces manual compliance tagging effort</w:t>
            </w:r>
          </w:p>
        </w:tc>
      </w:tr>
    </w:tbl>
    <w:p/>
    <w:p>
      <w:pPr>
        <w:spacing w:after="120"/>
        <w:ind w:left="432"/>
      </w:pPr>
      <w:r>
        <w:rPr>
          <w:i/>
          <w:color w:val="475569"/>
        </w:rPr>
        <w:t>These AI capabilities are future enhancements only. They are not present in the current hackathon submission. The prototype focuses on delivering a clear, correct, and auditable foundation that AI can later be built on top of.</w:t>
      </w:r>
    </w:p>
    <w:p>
      <w:pPr>
        <w:pStyle w:val="Heading2"/>
      </w:pPr>
      <w:r>
        <w:rPr>
          <w:color w:val="991B1B"/>
          <w:sz w:val="28"/>
        </w:rPr>
        <w:t>20. Conclusion</w:t>
      </w:r>
    </w:p>
    <w:p>
      <w:pPr>
        <w:pStyle w:val="Heading3"/>
      </w:pPr>
      <w:r>
        <w:rPr>
          <w:color w:val="1E293B"/>
          <w:sz w:val="24"/>
        </w:rPr>
        <w:t>What RiskWaiver360 Delivers</w:t>
      </w:r>
    </w:p>
    <w:p>
      <w:pPr>
        <w:spacing w:after="120"/>
      </w:pPr>
      <w:r>
        <w:rPr>
          <w:b w:val="0"/>
        </w:rPr>
        <w:t>RiskWaiver360 transforms the way enterprises manage security policy exceptions — moving from scattered emails, Excel sheets, and informal approvals to a centralised, risk-scored, lifecycle-tracked, and audit-ready GRC exception governance platform.</w:t>
      </w:r>
    </w:p>
    <w:p>
      <w:pPr>
        <w:pStyle w:val="Heading3"/>
      </w:pPr>
      <w:r>
        <w:rPr>
          <w:color w:val="1E293B"/>
          <w:sz w:val="24"/>
        </w:rPr>
        <w:t>The Problem It Solves</w:t>
      </w:r>
    </w:p>
    <w:p>
      <w:pPr>
        <w:spacing w:after="120"/>
      </w:pPr>
      <w:r>
        <w:rPr>
          <w:b w:val="0"/>
        </w:rPr>
        <w:t>Every enterprise has policy exceptions. The question is not whether they exist — it is whether they are known, justified, time-limited, monitored, and revocable. RiskWaiver360 answers yes to all five for every exception in the registry.</w:t>
      </w:r>
    </w:p>
    <w:p>
      <w:pPr>
        <w:pStyle w:val="Heading3"/>
      </w:pPr>
      <w:r>
        <w:rPr>
          <w:color w:val="1E293B"/>
          <w:sz w:val="24"/>
        </w:rPr>
        <w:t>The Value It Provides</w:t>
      </w:r>
    </w:p>
    <w:tbl>
      <w:tblPr>
        <w:tblStyle w:val="TableGrid"/>
        <w:tblW w:type="auto" w:w="0"/>
        <w:tblLook w:firstColumn="1" w:firstRow="1" w:lastColumn="0" w:lastRow="0" w:noHBand="0" w:noVBand="1" w:val="04A0"/>
      </w:tblPr>
      <w:tblGrid>
        <w:gridCol w:w="4986"/>
        <w:gridCol w:w="4986"/>
      </w:tblGrid>
      <w:tr>
        <w:tc>
          <w:tcPr>
            <w:tcW w:type="dxa" w:w="4986"/>
            <w:shd w:val="clear" w:color="auto" w:fill="991B1B"/>
          </w:tcPr>
          <w:p>
            <w:pPr>
              <w:spacing w:before="60" w:after="60"/>
            </w:pPr>
            <w:r>
              <w:rPr>
                <w:b/>
                <w:color w:val="FFFFFF"/>
                <w:sz w:val="18"/>
              </w:rPr>
              <w:t>Stakeholder</w:t>
            </w:r>
          </w:p>
        </w:tc>
        <w:tc>
          <w:tcPr>
            <w:tcW w:type="dxa" w:w="4986"/>
            <w:shd w:val="clear" w:color="auto" w:fill="991B1B"/>
          </w:tcPr>
          <w:p>
            <w:pPr>
              <w:spacing w:before="60" w:after="60"/>
            </w:pPr>
            <w:r>
              <w:rPr>
                <w:b/>
                <w:color w:val="FFFFFF"/>
                <w:sz w:val="18"/>
              </w:rPr>
              <w:t>Value</w:t>
            </w:r>
          </w:p>
        </w:tc>
      </w:tr>
      <w:tr>
        <w:tc>
          <w:tcPr>
            <w:tcW w:type="dxa" w:w="4986"/>
            <w:shd w:val="clear" w:color="auto" w:fill="FFFFFF"/>
          </w:tcPr>
          <w:p>
            <w:pPr>
              <w:spacing w:before="40" w:after="40"/>
            </w:pPr>
            <w:r>
              <w:rPr>
                <w:sz w:val="18"/>
              </w:rPr>
              <w:t>**Security Teams**</w:t>
            </w:r>
          </w:p>
        </w:tc>
        <w:tc>
          <w:tcPr>
            <w:tcW w:type="dxa" w:w="4986"/>
            <w:shd w:val="clear" w:color="auto" w:fill="FFFFFF"/>
          </w:tcPr>
          <w:p>
            <w:pPr>
              <w:spacing w:before="40" w:after="40"/>
            </w:pPr>
            <w:r>
              <w:rPr>
                <w:sz w:val="18"/>
              </w:rPr>
              <w:t>A single prioritised view of every active exception, ranked by risk, with recommended actions</w:t>
            </w:r>
          </w:p>
        </w:tc>
      </w:tr>
      <w:tr>
        <w:tc>
          <w:tcPr>
            <w:tcW w:type="dxa" w:w="4986"/>
            <w:shd w:val="clear" w:color="auto" w:fill="FFF7F7"/>
          </w:tcPr>
          <w:p>
            <w:pPr>
              <w:spacing w:before="40" w:after="40"/>
            </w:pPr>
            <w:r>
              <w:rPr>
                <w:sz w:val="18"/>
              </w:rPr>
              <w:t>**Risk Officers**</w:t>
            </w:r>
          </w:p>
        </w:tc>
        <w:tc>
          <w:tcPr>
            <w:tcW w:type="dxa" w:w="4986"/>
            <w:shd w:val="clear" w:color="auto" w:fill="FFF7F7"/>
          </w:tcPr>
          <w:p>
            <w:pPr>
              <w:spacing w:before="40" w:after="40"/>
            </w:pPr>
            <w:r>
              <w:rPr>
                <w:sz w:val="18"/>
              </w:rPr>
              <w:t>Continuous monitoring of expiry, ownership, and risk accumulation across the full portfolio</w:t>
            </w:r>
          </w:p>
        </w:tc>
      </w:tr>
      <w:tr>
        <w:tc>
          <w:tcPr>
            <w:tcW w:type="dxa" w:w="4986"/>
            <w:shd w:val="clear" w:color="auto" w:fill="FFFFFF"/>
          </w:tcPr>
          <w:p>
            <w:pPr>
              <w:spacing w:before="40" w:after="40"/>
            </w:pPr>
            <w:r>
              <w:rPr>
                <w:sz w:val="18"/>
              </w:rPr>
              <w:t>**Approvers**</w:t>
            </w:r>
          </w:p>
        </w:tc>
        <w:tc>
          <w:tcPr>
            <w:tcW w:type="dxa" w:w="4986"/>
            <w:shd w:val="clear" w:color="auto" w:fill="FFFFFF"/>
          </w:tcPr>
          <w:p>
            <w:pPr>
              <w:spacing w:before="40" w:after="40"/>
            </w:pPr>
            <w:r>
              <w:rPr>
                <w:sz w:val="18"/>
              </w:rPr>
              <w:t>Structured, evidence-backed approval workflow with complete history of every decision</w:t>
            </w:r>
          </w:p>
        </w:tc>
      </w:tr>
      <w:tr>
        <w:tc>
          <w:tcPr>
            <w:tcW w:type="dxa" w:w="4986"/>
            <w:shd w:val="clear" w:color="auto" w:fill="FFF7F7"/>
          </w:tcPr>
          <w:p>
            <w:pPr>
              <w:spacing w:before="40" w:after="40"/>
            </w:pPr>
            <w:r>
              <w:rPr>
                <w:sz w:val="18"/>
              </w:rPr>
              <w:t>**Auditors**</w:t>
            </w:r>
          </w:p>
        </w:tc>
        <w:tc>
          <w:tcPr>
            <w:tcW w:type="dxa" w:w="4986"/>
            <w:shd w:val="clear" w:color="auto" w:fill="FFF7F7"/>
          </w:tcPr>
          <w:p>
            <w:pPr>
              <w:spacing w:before="40" w:after="40"/>
            </w:pPr>
            <w:r>
              <w:rPr>
                <w:sz w:val="18"/>
              </w:rPr>
              <w:t>One-click audit report with immutable evidence, compliance roll-ups, and conflict findings</w:t>
            </w:r>
          </w:p>
        </w:tc>
      </w:tr>
      <w:tr>
        <w:tc>
          <w:tcPr>
            <w:tcW w:type="dxa" w:w="4986"/>
            <w:shd w:val="clear" w:color="auto" w:fill="FFFFFF"/>
          </w:tcPr>
          <w:p>
            <w:pPr>
              <w:spacing w:before="40" w:after="40"/>
            </w:pPr>
            <w:r>
              <w:rPr>
                <w:sz w:val="18"/>
              </w:rPr>
              <w:t>**Compliance Teams**</w:t>
            </w:r>
          </w:p>
        </w:tc>
        <w:tc>
          <w:tcPr>
            <w:tcW w:type="dxa" w:w="4986"/>
            <w:shd w:val="clear" w:color="auto" w:fill="FFFFFF"/>
          </w:tcPr>
          <w:p>
            <w:pPr>
              <w:spacing w:before="40" w:after="40"/>
            </w:pPr>
            <w:r>
              <w:rPr>
                <w:sz w:val="18"/>
              </w:rPr>
              <w:t>Documented alignment to NIST, GDPR, and CIS Controls for every exception</w:t>
            </w:r>
          </w:p>
        </w:tc>
      </w:tr>
      <w:tr>
        <w:tc>
          <w:tcPr>
            <w:tcW w:type="dxa" w:w="4986"/>
            <w:shd w:val="clear" w:color="auto" w:fill="FFF7F7"/>
          </w:tcPr>
          <w:p>
            <w:pPr>
              <w:spacing w:before="40" w:after="40"/>
            </w:pPr>
            <w:r>
              <w:rPr>
                <w:sz w:val="18"/>
              </w:rPr>
              <w:t>**Leadership**</w:t>
            </w:r>
          </w:p>
        </w:tc>
        <w:tc>
          <w:tcPr>
            <w:tcW w:type="dxa" w:w="4986"/>
            <w:shd w:val="clear" w:color="auto" w:fill="FFF7F7"/>
          </w:tcPr>
          <w:p>
            <w:pPr>
              <w:spacing w:before="40" w:after="40"/>
            </w:pPr>
            <w:r>
              <w:rPr>
                <w:sz w:val="18"/>
              </w:rPr>
              <w:t>Portfolio dashboard showing exception risk exposure across business units</w:t>
            </w:r>
          </w:p>
        </w:tc>
      </w:tr>
    </w:tbl>
    <w:p/>
    <w:p>
      <w:pPr>
        <w:pStyle w:val="Heading3"/>
      </w:pPr>
      <w:r>
        <w:rPr>
          <w:color w:val="1E293B"/>
          <w:sz w:val="24"/>
        </w:rPr>
        <w:t>Why This Matters</w:t>
      </w:r>
    </w:p>
    <w:p>
      <w:pPr>
        <w:spacing w:after="120"/>
      </w:pPr>
      <w:r>
        <w:rPr>
          <w:b w:val="0"/>
        </w:rPr>
        <w:t>A single untracked exception — an encryption waiver, a firewall bypass, an admin access extension — can be the difference between a contained security event and a reportable breach. RiskWaiver360 ensures that no exception goes untracked, no expiry goes unnoticed, and no auditor goes unanswered.</w:t>
      </w:r>
    </w:p>
    <w:p>
      <w:pPr>
        <w:spacing w:after="120"/>
      </w:pPr>
      <w:r>
        <w:rPr>
          <w:b/>
        </w:rPr>
        <w:t>RiskWaiver360 is a purpose-built GRC risk intelligence platform that helps enterprises move from scattered exception tracking to structured, risk-scored, lifecycle-governed, and audit-ready policy waiver management.</w:t>
      </w:r>
    </w:p>
    <w:p>
      <w:pPr>
        <w:spacing w:after="120"/>
      </w:pPr>
      <w:r>
        <w:rPr>
          <w:b w:val="0"/>
        </w:rPr>
        <w:t>*Documentation prepared for the Société Générale Technology Hackathon — PS1: GRC Process Exception &amp; Policy Waiver Management*</w:t>
      </w:r>
    </w:p>
    <w:p>
      <w:pPr>
        <w:spacing w:after="120"/>
      </w:pPr>
      <w:r>
        <w:rPr>
          <w:b w:val="0"/>
        </w:rPr>
        <w:t>*Project: RiskWaiver360 | Stack: React + Vite / Node.js + Express / JSON demo storage*</w:t>
      </w:r>
    </w:p>
    <w:p>
      <w:pPr>
        <w:spacing w:after="120"/>
      </w:pPr>
      <w:r>
        <w:rPr>
          <w:b w:val="0"/>
        </w:rPr>
        <w:t>*All AI capabilities described in Section 19 are future scope. The current prototype is rule-based and explainable.*</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