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Consumer Utility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Our model assumes that consumers have some general amount of utility by which they favor mom-and-pop stores, although moment-to-moment changes in preferences might override this. To account for both this preference and variability, </w:t>
      </w:r>
      <w:r>
        <w:rPr>
          <w:rtl w:val="0"/>
          <w:lang w:val="en-US"/>
        </w:rPr>
        <w:t>for the k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consumer, </w:t>
      </w:r>
      <w:r>
        <w:rPr>
          <w:rtl w:val="0"/>
          <w:lang w:val="en-US"/>
        </w:rPr>
        <w:t>the utility gained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from shopping at a mom-and-pop is a positive constant plus some random factor: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(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1"/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Consumers gain utility from shopping at the big-box store as well. Thus, the consumer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>s overall utility gain is: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= </w:t>
      </w:r>
      <w:r>
        <w:rPr>
          <w:rtl w:val="0"/>
          <w:lang w:val="en-US"/>
        </w:rPr>
        <w:t>max{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r</w:t>
      </w:r>
      <w:r>
        <w:rPr>
          <w:vertAlign w:val="subscript"/>
          <w:rtl w:val="0"/>
          <w:lang w:val="en-US"/>
        </w:rPr>
        <w:t>k</w:t>
      </w:r>
      <w:r>
        <w:rPr>
          <w:vertAlign w:val="subscript"/>
          <w:rtl w:val="0"/>
          <w:lang w:val="en-US"/>
        </w:rPr>
        <w:t>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}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The overall utility in the market is expressed as the sum of the</w:t>
      </w:r>
      <w:r>
        <w:rPr>
          <w:rtl w:val="0"/>
          <w:lang w:val="en-US"/>
        </w:rPr>
        <w:t>se</w:t>
      </w:r>
      <w:r>
        <w:rPr>
          <w:rtl w:val="0"/>
          <w:lang w:val="en-US"/>
        </w:rPr>
        <w:t xml:space="preserve"> utilit</w:t>
      </w:r>
      <w:r>
        <w:rPr>
          <w:rtl w:val="0"/>
          <w:lang w:val="en-US"/>
        </w:rPr>
        <w:t>ies over the population: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Fonts w:hAnsi="Baskerville" w:hint="default"/>
          <w:rtl w:val="0"/>
          <w:lang w:val="en-US"/>
        </w:rPr>
        <w:t xml:space="preserve"> Σ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k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To rephrase our assumptions: consumers gain the most utility when both mom-and-pops and big-boxes are around, they do second best when they have available only mom-and-pops, and worst when they have only big-boxes. But it turns out that even in cases of high preference for mom-and-pop store, the consumers</w:t>
      </w:r>
      <w:r>
        <w:rPr>
          <w:rFonts w:hAnsi="Baskerville" w:hint="default"/>
          <w:rtl w:val="0"/>
          <w:lang w:val="en-US"/>
        </w:rPr>
        <w:t xml:space="preserve">’ </w:t>
      </w:r>
      <w:r>
        <w:rPr>
          <w:rtl w:val="0"/>
          <w:lang w:val="en-US"/>
        </w:rPr>
        <w:t>least preferred outcome can arise.</w:t>
      </w:r>
    </w:p>
    <w:p>
      <w:pPr>
        <w:pStyle w:val="FirstSectionPar"/>
        <w:ind w:firstLine="0"/>
      </w:pPr>
      <w:r>
        <w:rPr>
          <w:rtl w:val="0"/>
        </w:rPr>
        <w:br w:type="page"/>
      </w:r>
    </w:p>
    <w:p>
      <w:pPr>
        <w:pStyle w:val="FirstSectionPar"/>
        <w:ind w:firstLine="0"/>
        <w:rPr>
          <w:rFonts w:ascii="Helvetica" w:cs="Helvetica" w:hAnsi="Helvetica" w:eastAsia="Helvetica"/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Big-box Statistics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Runs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The following graphs represent the average run time of models where consumer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added</w:t>
      </w:r>
      <w:r>
        <w:rPr>
          <w:rFonts w:hAnsi="Baskerville" w:hint="default"/>
          <w:rtl w:val="0"/>
          <w:lang w:val="en-US"/>
        </w:rPr>
        <w:t xml:space="preserve">” </w:t>
      </w:r>
      <w:r>
        <w:rPr>
          <w:rtl w:val="0"/>
          <w:lang w:val="en-US"/>
        </w:rPr>
        <w:t>preference for mom-and-pops is 0.0, 0.2, 0.4, 0.6, and 0.8 respectively. All other variables beside preference are held constant.</w:t>
      </w:r>
      <w:r>
        <w:rPr>
          <w:rFonts w:ascii="Times New Roman" w:cs="Times New Roman" w:hAnsi="Times New Roman" w:eastAsia="Times New Roman"/>
          <w:vertAlign w:val="superscript"/>
          <w:rtl w:val="0"/>
        </w:rPr>
        <w:footnoteReference w:id="2"/>
      </w:r>
      <w:r>
        <w:rPr>
          <w:rtl w:val="0"/>
          <w:lang w:val="en-US"/>
        </w:rPr>
        <w:t xml:space="preserve"> For each preference level, we ran seventy-five runs of seventy-five periods each.  Note that in all experiments the big-box store appears in period 20. </w:t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1.0]</w:t>
        <w:tab/>
        <w:tab/>
        <w:t>[Graph 1.2]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1.4]</w:t>
        <w:tab/>
        <w:tab/>
        <w:t>[Graph 1.6]</w:t>
      </w: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[Graph 1.8]</w:t>
      </w:r>
    </w:p>
    <w:p>
      <w:pPr>
        <w:pStyle w:val="Body A"/>
        <w:rPr>
          <w:b w:val="1"/>
          <w:bCs w:val="1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 xml:space="preserve">Clearly the trend is for environments whose consumers have a </w:t>
      </w:r>
      <w:r>
        <w:rPr>
          <w:rFonts w:hAnsi="Baskerville" w:hint="default"/>
          <w:rtl w:val="0"/>
          <w:lang w:val="en-US"/>
        </w:rPr>
        <w:t>“</w:t>
      </w:r>
      <w:r>
        <w:rPr>
          <w:rtl w:val="0"/>
          <w:lang w:val="en-US"/>
        </w:rPr>
        <w:t>low enough" preference to lose their mom-and-pop stores. In [Graphs 1.0, 1.2, 1.4. and 1.6], the consumer utility was raised by the presence of the big-box store; yet in the end, its presence drove out the mom-and-pops, leaving it in the cases where consumers preferred mom-and-pops to big-boxes where the end result was a net loss in utility.</w:t>
      </w:r>
    </w:p>
    <w:p>
      <w:pPr>
        <w:pStyle w:val="Body A"/>
      </w:pPr>
      <w:r>
        <w:rPr>
          <w:b w:val="1"/>
          <w:bCs w:val="1"/>
          <w:rtl w:val="0"/>
        </w:rPr>
        <w:br w:type="page"/>
      </w:r>
    </w:p>
    <w:p>
      <w:pPr>
        <w:pStyle w:val="Body A"/>
        <w:rPr>
          <w:b w:val="1"/>
          <w:bCs w:val="1"/>
        </w:rPr>
      </w:pPr>
    </w:p>
    <w:p>
      <w:pPr>
        <w:pStyle w:val="Body A"/>
        <w:rPr>
          <w:b w:val="1"/>
          <w:bCs w:val="1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Mathematical Analysis</w:t>
      </w:r>
    </w:p>
    <w:p>
      <w:pPr>
        <w:pStyle w:val="Body A"/>
        <w:rPr>
          <w:rtl w:val="0"/>
        </w:rPr>
      </w:pPr>
    </w:p>
    <w:p>
      <w:pPr>
        <w:pStyle w:val="FirstSectionPar"/>
        <w:ind w:firstLine="0"/>
        <w:rPr>
          <w:rtl w:val="0"/>
        </w:rPr>
      </w:pPr>
      <w:r>
        <w:rPr>
          <w:rtl w:val="0"/>
          <w:lang w:val="en-US"/>
        </w:rPr>
        <w:t>We</w:t>
      </w:r>
      <w:r>
        <w:rPr>
          <w:rFonts w:hAnsi="Baskerville" w:hint="default"/>
          <w:rtl w:val="0"/>
          <w:lang w:val="en-US"/>
        </w:rPr>
        <w:t>’</w:t>
      </w:r>
      <w:r>
        <w:rPr>
          <w:rtl w:val="0"/>
          <w:lang w:val="en-US"/>
        </w:rPr>
        <w:t xml:space="preserve">ll denote the utility at step t by </w:t>
      </w:r>
    </w:p>
    <w:p>
      <w:pPr>
        <w:pStyle w:val="FirstSectionPar"/>
        <w:ind w:firstLine="0"/>
      </w:pPr>
      <w:r>
        <w:rPr>
          <w:rtl w:val="0"/>
          <w:lang w:val="en-US"/>
        </w:rPr>
        <w:t xml:space="preserve">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>t</w:t>
      </w:r>
      <w:r>
        <w:rPr>
          <w:rtl w:val="0"/>
          <w:lang w:val="en-US"/>
        </w:rPr>
        <w:t xml:space="preserve"> </w:t>
      </w:r>
    </w:p>
    <w:p>
      <w:pPr>
        <w:pStyle w:val="FirstSectionPar"/>
        <w:ind w:firstLine="0"/>
      </w:pPr>
      <w:r>
        <w:rPr>
          <w:rtl w:val="0"/>
          <w:lang w:val="en-US"/>
        </w:rPr>
        <w:t>We give the expected utility in the three periods of our model.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</w:t>
      </w:r>
      <w:r>
        <w:rPr>
          <w:rtl w:val="0"/>
          <w:lang w:val="en-US"/>
        </w:rPr>
        <w:t xml:space="preserve">E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) = N( 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+ 0.5) by linearity.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big-boxes as well as mom-and-pops,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 xml:space="preserve">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 xml:space="preserve">[0,1) } 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) =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max { 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 + r</w:t>
      </w:r>
      <w:r>
        <w:rPr>
          <w:vertAlign w:val="subscript"/>
          <w:rtl w:val="0"/>
          <w:lang w:val="en-US"/>
        </w:rPr>
        <w:t>i</w:t>
      </w:r>
      <w:r>
        <w:rPr>
          <w:vertAlign w:val="subscript"/>
          <w:rtl w:val="0"/>
          <w:lang w:val="en-US"/>
        </w:rPr>
        <w:t>M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), r</w:t>
      </w:r>
      <w:r>
        <w:rPr>
          <w:vertAlign w:val="subscript"/>
          <w:rtl w:val="0"/>
          <w:lang w:val="en-US"/>
        </w:rPr>
        <w:t>iB</w:t>
      </w:r>
      <w:r>
        <w:rPr>
          <w:rtl w:val="0"/>
          <w:lang w:val="en-US"/>
        </w:rPr>
        <w:t>[0,1) } = N((2/3) - (3/2)</w:t>
      </w:r>
      <w:r>
        <w:rPr>
          <w:rtl w:val="0"/>
          <w:lang w:val="en-US"/>
        </w:rPr>
        <w:t>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>+3p</w:t>
      </w:r>
      <w:r>
        <w:rPr>
          <w:vertAlign w:val="subscript"/>
          <w:rtl w:val="0"/>
          <w:lang w:val="en-US"/>
        </w:rPr>
        <w:t>M</w:t>
      </w:r>
      <w:r>
        <w:rPr>
          <w:rtl w:val="0"/>
          <w:lang w:val="en-US"/>
        </w:rPr>
        <w:t xml:space="preserve">^2). </w:t>
      </w:r>
      <w:r>
        <w:rPr>
          <w:rFonts w:ascii="Times New Roman" w:cs="Times New Roman" w:hAnsi="Times New Roman" w:eastAsia="Times New Roman"/>
          <w:vertAlign w:val="superscript"/>
        </w:rPr>
        <w:footnoteReference w:id="3"/>
      </w:r>
    </w:p>
    <w:p>
      <w:pPr>
        <w:pStyle w:val="FirstSectionPar"/>
        <w:ind w:firstLine="0"/>
      </w:pPr>
      <w:r>
        <w:rPr>
          <w:rtl w:val="0"/>
          <w:lang w:val="en-US"/>
        </w:rPr>
        <w:t>[Compute Specific cases]</w:t>
      </w:r>
    </w:p>
    <w:p>
      <w:pPr>
        <w:pStyle w:val="FirstSectionPar"/>
        <w:numPr>
          <w:ilvl w:val="0"/>
          <w:numId w:val="2"/>
        </w:numPr>
        <w:ind w:left="393" w:hanging="393"/>
        <w:rPr>
          <w:position w:val="0"/>
        </w:rPr>
      </w:pPr>
      <w:r>
        <w:rPr>
          <w:rtl w:val="0"/>
          <w:lang w:val="en-US"/>
        </w:rPr>
        <w:t xml:space="preserve">When there are only big-boxes, E(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U</w:t>
      </w:r>
      <w:r>
        <w:rPr>
          <w:vertAlign w:val="subscript"/>
          <w:rtl w:val="0"/>
          <w:lang w:val="en-US"/>
        </w:rPr>
        <w:t>i</w:t>
      </w:r>
      <w:r>
        <w:rPr>
          <w:rtl w:val="0"/>
          <w:lang w:val="en-US"/>
        </w:rPr>
        <w:t xml:space="preserve"> ) </w:t>
      </w:r>
      <w:r>
        <w:rPr>
          <w:vertAlign w:val="subscript"/>
          <w:rtl w:val="0"/>
          <w:lang w:val="en-US"/>
        </w:rPr>
        <w:t xml:space="preserve">t </w:t>
      </w:r>
      <w:r>
        <w:rPr>
          <w:rtl w:val="0"/>
          <w:lang w:val="en-US"/>
        </w:rPr>
        <w:t xml:space="preserve">) = E ( </w:t>
      </w:r>
      <w:r>
        <w:rPr>
          <w:rFonts w:hAnsi="Baskerville" w:hint="default"/>
          <w:rtl w:val="0"/>
          <w:lang w:val="en-US"/>
        </w:rPr>
        <w:t>Σ</w:t>
      </w:r>
      <w:r>
        <w:rPr>
          <w:vertAlign w:val="subscript"/>
          <w:rtl w:val="0"/>
          <w:lang w:val="en-US"/>
        </w:rPr>
        <w:t xml:space="preserve">i </w:t>
      </w:r>
      <w:r>
        <w:rPr>
          <w:rtl w:val="0"/>
          <w:lang w:val="en-US"/>
        </w:rPr>
        <w:t>r</w:t>
      </w:r>
      <w:r>
        <w:rPr>
          <w:vertAlign w:val="subscript"/>
          <w:rtl w:val="0"/>
          <w:lang w:val="en-US"/>
        </w:rPr>
        <w:t>iB</w:t>
      </w:r>
      <w:r>
        <w:rPr>
          <w:sz w:val="22"/>
          <w:szCs w:val="22"/>
          <w:rtl w:val="0"/>
          <w:lang w:val="en-US"/>
        </w:rPr>
        <w:t>[</w:t>
      </w:r>
      <w:r>
        <w:rPr>
          <w:rtl w:val="0"/>
          <w:lang w:val="en-US"/>
        </w:rPr>
        <w:t>0,1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= N(0.5) </w:t>
      </w: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Clearly the situation in (2) &gt;= (1) &gt;= (3).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[Do mathematical analysis of specific cases.]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0.0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0.2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0.4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0.6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Pref.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</w:rPr>
        <w:t xml:space="preserve"> = 0.8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In this case, things are rather uninteresting.</w:t>
      </w:r>
    </w:p>
    <w:p>
      <w:pPr>
        <w:pStyle w:val="Body A"/>
      </w:pPr>
    </w:p>
    <w:p>
      <w:pPr>
        <w:pStyle w:val="Body A"/>
      </w:pPr>
      <w:r>
        <w:rPr>
          <w:rFonts w:ascii="Helvetica" w:cs="Arial Unicode MS" w:hAnsi="Arial Unicode MS" w:eastAsia="Arial Unicode MS"/>
          <w:rtl w:val="0"/>
        </w:rPr>
        <w:t>[How do they extinguish?]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 variables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>(0,1] are between 0 and 1 inclusive. p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consumer preference for mom-and-pops, and r</w:t>
      </w:r>
      <w:r>
        <w:rPr>
          <w:rFonts w:ascii="Helvetica" w:cs="Arial Unicode MS" w:hAnsi="Arial Unicode MS" w:eastAsia="Arial Unicode MS"/>
          <w:vertAlign w:val="subscript"/>
          <w:rtl w:val="0"/>
          <w:lang w:val="en-US"/>
        </w:rPr>
        <w:t>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random number. We abbreviate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mom-and-pop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>M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and </w:t>
      </w:r>
      <w:r>
        <w:rPr>
          <w:rFonts w:hAnsi="Times New Roman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big-box</w:t>
      </w:r>
      <w:r>
        <w:rPr>
          <w:rFonts w:hAnsi="Times New Roman" w:hint="default"/>
          <w:rtl w:val="0"/>
          <w:lang w:val="en-US"/>
        </w:rPr>
        <w:t>”</w:t>
      </w:r>
      <w:r>
        <w:rPr>
          <w:rFonts w:ascii="Arial Unicode MS"/>
          <w:rtl w:val="0"/>
          <w:lang w:val="en-US"/>
        </w:rPr>
        <w:t xml:space="preserve"> 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by </w:t>
      </w:r>
      <w:r>
        <w:rPr>
          <w:rFonts w:ascii="Baskerville"/>
          <w:i w:val="1"/>
          <w:iCs w:val="1"/>
          <w:rtl w:val="0"/>
          <w:lang w:val="en-US"/>
        </w:rPr>
        <w:t xml:space="preserve">B. </w:t>
      </w:r>
      <w:r>
        <w:rPr>
          <w:rFonts w:ascii="Helvetica" w:cs="Arial Unicode MS" w:hAnsi="Arial Unicode MS" w:eastAsia="Arial Unicode MS"/>
          <w:rtl w:val="0"/>
          <w:lang w:val="en-US"/>
        </w:rPr>
        <w:t>The subscript indicates the variable belongs to the type of retailer.</w:t>
      </w:r>
    </w:p>
  </w:footnote>
  <w:footnote w:id="2">
    <w:p>
      <w:pPr>
        <w:pStyle w:val="Footnote"/>
      </w:pPr>
      <w:r>
        <w:rPr>
          <w:rFonts w:ascii="Times New Roman" w:cs="Times New Roman" w:hAnsi="Times New Roman" w:eastAsia="Times New Roman"/>
          <w:vertAlign w:val="superscript"/>
          <w:rtl w:val="0"/>
        </w:rPr>
        <w:footnoteRef/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There are 26 consumers, 5 mom-and-pop stores, each of which have an initial endowment of $30, gain $2 per purchase, and loose $10 per step. The big-box appears on period 20. It has an initial endowment 1000 times that of the big-box-store, and it pays five times the rent.</w:t>
      </w:r>
    </w:p>
  </w:footnote>
  <w:footnote w:id="3">
    <w:p>
      <w:pPr>
        <w:pStyle w:val="Footnote"/>
      </w:pPr>
      <w:r>
        <w:rPr>
          <w:vertAlign w:val="superscript"/>
        </w:rPr>
        <w:footnoteRef/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 xml:space="preserve">TODO: Write out calculation here (One error in the derivation. To fix </w:t>
      </w:r>
      <w:r>
        <w:rPr>
          <w:rFonts w:ascii="Arial Unicode MS" w:cs="Arial Unicode MS" w:hAnsi="Helvetica" w:eastAsia="Arial Unicode MS" w:hint="default"/>
          <w:rtl w:val="0"/>
        </w:rPr>
        <w:t xml:space="preserve">… </w:t>
      </w:r>
      <w:r>
        <w:rPr>
          <w:rFonts w:ascii="Helvetica" w:cs="Arial Unicode MS" w:hAnsi="Arial Unicode MS" w:eastAsia="Arial Unicode MS"/>
          <w:rtl w:val="0"/>
        </w:rPr>
        <w:t>)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position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753" w:hanging="393"/>
      </w:pPr>
      <w:rPr>
        <w:position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113" w:hanging="393"/>
      </w:pPr>
      <w:rPr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1473" w:hanging="393"/>
      </w:pPr>
      <w:rPr>
        <w:position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1833" w:hanging="393"/>
      </w:pPr>
      <w:rPr>
        <w:position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193" w:hanging="393"/>
      </w:pPr>
      <w:rPr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2553" w:hanging="393"/>
      </w:pPr>
      <w:rPr>
        <w:position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2913" w:hanging="393"/>
      </w:pPr>
      <w:rPr>
        <w:position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273" w:hanging="393"/>
      </w:pPr>
      <w:rPr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irstSectionPar">
    <w:name w:val="FirstSectionPar"/>
    <w:next w:val="FirstSectionPar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uppressAutoHyphens w:val="0"/>
      <w:bidi w:val="0"/>
      <w:spacing w:before="0" w:after="120" w:line="360" w:lineRule="auto"/>
      <w:ind w:left="0" w:right="0" w:firstLine="72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