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</w:pP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[0,1]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[0,1]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3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E</w:t>
      </w:r>
      <w:r>
        <w:rPr>
          <w:vertAlign w:val="subscript"/>
          <w:rtl w:val="0"/>
          <w:lang w:val="en-US"/>
        </w:rPr>
        <w:t xml:space="preserve">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N( 0.5 )</w:t>
      </w:r>
    </w:p>
    <w:p>
      <w:pPr>
        <w:pStyle w:val="FirstSectionPar"/>
        <w:ind w:firstLine="0"/>
      </w:pPr>
      <w:r>
        <w:rPr>
          <w:rtl w:val="0"/>
          <w:lang w:val="en-US"/>
        </w:rPr>
        <w:t>We note that for preferences in [0,1], the expected value in (2) is greater than that of (1) which in turn is greater than that of (3).</w:t>
      </w:r>
      <w:r>
        <w:rPr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</w:t>
      </w:r>
    </w:p>
    <w:p>
      <w:pPr>
        <w:pStyle w:val="FirstSectionPar"/>
        <w:ind w:firstLine="0"/>
      </w:pPr>
      <w:r>
        <w:rPr>
          <w:rtl w:val="0"/>
          <w:lang w:val="en-US"/>
        </w:rPr>
        <w:t>In each experiment we give the expected utilities for (1) having only mom-and-pops, (2) having both kinds of store, and (3) having only big-box stores. We divided the utility by 5 in both the calculation and the model for sake of the data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presentation.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1659731</wp:posOffset>
            </wp:positionH>
            <wp:positionV relativeFrom="line">
              <wp:posOffset>494524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In the experiments where the preference for mom-and-pops is 0.0, 0.2, 0.4, and 0.6, mom-and-pops tend to vanish leaving the result where consumers end up with the situation of least utility.</w:t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</w:p>
    <w:p>
      <w:pPr>
        <w:pStyle w:val="FirstSectionPar"/>
        <w:ind w:firstLine="0"/>
      </w:pPr>
      <w:r>
        <w:rPr>
          <w:rtl w:val="0"/>
          <w:lang w:val="en-US"/>
        </w:rPr>
        <w:t>(1) 2.6</w:t>
      </w:r>
    </w:p>
    <w:p>
      <w:pPr>
        <w:pStyle w:val="FirstSectionPar"/>
        <w:ind w:firstLine="0"/>
      </w:pPr>
      <w:r>
        <w:rPr>
          <w:rtl w:val="0"/>
          <w:lang w:val="en-US"/>
        </w:rPr>
        <w:t>(2) 3.5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3.6</w:t>
      </w:r>
    </w:p>
    <w:p>
      <w:pPr>
        <w:pStyle w:val="FirstSectionPar"/>
        <w:ind w:firstLine="0"/>
      </w:pPr>
      <w:r>
        <w:rPr>
          <w:rtl w:val="0"/>
          <w:lang w:val="en-US"/>
        </w:rPr>
        <w:t>(2) 4.1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line">
              <wp:posOffset>218439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(1) 4.6</w:t>
      </w:r>
    </w:p>
    <w:p>
      <w:pPr>
        <w:pStyle w:val="FirstSectionPar"/>
        <w:ind w:firstLine="0"/>
      </w:pPr>
      <w:r>
        <w:rPr>
          <w:rtl w:val="0"/>
          <w:lang w:val="en-US"/>
        </w:rPr>
        <w:t>(2) 4.8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line">
              <wp:posOffset>-152399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5.7</w:t>
      </w:r>
    </w:p>
    <w:p>
      <w:pPr>
        <w:pStyle w:val="FirstSectionPar"/>
        <w:ind w:firstLine="0"/>
      </w:pPr>
      <w:r>
        <w:rPr>
          <w:rtl w:val="0"/>
          <w:lang w:val="en-US"/>
        </w:rPr>
        <w:t>(2) 5.8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(1)</w:t>
      </w:r>
      <w:r>
        <w:rPr>
          <w:rtl w:val="0"/>
          <w:lang w:val="en-US"/>
        </w:rPr>
        <w:t xml:space="preserve"> 6.8</w:t>
      </w:r>
    </w:p>
    <w:p>
      <w:pPr>
        <w:pStyle w:val="FirstSectionPar"/>
        <w:ind w:firstLine="0"/>
      </w:pPr>
      <w:r>
        <w:rPr>
          <w:rtl w:val="0"/>
          <w:lang w:val="en-US"/>
        </w:rPr>
        <w:t>(2) 6.8</w:t>
      </w:r>
    </w:p>
    <w:p>
      <w:pPr>
        <w:pStyle w:val="FirstSectionPar"/>
        <w:ind w:firstLine="0"/>
      </w:pPr>
      <w:r>
        <w:rPr>
          <w:rtl w:val="0"/>
          <w:lang w:val="en-US"/>
        </w:rPr>
        <w:t>(3)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  <w:lang w:val="en-US"/>
        </w:rPr>
        <w:t>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13"/>
          <w:tab w:val="clear" w:pos="0"/>
        </w:tabs>
        <w:ind w:left="3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473"/>
          <w:tab w:val="clear" w:pos="0"/>
        </w:tabs>
        <w:ind w:left="7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833"/>
          <w:tab w:val="clear" w:pos="0"/>
        </w:tabs>
        <w:ind w:left="11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193"/>
          <w:tab w:val="clear" w:pos="0"/>
        </w:tabs>
        <w:ind w:left="14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553"/>
          <w:tab w:val="clear" w:pos="0"/>
        </w:tabs>
        <w:ind w:left="183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913"/>
          <w:tab w:val="clear" w:pos="0"/>
        </w:tabs>
        <w:ind w:left="219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273"/>
          <w:tab w:val="clear" w:pos="0"/>
        </w:tabs>
        <w:ind w:left="255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633"/>
          <w:tab w:val="clear" w:pos="0"/>
        </w:tabs>
        <w:ind w:left="291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993"/>
          <w:tab w:val="clear" w:pos="0"/>
        </w:tabs>
        <w:ind w:left="3273" w:firstLine="327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