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]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 </w:t>
      </w: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 enough" preference to lose their mom-and-pop stores. In [Graphs 1.0, 1.2, 1.4. and 1.6], the consumer utility was raised by the presence of the big-box store; yet in the end, its presence drove out the mom-and-pops, leaving it in the cases where consumers preferred mom-and-pops to big-boxes where the end result was a net loss in utility.</w:t>
      </w:r>
    </w:p>
    <w:p>
      <w:pPr>
        <w:pStyle w:val="Body A"/>
      </w:pPr>
      <w:r>
        <w:rPr>
          <w:b w:val="1"/>
          <w:bCs w:val="1"/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ll denote the utility at step t by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[0,1)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[0,1) } = N((2/3) + (1/2)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+(1/2)p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^2-(1/6)p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^3).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N(0.5) </w:t>
      </w:r>
    </w:p>
    <w:p>
      <w:pPr>
        <w:pStyle w:val="FirstSectionPar"/>
        <w:ind w:firstLine="0"/>
      </w:pPr>
      <w:r>
        <w:rPr>
          <w:rtl w:val="0"/>
          <w:lang w:val="en-US"/>
        </w:rPr>
        <w:t>We note that for preferences between 0 and 1, the expected value in 2. is greater than that of 1. which in turn is greater than that of 3.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1659890</wp:posOffset>
            </wp:positionH>
            <wp:positionV relativeFrom="line">
              <wp:posOffset>307339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lot_mppref1.0.pdf"/>
                    <pic:cNvPicPr/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0.0</w:t>
      </w:r>
    </w:p>
    <w:p>
      <w:pPr>
        <w:pStyle w:val="FirstSectionPar"/>
        <w:ind w:firstLine="0"/>
      </w:pPr>
      <w:r>
        <w:rPr>
          <w:rtl w:val="0"/>
          <w:lang w:val="en-US"/>
        </w:rPr>
        <w:t>1. 2.6</w:t>
      </w:r>
    </w:p>
    <w:p>
      <w:pPr>
        <w:pStyle w:val="FirstSectionPar"/>
        <w:ind w:firstLine="0"/>
      </w:pPr>
      <w:r>
        <w:rPr>
          <w:rtl w:val="0"/>
          <w:lang w:val="en-US"/>
        </w:rPr>
        <w:t>2. 3.5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0.2</w:t>
      </w: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1659890</wp:posOffset>
            </wp:positionH>
            <wp:positionV relativeFrom="page">
              <wp:posOffset>914399</wp:posOffset>
            </wp:positionV>
            <wp:extent cx="4277360" cy="42773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lot_mppref1.2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77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</w:pPr>
      <w:r>
        <w:rPr>
          <w:rtl w:val="0"/>
          <w:lang w:val="en-US"/>
        </w:rPr>
        <w:t>1. 3.6</w:t>
      </w:r>
    </w:p>
    <w:p>
      <w:pPr>
        <w:pStyle w:val="FirstSectionPar"/>
        <w:ind w:firstLine="0"/>
      </w:pPr>
      <w:r>
        <w:rPr>
          <w:rtl w:val="0"/>
          <w:lang w:val="en-US"/>
        </w:rPr>
        <w:t>2. 4.1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0.4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1659889</wp:posOffset>
            </wp:positionH>
            <wp:positionV relativeFrom="line">
              <wp:posOffset>218439</wp:posOffset>
            </wp:positionV>
            <wp:extent cx="4277361" cy="427736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lot_mppref1.4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1" cy="42773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numPr>
          <w:ilvl w:val="0"/>
          <w:numId w:val="3"/>
        </w:numPr>
        <w:tabs>
          <w:tab w:val="num" w:pos="393"/>
          <w:tab w:val="clear" w:pos="0"/>
        </w:tabs>
        <w:ind w:left="393" w:hanging="393"/>
        <w:rPr>
          <w:position w:val="0"/>
        </w:rPr>
      </w:pPr>
      <w:r>
        <w:rPr>
          <w:rtl w:val="0"/>
          <w:lang w:val="en-US"/>
        </w:rPr>
        <w:t>4.6</w:t>
      </w:r>
    </w:p>
    <w:p>
      <w:pPr>
        <w:pStyle w:val="FirstSectionPar"/>
        <w:numPr>
          <w:ilvl w:val="0"/>
          <w:numId w:val="3"/>
        </w:numPr>
        <w:tabs>
          <w:tab w:val="num" w:pos="393"/>
          <w:tab w:val="clear" w:pos="0"/>
        </w:tabs>
        <w:ind w:left="393" w:hanging="393"/>
        <w:rPr>
          <w:position w:val="0"/>
        </w:rPr>
      </w:pPr>
      <w:r>
        <w:rPr>
          <w:rtl w:val="0"/>
          <w:lang w:val="en-US"/>
        </w:rPr>
        <w:t>4.8</w:t>
      </w:r>
    </w:p>
    <w:p>
      <w:pPr>
        <w:pStyle w:val="FirstSectionPar"/>
        <w:numPr>
          <w:ilvl w:val="0"/>
          <w:numId w:val="3"/>
        </w:numPr>
        <w:tabs>
          <w:tab w:val="num" w:pos="393"/>
          <w:tab w:val="clear" w:pos="0"/>
        </w:tabs>
        <w:ind w:left="393" w:hanging="393"/>
        <w:rPr>
          <w:position w:val="0"/>
        </w:rPr>
      </w:pPr>
      <w:r>
        <w:rPr>
          <w:rtl w:val="0"/>
          <w:lang w:val="en-US"/>
        </w:rPr>
        <w:t>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1654809</wp:posOffset>
            </wp:positionH>
            <wp:positionV relativeFrom="line">
              <wp:posOffset>-152399</wp:posOffset>
            </wp:positionV>
            <wp:extent cx="4282441" cy="4282441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lot_mppref1.6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1" cy="42824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0.6</w:t>
      </w:r>
    </w:p>
    <w:p>
      <w:pPr>
        <w:pStyle w:val="FirstSectionPar"/>
        <w:ind w:firstLine="0"/>
      </w:pPr>
      <w:r>
        <w:rPr>
          <w:rtl w:val="0"/>
          <w:lang w:val="en-US"/>
        </w:rPr>
        <w:t>1. 5.7</w:t>
      </w:r>
    </w:p>
    <w:p>
      <w:pPr>
        <w:pStyle w:val="FirstSectionPar"/>
        <w:ind w:firstLine="0"/>
      </w:pPr>
      <w:r>
        <w:rPr>
          <w:rtl w:val="0"/>
          <w:lang w:val="en-US"/>
        </w:rPr>
        <w:t>2. 5.8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 w:cs="Baskerville SemiBold" w:hAnsi="Baskerville SemiBold" w:eastAsia="Baskerville SemiBold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1654810</wp:posOffset>
            </wp:positionH>
            <wp:positionV relativeFrom="line">
              <wp:posOffset>213136</wp:posOffset>
            </wp:positionV>
            <wp:extent cx="4282440" cy="42824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lot_mppref1.8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824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FirstSectionPar"/>
        <w:ind w:firstLine="0"/>
        <w:rPr>
          <w:rFonts w:ascii="Baskerville SemiBold" w:cs="Baskerville SemiBold" w:hAnsi="Baskerville SemiBold" w:eastAsia="Baskerville SemiBold"/>
        </w:rPr>
      </w:pPr>
      <w:r>
        <w:rPr>
          <w:rFonts w:ascii="Baskerville SemiBold"/>
          <w:rtl w:val="0"/>
          <w:lang w:val="en-US"/>
        </w:rPr>
        <w:t>Pref. p</w:t>
      </w:r>
      <w:r>
        <w:rPr>
          <w:rFonts w:ascii="Baskerville SemiBold"/>
          <w:vertAlign w:val="subscript"/>
          <w:rtl w:val="0"/>
          <w:lang w:val="en-US"/>
        </w:rPr>
        <w:t>M</w:t>
      </w:r>
      <w:r>
        <w:rPr>
          <w:rFonts w:ascii="Baskerville SemiBold"/>
          <w:rtl w:val="0"/>
          <w:lang w:val="en-US"/>
        </w:rPr>
        <w:t xml:space="preserve"> = 0.8</w:t>
      </w:r>
    </w:p>
    <w:p>
      <w:pPr>
        <w:pStyle w:val="FirstSectionPar"/>
        <w:ind w:firstLine="0"/>
      </w:pPr>
      <w:r>
        <w:rPr>
          <w:rtl w:val="0"/>
          <w:lang w:val="en-US"/>
        </w:rPr>
        <w:t>1. 6.8</w:t>
      </w:r>
    </w:p>
    <w:p>
      <w:pPr>
        <w:pStyle w:val="FirstSectionPar"/>
        <w:ind w:firstLine="0"/>
      </w:pPr>
      <w:r>
        <w:rPr>
          <w:rtl w:val="0"/>
          <w:lang w:val="en-US"/>
        </w:rPr>
        <w:t>2. 6.8</w:t>
      </w:r>
    </w:p>
    <w:p>
      <w:pPr>
        <w:pStyle w:val="FirstSectionPar"/>
        <w:ind w:firstLine="0"/>
      </w:pPr>
      <w:r>
        <w:rPr>
          <w:rtl w:val="0"/>
          <w:lang w:val="en-US"/>
        </w:rPr>
        <w:t>3. 2.6</w:t>
      </w: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</w:p>
    <w:p>
      <w:pPr>
        <w:pStyle w:val="FirstSectionPar"/>
        <w:ind w:firstLine="0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Helvetica" w:cs="Arial Unicode MS" w:hAnsi="Arial Unicode MS" w:eastAsia="Arial Unicode MS"/>
          <w:rtl w:val="0"/>
          <w:lang w:val="en-US"/>
        </w:rPr>
        <w:t>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