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AED6" w14:textId="77777777" w:rsidR="0080767F" w:rsidRDefault="00716963">
      <w:pPr>
        <w:pStyle w:val="Date"/>
      </w:pPr>
      <w:r>
        <w:t>11/22/2105</w:t>
      </w:r>
    </w:p>
    <w:p w14:paraId="4927453F" w14:textId="5787B834" w:rsidR="0080767F" w:rsidRDefault="00716963">
      <w:pPr>
        <w:pStyle w:val="Title"/>
      </w:pPr>
      <w:r>
        <w:t xml:space="preserve">Treating </w:t>
      </w:r>
      <w:r w:rsidR="006C10B0">
        <w:t xml:space="preserve">Interactions in </w:t>
      </w:r>
      <w:r>
        <w:t>Agent-Ba</w:t>
      </w:r>
      <w:r w:rsidR="00206653">
        <w:t xml:space="preserve">sed Models as </w:t>
      </w:r>
      <w:r w:rsidR="000C26BF">
        <w:t>MODUL</w:t>
      </w:r>
      <w:r w:rsidR="00614811">
        <w:t>es</w:t>
      </w:r>
    </w:p>
    <w:p w14:paraId="02986552" w14:textId="6470D683" w:rsidR="0080767F" w:rsidRDefault="000C26BF">
      <w:pPr>
        <w:pStyle w:val="Heading1"/>
      </w:pPr>
      <w:r>
        <w:t>The nature of the MODULE</w:t>
      </w:r>
    </w:p>
    <w:p w14:paraId="37F030FF" w14:textId="48C082A8" w:rsidR="00614811" w:rsidRDefault="000C26BF" w:rsidP="00716963">
      <w:r>
        <w:t>To be a module</w:t>
      </w:r>
      <w:r w:rsidR="00716963">
        <w:t xml:space="preserve"> an algebraic structure must </w:t>
      </w:r>
      <w:r w:rsidR="00614811">
        <w:t>contain a primary set that is an additive group</w:t>
      </w:r>
      <w:r w:rsidR="001564C7">
        <w:t>, G</w:t>
      </w:r>
      <w:r w:rsidR="00614811">
        <w:t>, satisfying</w:t>
      </w:r>
      <w:r w:rsidR="00716963">
        <w:t xml:space="preserve"> four </w:t>
      </w:r>
      <w:r w:rsidR="00952FCC">
        <w:t>group axioms</w:t>
      </w:r>
      <w:r w:rsidR="00716963">
        <w:t xml:space="preserve">: </w:t>
      </w:r>
      <w:r w:rsidR="00716963" w:rsidRPr="00716963">
        <w:t>closure, associativity, identity and invertibility.</w:t>
      </w:r>
      <w:r w:rsidR="00716963">
        <w:t xml:space="preserve"> There is an operator </w:t>
      </w:r>
      <w:r w:rsidR="00206653">
        <w:sym w:font="Symbol" w:char="F0C5"/>
      </w:r>
      <w:r w:rsidR="00206653">
        <w:t xml:space="preserve"> </w:t>
      </w:r>
      <w:r w:rsidR="00716963">
        <w:t>which takes two elements of the g</w:t>
      </w:r>
      <w:r w:rsidR="00206653">
        <w:t>roup and yields a third element and its op</w:t>
      </w:r>
      <w:r w:rsidR="00614811">
        <w:t>eration satisfies these axioms.</w:t>
      </w:r>
    </w:p>
    <w:p w14:paraId="2B73AFB1" w14:textId="64869A80" w:rsidR="00716963" w:rsidRDefault="00614811" w:rsidP="001564C7">
      <w:r>
        <w:t>In ad</w:t>
      </w:r>
      <w:r w:rsidR="006C10B0">
        <w:t>dition, a module</w:t>
      </w:r>
      <w:r w:rsidR="001564C7">
        <w:t xml:space="preserve"> contains a secondary set, R, a ring of coefficients, with a second operation, </w:t>
      </w:r>
      <w:r w:rsidR="00206653">
        <w:sym w:font="Symbol" w:char="F0C4"/>
      </w:r>
      <w:r w:rsidR="001564C7">
        <w:t>,</w:t>
      </w:r>
      <w:r w:rsidR="00206653">
        <w:t xml:space="preserve"> which</w:t>
      </w:r>
      <w:r>
        <w:t xml:space="preserve"> takes a</w:t>
      </w:r>
      <w:r w:rsidR="001564C7">
        <w:t>n element of R</w:t>
      </w:r>
      <w:r>
        <w:t xml:space="preserve"> and an element of </w:t>
      </w:r>
      <w:r w:rsidR="001564C7">
        <w:t>G</w:t>
      </w:r>
      <w:r>
        <w:t xml:space="preserve"> and p</w:t>
      </w:r>
      <w:r w:rsidR="001564C7">
        <w:t>roduces and element of G</w:t>
      </w:r>
      <w:r>
        <w:t>.</w:t>
      </w:r>
    </w:p>
    <w:p w14:paraId="1027D5EC" w14:textId="2BD68B6A" w:rsidR="0080767F" w:rsidRDefault="00716963">
      <w:pPr>
        <w:pStyle w:val="Heading2"/>
      </w:pPr>
      <w:r>
        <w:t>An Analysis of a Generic</w:t>
      </w:r>
      <w:r w:rsidR="00381991">
        <w:t xml:space="preserve"> ABM </w:t>
      </w:r>
      <w:r w:rsidR="001564C7">
        <w:t>I</w:t>
      </w:r>
      <w:r w:rsidR="00A95AF5">
        <w:t xml:space="preserve">nteraction </w:t>
      </w:r>
      <w:r w:rsidR="006C10B0">
        <w:t>as a Module</w:t>
      </w:r>
    </w:p>
    <w:p w14:paraId="63468730" w14:textId="3E5B828B" w:rsidR="0080767F" w:rsidRDefault="00716963" w:rsidP="00716963">
      <w:pPr>
        <w:pStyle w:val="Heading3"/>
      </w:pPr>
      <w:r>
        <w:t>Elements: Following Whitehead</w:t>
      </w:r>
      <w:r w:rsidR="00DA545B">
        <w:t xml:space="preserve"> (2014)</w:t>
      </w:r>
      <w:r>
        <w:t xml:space="preserve">, we call the elements of our group </w:t>
      </w:r>
      <w:r w:rsidRPr="00716963">
        <w:rPr>
          <w:i/>
        </w:rPr>
        <w:t>prehensions</w:t>
      </w:r>
      <w:r>
        <w:t xml:space="preserve">. A prehension can be roughly understood as a state of affairs </w:t>
      </w:r>
      <w:r w:rsidR="00381991">
        <w:t xml:space="preserve">in the world </w:t>
      </w:r>
      <w:r w:rsidRPr="00381991">
        <w:rPr>
          <w:i/>
        </w:rPr>
        <w:t>as seen from a particular point of view</w:t>
      </w:r>
      <w:r>
        <w:t>.</w:t>
      </w:r>
      <w:r w:rsidR="00381991">
        <w:t xml:space="preserve"> (In this case the world is the world of our model [see Morgan</w:t>
      </w:r>
      <w:r w:rsidR="00DA545B">
        <w:t xml:space="preserve"> 2012</w:t>
      </w:r>
      <w:r w:rsidR="00381991">
        <w:t>], but Whitehead views this as a useful metaphysics for the actual world.)</w:t>
      </w:r>
    </w:p>
    <w:p w14:paraId="692DACCA" w14:textId="7A9224D3" w:rsidR="00952FCC" w:rsidRDefault="00952FCC" w:rsidP="00716963">
      <w:pPr>
        <w:pStyle w:val="Heading3"/>
      </w:pPr>
      <w:r>
        <w:t>The operation</w:t>
      </w:r>
      <w:r w:rsidR="005F55A3">
        <w:t xml:space="preserve"> </w:t>
      </w:r>
      <w:r w:rsidR="00206653">
        <w:sym w:font="Symbol" w:char="F0C5"/>
      </w:r>
      <w:r>
        <w:t>, which we will c</w:t>
      </w:r>
      <w:r w:rsidR="00251116">
        <w:t>all “prehend</w:t>
      </w:r>
      <w:r>
        <w:t>”, accepts two prehensions as arguments and produces a third prehension.</w:t>
      </w:r>
    </w:p>
    <w:p w14:paraId="6548282D" w14:textId="00EB3555" w:rsidR="00952FCC" w:rsidRDefault="00952FCC" w:rsidP="001564C7">
      <w:pPr>
        <w:pStyle w:val="Heading4"/>
      </w:pPr>
      <w:r>
        <w:t>Axioms:</w:t>
      </w:r>
    </w:p>
    <w:p w14:paraId="238C4452" w14:textId="0CB284AD" w:rsidR="00952FCC" w:rsidRDefault="00952FCC" w:rsidP="001564C7">
      <w:pPr>
        <w:pStyle w:val="Heading5"/>
      </w:pPr>
      <w:r w:rsidRPr="00952FCC">
        <w:rPr>
          <w:b/>
        </w:rPr>
        <w:t>Closure:</w:t>
      </w:r>
      <w:r w:rsidR="00614811">
        <w:t xml:space="preserve"> Every prehend</w:t>
      </w:r>
      <w:r w:rsidR="006C10B0">
        <w:t>ing</w:t>
      </w:r>
      <w:r>
        <w:t xml:space="preserve"> involving two prehensions will produce a third prehension.</w:t>
      </w:r>
    </w:p>
    <w:p w14:paraId="4DEFFA54" w14:textId="52E88354" w:rsidR="00952FCC" w:rsidRDefault="00952FCC" w:rsidP="001564C7">
      <w:pPr>
        <w:pStyle w:val="Heading5"/>
      </w:pPr>
      <w:r>
        <w:rPr>
          <w:b/>
        </w:rPr>
        <w:t>Associativity:</w:t>
      </w:r>
      <w:r w:rsidR="005F55A3" w:rsidRPr="005F55A3">
        <w:t xml:space="preserve"> 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 = a </w:t>
      </w:r>
      <w:r w:rsidR="00206653">
        <w:sym w:font="Symbol" w:char="F0C5"/>
      </w:r>
      <w:r w:rsidR="005F55A3" w:rsidRPr="005F55A3">
        <w:t xml:space="preserve"> (b </w:t>
      </w:r>
      <w:r w:rsidR="00206653">
        <w:sym w:font="Symbol" w:char="F0C5"/>
      </w:r>
      <w:r w:rsidR="005F55A3" w:rsidRPr="005F55A3">
        <w:t xml:space="preserve"> c)</w:t>
      </w:r>
      <w:r w:rsidR="00381991">
        <w:br/>
      </w:r>
      <w:r w:rsidR="005F55A3">
        <w:t>In a typical agent model, this will mean that we must ensure that, say, a neighborhood can interact with a neighborhood (</w:t>
      </w:r>
      <w:r w:rsidR="005F55A3" w:rsidRPr="00381991">
        <w:t xml:space="preserve">b </w:t>
      </w:r>
      <w:r w:rsidR="00206653">
        <w:sym w:font="Symbol" w:char="F0C5"/>
      </w:r>
      <w:r w:rsidR="005F55A3" w:rsidRPr="00381991">
        <w:t xml:space="preserve"> c</w:t>
      </w:r>
      <w:r w:rsidR="005F55A3">
        <w:t>), and then with an agent (</w:t>
      </w:r>
      <w:r w:rsidR="005F55A3" w:rsidRPr="00381991">
        <w:t xml:space="preserve">a </w:t>
      </w:r>
      <w:r w:rsidR="00206653">
        <w:sym w:font="Symbol" w:char="F0C5"/>
      </w:r>
      <w:r w:rsidR="005F55A3" w:rsidRPr="00381991">
        <w:t xml:space="preserve"> (b </w:t>
      </w:r>
      <w:r w:rsidR="00206653">
        <w:sym w:font="Symbol" w:char="F0C5"/>
      </w:r>
      <w:r w:rsidR="005F55A3" w:rsidRPr="00381991">
        <w:t xml:space="preserve"> c)</w:t>
      </w:r>
      <w:r w:rsidR="005F55A3">
        <w:t>). Furthermore, this must produce an identical prehension to that produced by an agent interacting with one neighborhood and then another one (</w:t>
      </w:r>
      <w:r w:rsidR="005F55A3" w:rsidRPr="005F55A3">
        <w:t xml:space="preserve">(a </w:t>
      </w:r>
      <w:r w:rsidR="00206653">
        <w:sym w:font="Symbol" w:char="F0C5"/>
      </w:r>
      <w:r w:rsidR="005F55A3" w:rsidRPr="005F55A3">
        <w:t xml:space="preserve"> b) </w:t>
      </w:r>
      <w:r w:rsidR="00206653">
        <w:sym w:font="Symbol" w:char="F0C5"/>
      </w:r>
      <w:r w:rsidR="005F55A3" w:rsidRPr="005F55A3">
        <w:t xml:space="preserve"> c</w:t>
      </w:r>
      <w:r w:rsidR="005F55A3">
        <w:t>).</w:t>
      </w:r>
    </w:p>
    <w:p w14:paraId="1FE0CD1C" w14:textId="229D2092" w:rsidR="00952FCC" w:rsidRPr="00FB442D" w:rsidRDefault="00952FCC" w:rsidP="001564C7">
      <w:pPr>
        <w:pStyle w:val="Heading5"/>
        <w:rPr>
          <w:b/>
        </w:rPr>
      </w:pPr>
      <w:r w:rsidRPr="00FB442D">
        <w:rPr>
          <w:b/>
        </w:rPr>
        <w:t>Identity:</w:t>
      </w:r>
      <w:r w:rsidR="00FB442D" w:rsidRPr="00FB442D">
        <w:t xml:space="preserve"> </w:t>
      </w:r>
      <w:r w:rsidR="00FB442D">
        <w:t xml:space="preserve">Any prehension </w:t>
      </w:r>
      <w:r w:rsidR="00614811">
        <w:t>prehending</w:t>
      </w:r>
      <w:r w:rsidR="00FB442D">
        <w:t xml:space="preserve"> the null prehension remains unchanged.</w:t>
      </w:r>
    </w:p>
    <w:p w14:paraId="0E2960E6" w14:textId="6A47F53D" w:rsidR="00952FCC" w:rsidRPr="001564C7" w:rsidRDefault="00952FCC" w:rsidP="001564C7">
      <w:pPr>
        <w:pStyle w:val="Heading5"/>
        <w:rPr>
          <w:b/>
        </w:rPr>
      </w:pPr>
      <w:r w:rsidRPr="00FB442D">
        <w:rPr>
          <w:b/>
        </w:rPr>
        <w:lastRenderedPageBreak/>
        <w:t>Invertibility:</w:t>
      </w:r>
      <w:r w:rsidR="00FB442D" w:rsidRPr="007659F1">
        <w:t xml:space="preserve"> </w:t>
      </w:r>
      <w:r w:rsidR="007659F1">
        <w:t>For any prehension, there is another prehension that combines with it to produce the null prehension.</w:t>
      </w:r>
    </w:p>
    <w:p w14:paraId="539BB88C" w14:textId="33B9D0CE" w:rsidR="001564C7" w:rsidRDefault="001564C7" w:rsidP="001564C7">
      <w:pPr>
        <w:pStyle w:val="Heading3"/>
      </w:pPr>
      <w:r>
        <w:t xml:space="preserve">The operation </w:t>
      </w:r>
      <w:r>
        <w:sym w:font="Symbol" w:char="F0C4"/>
      </w:r>
      <w:r>
        <w:t>, which we will call “intensify” (although it may also de-intensify) accepts an element of R and an element of G (a prehension), and produces an element of G.</w:t>
      </w:r>
    </w:p>
    <w:p w14:paraId="0AC26754" w14:textId="1B7464F6" w:rsidR="001564C7" w:rsidRDefault="001564C7" w:rsidP="001564C7">
      <w:pPr>
        <w:pStyle w:val="Heading4"/>
      </w:pPr>
      <w:r>
        <w:t>Axioms:</w:t>
      </w:r>
    </w:p>
    <w:p w14:paraId="7390F783" w14:textId="241336E5" w:rsidR="001564C7" w:rsidRDefault="001564C7" w:rsidP="001564C7">
      <w:pPr>
        <w:pStyle w:val="Heading5"/>
      </w:pPr>
      <w:r>
        <w:t xml:space="preserve">a, b </w:t>
      </w:r>
      <w:r>
        <w:sym w:font="Symbol" w:char="F0CE"/>
      </w:r>
      <w:r>
        <w:t xml:space="preserve"> G:</w:t>
      </w:r>
    </w:p>
    <w:p w14:paraId="2E94F8A2" w14:textId="1C6483D2" w:rsidR="001564C7" w:rsidRDefault="001564C7" w:rsidP="001564C7">
      <w:pPr>
        <w:pStyle w:val="Heading6"/>
      </w:pPr>
      <w:r>
        <w:t xml:space="preserve">(a </w:t>
      </w:r>
      <w:r>
        <w:sym w:font="Symbol" w:char="F0C5"/>
      </w:r>
      <w:r>
        <w:t xml:space="preserve"> b)x = ax </w:t>
      </w:r>
      <w:r>
        <w:sym w:font="Symbol" w:char="F0C5"/>
      </w:r>
      <w:r>
        <w:t xml:space="preserve"> bx</w:t>
      </w:r>
    </w:p>
    <w:p w14:paraId="0994F0BA" w14:textId="1AE08763" w:rsidR="0068065B" w:rsidRPr="00206653" w:rsidRDefault="0068065B" w:rsidP="001564C7">
      <w:pPr>
        <w:pStyle w:val="Heading6"/>
      </w:pPr>
      <w:r>
        <w:t xml:space="preserve">a(x </w:t>
      </w:r>
      <w:r>
        <w:sym w:font="Symbol" w:char="F0C5"/>
      </w:r>
      <w:r>
        <w:t xml:space="preserve"> y) = ax </w:t>
      </w:r>
      <w:r>
        <w:sym w:font="Symbol" w:char="F0C5"/>
      </w:r>
      <w:r>
        <w:t xml:space="preserve"> ay</w:t>
      </w:r>
    </w:p>
    <w:p w14:paraId="5AE0CA22" w14:textId="0A227B69" w:rsidR="00206653" w:rsidRDefault="00206653" w:rsidP="00206653">
      <w:pPr>
        <w:pStyle w:val="Heading3"/>
      </w:pPr>
      <w:r>
        <w:t>Meaning:</w:t>
      </w:r>
    </w:p>
    <w:p w14:paraId="67E52211" w14:textId="0D1F3058" w:rsidR="00206653" w:rsidRDefault="00206653" w:rsidP="00206653">
      <w:pPr>
        <w:pStyle w:val="Heading4"/>
      </w:pPr>
      <w:r>
        <w:t>An agent’s prehension of itself is its view of its own internal state.</w:t>
      </w:r>
    </w:p>
    <w:p w14:paraId="15E8555B" w14:textId="538A8FFA" w:rsidR="00206653" w:rsidRDefault="00206653" w:rsidP="00206653">
      <w:pPr>
        <w:pStyle w:val="Heading4"/>
      </w:pPr>
      <w:r>
        <w:t>An agent’s prehension of its environment is its view of its surroundings.</w:t>
      </w:r>
    </w:p>
    <w:p w14:paraId="77780CA8" w14:textId="0973B304" w:rsidR="00206653" w:rsidRDefault="00206653" w:rsidP="00206653">
      <w:pPr>
        <w:pStyle w:val="Heading4"/>
      </w:pPr>
      <w:r>
        <w:t>But from the point of view of the prehension module, these prehensions are interchangeable.</w:t>
      </w:r>
    </w:p>
    <w:p w14:paraId="05C248E8" w14:textId="092064CA" w:rsidR="00206653" w:rsidRDefault="00206653" w:rsidP="00206653">
      <w:pPr>
        <w:pStyle w:val="Heading4"/>
      </w:pPr>
      <w:r>
        <w:t>A null prehension could arise, e.g., from the environment when an agent has no neighbors. It could arise internally when an agent has “no opinion” on the relevant parameters, e.g., a color-blind agent in our fashion model.</w:t>
      </w:r>
    </w:p>
    <w:p w14:paraId="379895E6" w14:textId="70B2CDF2" w:rsidR="006C10B0" w:rsidRDefault="006C10B0" w:rsidP="00206653">
      <w:pPr>
        <w:pStyle w:val="Heading4"/>
      </w:pPr>
      <w:r>
        <w:t xml:space="preserve">Invertibility may occur, for instance, when an agent has some internal </w:t>
      </w:r>
      <w:r w:rsidR="00D813E7">
        <w:t>tendency to act in some way (e.g., to move to a new neighborhood or switch fashions) but some force in the environment exactly offsets that tendency (e.g., that “authorities” establish come penalty for so acting).</w:t>
      </w:r>
      <w:bookmarkStart w:id="0" w:name="_GoBack"/>
      <w:bookmarkEnd w:id="0"/>
    </w:p>
    <w:p w14:paraId="60AF3161" w14:textId="7FAC415E" w:rsidR="006C10B0" w:rsidRPr="00FB442D" w:rsidRDefault="006C10B0" w:rsidP="00206653">
      <w:pPr>
        <w:pStyle w:val="Heading4"/>
      </w:pPr>
      <w:r>
        <w:t>An intensification of a prehension leaves the elements of the prehension in the same internal relationship, but they are scaled up or down relative to other prehensions.</w:t>
      </w:r>
    </w:p>
    <w:p w14:paraId="474AD3EE" w14:textId="77777777" w:rsidR="00952FCC" w:rsidRDefault="00952FCC" w:rsidP="00952FCC">
      <w:pPr>
        <w:pStyle w:val="Heading4"/>
        <w:numPr>
          <w:ilvl w:val="0"/>
          <w:numId w:val="0"/>
        </w:numPr>
        <w:ind w:left="1440"/>
      </w:pPr>
    </w:p>
    <w:p w14:paraId="23BD2F14" w14:textId="77777777" w:rsidR="00716963" w:rsidRDefault="00716963">
      <w:pPr>
        <w:pStyle w:val="Heading1"/>
      </w:pPr>
      <w:r>
        <w:t>The advantages of employing this abstraction</w:t>
      </w:r>
    </w:p>
    <w:p w14:paraId="38384A14" w14:textId="5CC51AAA" w:rsidR="00381991" w:rsidRDefault="00381991" w:rsidP="00381991">
      <w:pPr>
        <w:pStyle w:val="Heading2"/>
      </w:pPr>
      <w:r>
        <w:t>Why bother?</w:t>
      </w:r>
    </w:p>
    <w:p w14:paraId="2A5D6A55" w14:textId="4CA30F23" w:rsidR="00381991" w:rsidRDefault="00381991" w:rsidP="00381991">
      <w:pPr>
        <w:pStyle w:val="Heading3"/>
      </w:pPr>
      <w:r>
        <w:t>We achieve a uniform template for all models</w:t>
      </w:r>
      <w:r w:rsidR="006C10B0">
        <w:t xml:space="preserve"> as far as how agents interact with their environment</w:t>
      </w:r>
      <w:r>
        <w:t xml:space="preserve">. Programming new models </w:t>
      </w:r>
      <w:r w:rsidR="006C10B0">
        <w:t xml:space="preserve">then </w:t>
      </w:r>
      <w:r>
        <w:t>becomes much easier.</w:t>
      </w:r>
    </w:p>
    <w:p w14:paraId="336B29E2" w14:textId="690DFE42" w:rsidR="00381991" w:rsidRDefault="00381991" w:rsidP="00381991">
      <w:pPr>
        <w:pStyle w:val="Heading3"/>
      </w:pPr>
      <w:r>
        <w:t>We will have taken a huge step towards enabling “fill-in-the-template” style programming of ABMs.</w:t>
      </w:r>
    </w:p>
    <w:p w14:paraId="09A82440" w14:textId="128370B6" w:rsidR="006C10B0" w:rsidRDefault="006C10B0" w:rsidP="00381991">
      <w:pPr>
        <w:pStyle w:val="Heading3"/>
      </w:pPr>
      <w:r>
        <w:t>We open up the possibility of using known properties of modules to identify properties of our ABM.</w:t>
      </w:r>
    </w:p>
    <w:p w14:paraId="2BC3E8A9" w14:textId="77777777" w:rsidR="0080767F" w:rsidRDefault="00716963">
      <w:pPr>
        <w:pStyle w:val="Heading1"/>
      </w:pPr>
      <w:r>
        <w:lastRenderedPageBreak/>
        <w:t>a sketch of the usual action pattern</w:t>
      </w:r>
    </w:p>
    <w:p w14:paraId="3676D61A" w14:textId="776F7353" w:rsidR="0080767F" w:rsidRDefault="007659F1" w:rsidP="007659F1">
      <w:r>
        <w:t xml:space="preserve">An agent gathers together a prehension of its environment, and then combines that with how it </w:t>
      </w:r>
      <w:r w:rsidR="006C10B0">
        <w:t>views its own state</w:t>
      </w:r>
      <w:r>
        <w:t xml:space="preserve"> (</w:t>
      </w:r>
      <w:r w:rsidR="006C10B0">
        <w:t>its self-prehension</w:t>
      </w:r>
      <w:r>
        <w:t>) to produce a new prehension, which it adopts as its own.</w:t>
      </w:r>
      <w:r w:rsidR="00381991">
        <w:t xml:space="preserve"> The new prehension may simply be adopted, or it may trigger some further step, such as a move</w:t>
      </w:r>
      <w:r w:rsidR="006C10B0">
        <w:t>ment in space</w:t>
      </w:r>
      <w:r w:rsidR="00381991">
        <w:t xml:space="preserve"> on the part of the agent.</w:t>
      </w:r>
    </w:p>
    <w:p w14:paraId="006531D5" w14:textId="0E54AD49" w:rsidR="00CE7D35" w:rsidRDefault="007659F1" w:rsidP="00CE7D35">
      <w:r>
        <w:t xml:space="preserve">However, while the above may be typical, our model allows the reverse: in some models (e.g., Forest Fire), it may be the environment that </w:t>
      </w:r>
      <w:r w:rsidR="005F55A3">
        <w:t>adopts the new prehension.</w:t>
      </w:r>
      <w:r w:rsidR="006C10B0">
        <w:t xml:space="preserve"> Furthermore, environmental prehensions may interact directly with each other as well.</w:t>
      </w:r>
    </w:p>
    <w:p w14:paraId="45356603" w14:textId="4357B5BD" w:rsidR="00CE7D35" w:rsidRDefault="00CE7D35" w:rsidP="00CE7D35">
      <w:pPr>
        <w:pStyle w:val="Heading1"/>
      </w:pPr>
      <w:r>
        <w:t>Bibliography</w:t>
      </w:r>
    </w:p>
    <w:p w14:paraId="7728D77E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Morgan, Mary S. 2012. </w:t>
      </w:r>
      <w:r>
        <w:rPr>
          <w:rFonts w:eastAsia="Times New Roman"/>
          <w:i/>
          <w:iCs/>
        </w:rPr>
        <w:t>The World in the Model: How Economists Work and Think</w:t>
      </w:r>
      <w:r>
        <w:rPr>
          <w:rFonts w:eastAsia="Times New Roman"/>
        </w:rPr>
        <w:t>. Cambridge; New York: Cambridge University Press.</w:t>
      </w:r>
    </w:p>
    <w:p w14:paraId="64C386D5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Schelling, Thomas C. 2006. </w:t>
      </w:r>
      <w:r>
        <w:rPr>
          <w:rFonts w:eastAsia="Times New Roman"/>
          <w:i/>
          <w:iCs/>
        </w:rPr>
        <w:t>Micromotives and Macrobehavior</w:t>
      </w:r>
      <w:r>
        <w:rPr>
          <w:rFonts w:eastAsia="Times New Roman"/>
        </w:rPr>
        <w:t>. New York: Norton.</w:t>
      </w:r>
    </w:p>
    <w:p w14:paraId="6E95E590" w14:textId="503E867B" w:rsidR="00DA545B" w:rsidRP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Stepanov, Alexander A, and Daniel E Rose. 2015. </w:t>
      </w:r>
      <w:r>
        <w:rPr>
          <w:rFonts w:eastAsia="Times New Roman"/>
          <w:i/>
          <w:iCs/>
        </w:rPr>
        <w:t>From Mathematics to Generic Programming</w:t>
      </w:r>
      <w:r>
        <w:rPr>
          <w:rFonts w:eastAsia="Times New Roman"/>
        </w:rPr>
        <w:t>. Upper Saddle River, NJ [u.a.]: Addison-Wesley.</w:t>
      </w:r>
    </w:p>
    <w:p w14:paraId="2059CA09" w14:textId="77777777" w:rsidR="00DA545B" w:rsidRDefault="00DA545B" w:rsidP="00DA545B">
      <w:pPr>
        <w:ind w:hanging="480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Whitehead, Alfred North. 2014. </w:t>
      </w:r>
      <w:r>
        <w:rPr>
          <w:rFonts w:eastAsia="Times New Roman"/>
          <w:i/>
          <w:iCs/>
        </w:rPr>
        <w:t>Process and Reality</w:t>
      </w:r>
      <w:r>
        <w:rPr>
          <w:rFonts w:eastAsia="Times New Roman"/>
        </w:rPr>
        <w:t>. [S.l.]: Free Press. http://rbdigital.oneclickdigital.com.</w:t>
      </w:r>
    </w:p>
    <w:p w14:paraId="16E3E63C" w14:textId="77777777" w:rsidR="00CE7D35" w:rsidRDefault="00CE7D35" w:rsidP="00DA545B">
      <w:pPr>
        <w:pStyle w:val="Biblio"/>
      </w:pPr>
    </w:p>
    <w:sectPr w:rsidR="00CE7D3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56DD8" w14:textId="77777777" w:rsidR="00CA0EE1" w:rsidRDefault="00CA0EE1">
      <w:pPr>
        <w:spacing w:after="0" w:line="240" w:lineRule="auto"/>
      </w:pPr>
      <w:r>
        <w:separator/>
      </w:r>
    </w:p>
    <w:p w14:paraId="3A63EC48" w14:textId="77777777" w:rsidR="00CA0EE1" w:rsidRDefault="00CA0EE1"/>
  </w:endnote>
  <w:endnote w:type="continuationSeparator" w:id="0">
    <w:p w14:paraId="27B3FF6A" w14:textId="77777777" w:rsidR="00CA0EE1" w:rsidRDefault="00CA0EE1">
      <w:pPr>
        <w:spacing w:after="0" w:line="240" w:lineRule="auto"/>
      </w:pPr>
      <w:r>
        <w:continuationSeparator/>
      </w:r>
    </w:p>
    <w:p w14:paraId="3F5A3D08" w14:textId="77777777" w:rsidR="00CA0EE1" w:rsidRDefault="00CA0E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47C91" w14:textId="77777777" w:rsidR="0080767F" w:rsidRDefault="000B4B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813E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3157E" w14:textId="77777777" w:rsidR="00CA0EE1" w:rsidRDefault="00CA0EE1">
      <w:pPr>
        <w:spacing w:after="0" w:line="240" w:lineRule="auto"/>
      </w:pPr>
      <w:r>
        <w:separator/>
      </w:r>
    </w:p>
    <w:p w14:paraId="561C41CA" w14:textId="77777777" w:rsidR="00CA0EE1" w:rsidRDefault="00CA0EE1"/>
  </w:footnote>
  <w:footnote w:type="continuationSeparator" w:id="0">
    <w:p w14:paraId="56241849" w14:textId="77777777" w:rsidR="00CA0EE1" w:rsidRDefault="00CA0EE1">
      <w:pPr>
        <w:spacing w:after="0" w:line="240" w:lineRule="auto"/>
      </w:pPr>
      <w:r>
        <w:continuationSeparator/>
      </w:r>
    </w:p>
    <w:p w14:paraId="41C48A14" w14:textId="77777777" w:rsidR="00CA0EE1" w:rsidRDefault="00CA0E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94BB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D684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D08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2F0A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D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27EC6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61C4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440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F0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0C66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F8C2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ctiveWritingStyle w:appName="MSWord" w:lang="en-US" w:vendorID="64" w:dllVersion="131078" w:nlCheck="1" w:checkStyle="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63"/>
    <w:rsid w:val="000B4B66"/>
    <w:rsid w:val="000C26BF"/>
    <w:rsid w:val="001564C7"/>
    <w:rsid w:val="00206653"/>
    <w:rsid w:val="00251116"/>
    <w:rsid w:val="0027084B"/>
    <w:rsid w:val="00381991"/>
    <w:rsid w:val="005F55A3"/>
    <w:rsid w:val="00614811"/>
    <w:rsid w:val="0068065B"/>
    <w:rsid w:val="006C10B0"/>
    <w:rsid w:val="00716963"/>
    <w:rsid w:val="007659F1"/>
    <w:rsid w:val="0080767F"/>
    <w:rsid w:val="00952FCC"/>
    <w:rsid w:val="00A95AF5"/>
    <w:rsid w:val="00CA0EE1"/>
    <w:rsid w:val="00CE7D35"/>
    <w:rsid w:val="00D813E7"/>
    <w:rsid w:val="00DA545B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3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991"/>
    <w:pPr>
      <w:keepNext/>
      <w:numPr>
        <w:numId w:val="1"/>
      </w:numPr>
      <w:spacing w:before="600" w:after="24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91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qFormat/>
    <w:rsid w:val="00DA545B"/>
    <w:pPr>
      <w:spacing w:before="120" w:line="480" w:lineRule="auto"/>
      <w:ind w:left="0" w:firstLine="706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A545B"/>
    <w:rPr>
      <w:rFonts w:ascii="Times New Roman" w:hAnsi="Times New Roman" w:cs="Times New Roman"/>
      <w:i/>
      <w:iCs/>
      <w:color w:val="000000" w:themeColor="text1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iblio">
    <w:name w:val="Biblio"/>
    <w:basedOn w:val="Normal"/>
    <w:qFormat/>
    <w:rsid w:val="00DA545B"/>
    <w:pPr>
      <w:spacing w:after="240" w:line="480" w:lineRule="auto"/>
      <w:ind w:left="562" w:hanging="562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ExtendedQuote">
    <w:name w:val="ExtendedQuote"/>
    <w:basedOn w:val="Normal"/>
    <w:qFormat/>
    <w:rsid w:val="00DA545B"/>
    <w:pPr>
      <w:spacing w:before="12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ExtendedQuoteInd">
    <w:name w:val="ExtendedQuoteInd"/>
    <w:basedOn w:val="Normal"/>
    <w:qFormat/>
    <w:rsid w:val="00DA545B"/>
    <w:pPr>
      <w:spacing w:after="0" w:line="480" w:lineRule="auto"/>
      <w:ind w:left="576" w:right="576" w:firstLine="706"/>
    </w:pPr>
    <w:rPr>
      <w:rFonts w:ascii="Times New Roman" w:hAnsi="Times New Roman" w:cs="Times New Roman"/>
      <w:color w:val="auto"/>
      <w:szCs w:val="24"/>
      <w:lang w:eastAsia="en-US" w:bidi="en-US"/>
    </w:rPr>
  </w:style>
  <w:style w:type="paragraph" w:customStyle="1" w:styleId="FirstSectionPar">
    <w:name w:val="FirstSectionPar"/>
    <w:basedOn w:val="Normal"/>
    <w:qFormat/>
    <w:rsid w:val="00DA545B"/>
    <w:pPr>
      <w:spacing w:after="0" w:line="480" w:lineRule="auto"/>
      <w:ind w:left="0" w:firstLine="706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customStyle="1" w:styleId="LeadQuote">
    <w:name w:val="LeadQuote"/>
    <w:basedOn w:val="FirstSectionPar"/>
    <w:qFormat/>
    <w:rsid w:val="00DA545B"/>
    <w:pPr>
      <w:spacing w:line="360" w:lineRule="auto"/>
      <w:ind w:left="576" w:right="576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callah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46</TotalTime>
  <Pages>3</Pages>
  <Words>652</Words>
  <Characters>3720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5</cp:revision>
  <dcterms:created xsi:type="dcterms:W3CDTF">2015-12-11T06:11:00Z</dcterms:created>
  <dcterms:modified xsi:type="dcterms:W3CDTF">2015-12-11T07:18:00Z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