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w:t>
      </w:r>
      <w:r>
        <w:t xml:space="preserve"> in ABMs</w:t>
      </w:r>
      <w:r>
        <w:t xml:space="preserve">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w:t>
      </w:r>
      <w:bookmarkStart w:id="0" w:name="_GoBack"/>
      <w:bookmarkEnd w:id="0"/>
      <w:r>
        <w:t>eph’s College, NY</w:t>
      </w:r>
    </w:p>
    <w:p w14:paraId="55665865" w14:textId="1E79C50B" w:rsidR="00E02C2A" w:rsidRDefault="00E02C2A" w:rsidP="00E02C2A">
      <w:pPr>
        <w:pStyle w:val="TitlePgInfo"/>
      </w:pPr>
      <w:r>
        <w:t xml:space="preserve">David </w:t>
      </w:r>
      <w:proofErr w:type="spellStart"/>
      <w:r>
        <w:t>Seppala-Holtzman</w:t>
      </w:r>
      <w:proofErr w:type="spellEnd"/>
    </w:p>
    <w:p w14:paraId="3D5FBA33" w14:textId="792F10D3" w:rsidR="00B72AAC" w:rsidRDefault="00B72AAC" w:rsidP="00E02C2A">
      <w:pPr>
        <w:pStyle w:val="TitlePgInfo"/>
      </w:pPr>
      <w:r>
        <w:t>dholtzman</w:t>
      </w:r>
      <w:r>
        <w:t>@sjcny.edu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77777777" w:rsidR="00F14E73" w:rsidRDefault="00F14E73" w:rsidP="00F14E73">
      <w:pPr>
        <w:pStyle w:val="FirstSectionPar"/>
      </w:pP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 xml:space="preserve">closure, associativity, identity and </w:t>
      </w:r>
      <w:proofErr w:type="spellStart"/>
      <w:r w:rsidR="00716963" w:rsidRPr="00716963">
        <w:t>invertibility</w:t>
      </w:r>
      <w:proofErr w:type="spellEnd"/>
      <w:r w:rsidR="00716963" w:rsidRPr="00716963">
        <w:t>.</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proofErr w:type="spellStart"/>
      <w:r w:rsidRPr="00716963">
        <w:rPr>
          <w:i/>
        </w:rPr>
        <w:t>prehensions</w:t>
      </w:r>
      <w:proofErr w:type="spellEnd"/>
      <w:r>
        <w:t xml:space="preserve">. A </w:t>
      </w:r>
      <w:proofErr w:type="spellStart"/>
      <w:r>
        <w:t>prehension</w:t>
      </w:r>
      <w:proofErr w:type="spellEnd"/>
      <w:r>
        <w:t xml:space="preserve">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w:t>
      </w:r>
      <w:proofErr w:type="spellStart"/>
      <w:r w:rsidR="00251116">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t>Closure:</w:t>
      </w:r>
      <w:r w:rsidR="00614811">
        <w:t xml:space="preserve"> Every </w:t>
      </w:r>
      <w:proofErr w:type="spellStart"/>
      <w:r w:rsidR="00614811">
        <w:t>prehend</w:t>
      </w:r>
      <w:r w:rsidR="006C10B0">
        <w:t>ing</w:t>
      </w:r>
      <w:proofErr w:type="spellEnd"/>
      <w:r>
        <w:t xml:space="preserve"> involving two </w:t>
      </w:r>
      <w:proofErr w:type="spellStart"/>
      <w:r w:rsidR="00247D1B">
        <w:t>prehensions</w:t>
      </w:r>
      <w:proofErr w:type="spellEnd"/>
      <w:r w:rsidR="00247D1B">
        <w:t xml:space="preserve"> will produce a</w:t>
      </w:r>
      <w:r>
        <w:t xml:space="preserve"> </w:t>
      </w:r>
      <w:proofErr w:type="spellStart"/>
      <w:r>
        <w:t>prehension</w:t>
      </w:r>
      <w:proofErr w:type="spellEnd"/>
      <w:r>
        <w:t>.</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xml:space="preserve">). Furthermore, this must produce an identical </w:t>
      </w:r>
      <w:proofErr w:type="spellStart"/>
      <w:r w:rsidR="005F55A3">
        <w:t>prehension</w:t>
      </w:r>
      <w:proofErr w:type="spellEnd"/>
      <w:r w:rsidR="005F55A3">
        <w:t xml:space="preserve">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w:t>
      </w:r>
      <w:proofErr w:type="spellStart"/>
      <w:r w:rsidR="00FB442D">
        <w:t>prehension</w:t>
      </w:r>
      <w:proofErr w:type="spellEnd"/>
      <w:r w:rsidR="00FB442D">
        <w:t xml:space="preserve"> </w:t>
      </w:r>
      <w:proofErr w:type="spellStart"/>
      <w:r w:rsidR="00614811">
        <w:t>prehending</w:t>
      </w:r>
      <w:proofErr w:type="spellEnd"/>
      <w:r w:rsidR="00FB442D">
        <w:t xml:space="preserve"> the n</w:t>
      </w:r>
      <w:r w:rsidR="007B0B61">
        <w:t xml:space="preserve">ull </w:t>
      </w:r>
      <w:proofErr w:type="spellStart"/>
      <w:r w:rsidR="007B0B61">
        <w:t>prehension</w:t>
      </w:r>
      <w:proofErr w:type="spellEnd"/>
      <w:r w:rsidR="007B0B61">
        <w:t xml:space="preserve"> produces itself</w:t>
      </w:r>
      <w:r w:rsidR="00FB442D">
        <w:t>.</w:t>
      </w:r>
    </w:p>
    <w:p w14:paraId="0E2960E6" w14:textId="6A47F53D" w:rsidR="00952FCC" w:rsidRPr="001564C7" w:rsidRDefault="00952FCC" w:rsidP="001564C7">
      <w:pPr>
        <w:pStyle w:val="Heading5"/>
        <w:rPr>
          <w:b/>
        </w:rPr>
      </w:pPr>
      <w:proofErr w:type="spellStart"/>
      <w:r w:rsidRPr="00FB442D">
        <w:rPr>
          <w:b/>
        </w:rPr>
        <w:t>Invertibility</w:t>
      </w:r>
      <w:proofErr w:type="spellEnd"/>
      <w:r w:rsidRPr="00FB442D">
        <w:rPr>
          <w:b/>
        </w:rPr>
        <w:t>:</w:t>
      </w:r>
      <w:r w:rsidR="00FB442D" w:rsidRPr="007659F1">
        <w:t xml:space="preserve"> </w:t>
      </w:r>
      <w:r w:rsidR="007659F1">
        <w:t xml:space="preserve">For any </w:t>
      </w:r>
      <w:proofErr w:type="spellStart"/>
      <w:r w:rsidR="007659F1">
        <w:t>prehension</w:t>
      </w:r>
      <w:proofErr w:type="spellEnd"/>
      <w:r w:rsidR="007659F1">
        <w:t xml:space="preserve">, there is another </w:t>
      </w:r>
      <w:proofErr w:type="spellStart"/>
      <w:r w:rsidR="007659F1">
        <w:t>prehension</w:t>
      </w:r>
      <w:proofErr w:type="spellEnd"/>
      <w:r w:rsidR="007659F1">
        <w:t xml:space="preserve"> that combines with it to produce the null </w:t>
      </w:r>
      <w:proofErr w:type="spellStart"/>
      <w:r w:rsidR="007659F1">
        <w:t>prehension</w:t>
      </w:r>
      <w:proofErr w:type="spellEnd"/>
      <w:r w:rsidR="007659F1">
        <w:t>.</w:t>
      </w:r>
    </w:p>
    <w:p w14:paraId="539BB88C" w14:textId="33B9D0CE" w:rsidR="001564C7" w:rsidRDefault="001564C7" w:rsidP="001564C7">
      <w:pPr>
        <w:pStyle w:val="Heading3"/>
      </w:pPr>
      <w:r>
        <w:lastRenderedPageBreak/>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w:t>
      </w:r>
      <w:proofErr w:type="spellStart"/>
      <w:r>
        <w:t>bx</w:t>
      </w:r>
      <w:proofErr w:type="spellEnd"/>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 xml:space="preserve">An agent’s </w:t>
      </w:r>
      <w:proofErr w:type="spellStart"/>
      <w:r>
        <w:t>prehension</w:t>
      </w:r>
      <w:proofErr w:type="spellEnd"/>
      <w:r>
        <w:t xml:space="preserve"> of itself is its view of its own internal state.</w:t>
      </w:r>
    </w:p>
    <w:p w14:paraId="15E8555B" w14:textId="538A8FFA" w:rsidR="00206653" w:rsidRDefault="00206653" w:rsidP="00206653">
      <w:pPr>
        <w:pStyle w:val="Heading4"/>
      </w:pPr>
      <w:r>
        <w:t xml:space="preserve">An agent’s </w:t>
      </w:r>
      <w:proofErr w:type="spellStart"/>
      <w:r>
        <w:t>prehension</w:t>
      </w:r>
      <w:proofErr w:type="spellEnd"/>
      <w:r>
        <w:t xml:space="preserve"> of its environment is its view of its surroundings.</w:t>
      </w:r>
    </w:p>
    <w:p w14:paraId="77780CA8" w14:textId="0973B304" w:rsidR="00206653" w:rsidRDefault="00206653" w:rsidP="00206653">
      <w:pPr>
        <w:pStyle w:val="Heading4"/>
      </w:pPr>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05C248E8" w14:textId="092064CA" w:rsidR="00206653" w:rsidRDefault="00206653" w:rsidP="00206653">
      <w:pPr>
        <w:pStyle w:val="Heading4"/>
      </w:pPr>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proofErr w:type="spellStart"/>
      <w:r>
        <w:t>Invertibility</w:t>
      </w:r>
      <w:proofErr w:type="spellEnd"/>
      <w:r>
        <w:t xml:space="preserve">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t>The advantages of employing this abstraction</w:t>
      </w:r>
    </w:p>
    <w:p w14:paraId="38384A14" w14:textId="5CC51AAA" w:rsidR="00381991" w:rsidRDefault="00381991" w:rsidP="00381991">
      <w:pPr>
        <w:pStyle w:val="Heading2"/>
      </w:pPr>
      <w:r>
        <w:t>Why bother?</w:t>
      </w:r>
    </w:p>
    <w:p w14:paraId="2A5D6A55" w14:textId="4CA30F23" w:rsidR="00381991" w:rsidRDefault="00381991" w:rsidP="00381991">
      <w:pPr>
        <w:pStyle w:val="Heading3"/>
      </w:pPr>
      <w:r>
        <w:t>We achieve a uniform template for all models</w:t>
      </w:r>
      <w:r w:rsidR="006C10B0">
        <w:t xml:space="preserve"> as far as how agents interact with their environment</w:t>
      </w:r>
      <w:r>
        <w:t xml:space="preserve">. Programming new models </w:t>
      </w:r>
      <w:r w:rsidR="006C10B0">
        <w:t xml:space="preserve">then </w:t>
      </w:r>
      <w:r>
        <w:t>becomes much easier.</w:t>
      </w:r>
    </w:p>
    <w:p w14:paraId="336B29E2" w14:textId="690DFE42" w:rsidR="00381991" w:rsidRDefault="00381991" w:rsidP="00381991">
      <w:pPr>
        <w:pStyle w:val="Heading3"/>
      </w:pPr>
      <w:r>
        <w:t>We will have taken a huge step towards enabling “fill-in-the-template” style programming of ABMs.</w:t>
      </w:r>
    </w:p>
    <w:p w14:paraId="09A82440" w14:textId="128370B6" w:rsidR="006C10B0" w:rsidRDefault="006C10B0" w:rsidP="00381991">
      <w:pPr>
        <w:pStyle w:val="Heading3"/>
      </w:pPr>
      <w:r>
        <w:t>We open up the possibility of using known properties of modules to identify properties of our ABM.</w:t>
      </w:r>
    </w:p>
    <w:p w14:paraId="2BC3E8A9" w14:textId="77777777" w:rsidR="0080767F" w:rsidRDefault="00716963">
      <w:pPr>
        <w:pStyle w:val="Heading1"/>
      </w:pPr>
      <w:r>
        <w:t>a sketch of the usual action pattern</w:t>
      </w:r>
    </w:p>
    <w:p w14:paraId="3676D61A" w14:textId="1307814E" w:rsidR="0080767F" w:rsidRDefault="007659F1" w:rsidP="007659F1">
      <w:r>
        <w:t xml:space="preserve">An agent gathers together a </w:t>
      </w:r>
      <w:proofErr w:type="spellStart"/>
      <w:r>
        <w:t>prehension</w:t>
      </w:r>
      <w:proofErr w:type="spellEnd"/>
      <w:r>
        <w:t xml:space="preserve"> of its environment, and then combines that with how it </w:t>
      </w:r>
      <w:r w:rsidR="006C10B0">
        <w:t>views its own state</w:t>
      </w:r>
      <w:r>
        <w:t xml:space="preserve"> (</w:t>
      </w:r>
      <w:r w:rsidR="006C10B0">
        <w:t>its self-</w:t>
      </w:r>
      <w:proofErr w:type="spellStart"/>
      <w:r w:rsidR="006C10B0">
        <w:t>prehension</w:t>
      </w:r>
      <w:proofErr w:type="spellEnd"/>
      <w:r>
        <w:t xml:space="preserve">) to produce a new </w:t>
      </w:r>
      <w:proofErr w:type="spellStart"/>
      <w:r>
        <w:t>prehen</w:t>
      </w:r>
      <w:r w:rsidR="00062175">
        <w:t>sion</w:t>
      </w:r>
      <w:proofErr w:type="spellEnd"/>
      <w:r>
        <w:t>.</w:t>
      </w:r>
      <w:r w:rsidR="00381991">
        <w:t xml:space="preserve"> The new </w:t>
      </w:r>
      <w:proofErr w:type="spellStart"/>
      <w:r w:rsidR="00381991">
        <w:lastRenderedPageBreak/>
        <w:t>prehension</w:t>
      </w:r>
      <w:proofErr w:type="spellEnd"/>
      <w:r w:rsidR="00381991">
        <w:t xml:space="preserve"> may simply be adopted, or it may trigger some further step, such as a move</w:t>
      </w:r>
      <w:r w:rsidR="006C10B0">
        <w:t>ment in space</w:t>
      </w:r>
      <w:r w:rsidR="00381991">
        <w:t xml:space="preserve"> on the part of the agent.</w:t>
      </w:r>
      <w:r w:rsidR="00062175">
        <w:t xml:space="preserve"> And each agent may </w:t>
      </w:r>
      <w:proofErr w:type="spellStart"/>
      <w:r w:rsidR="00062175">
        <w:t>prehend</w:t>
      </w:r>
      <w:proofErr w:type="spellEnd"/>
      <w:r w:rsidR="00062175">
        <w:t xml:space="preserve"> not only a local slice of the overall environment, but a different sized slice as well.</w:t>
      </w:r>
    </w:p>
    <w:p w14:paraId="076B265D" w14:textId="2F6451AE" w:rsidR="00062175" w:rsidRDefault="00062175" w:rsidP="007659F1">
      <w:r>
        <w:t xml:space="preserve">The combination of very generic processing in treating the </w:t>
      </w:r>
      <w:proofErr w:type="spellStart"/>
      <w:r>
        <w:t>prehensions</w:t>
      </w:r>
      <w:proofErr w:type="spellEnd"/>
      <w:r>
        <w:t xml:space="preserve">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062175">
      <w:pPr>
        <w:pStyle w:val="Heading2"/>
      </w:pPr>
      <w:r>
        <w:t>Some examples:</w:t>
      </w:r>
    </w:p>
    <w:p w14:paraId="518F8341" w14:textId="05CBD935" w:rsidR="00062175" w:rsidRDefault="00062175" w:rsidP="00062175">
      <w:pPr>
        <w:pStyle w:val="Heading3"/>
      </w:pPr>
      <w:r>
        <w:t>Fashion model</w:t>
      </w:r>
    </w:p>
    <w:p w14:paraId="785870F6" w14:textId="1C6FE447" w:rsidR="00062175" w:rsidRDefault="00062175" w:rsidP="00CE7D35">
      <w:r>
        <w:t xml:space="preserve">The </w:t>
      </w:r>
      <w:proofErr w:type="spellStart"/>
      <w:r>
        <w:t>prehension</w:t>
      </w:r>
      <w:proofErr w:type="spellEnd"/>
      <w:r>
        <w:t xml:space="preserve">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73F27BBC" w14:textId="77777777" w:rsidR="00062175" w:rsidRDefault="00062175" w:rsidP="00CE7D35"/>
    <w:p w14:paraId="6644EC79" w14:textId="539A212A" w:rsidR="00062175" w:rsidRDefault="00062175" w:rsidP="00062175">
      <w:pPr>
        <w:pStyle w:val="Heading3"/>
      </w:pPr>
      <w:r>
        <w:t>Financial market model</w:t>
      </w:r>
    </w:p>
    <w:p w14:paraId="7D30C8F4" w14:textId="772ED4ED" w:rsidR="00062175" w:rsidRDefault="00DB60CF" w:rsidP="00CE7D35">
      <w:r>
        <w:t xml:space="preserve">The </w:t>
      </w:r>
      <w:proofErr w:type="spellStart"/>
      <w:r>
        <w:t>prehension</w:t>
      </w:r>
      <w:proofErr w:type="spellEnd"/>
      <w:r>
        <w:t xml:space="preserve"> returned from the environment will be a vector representing the</w:t>
      </w:r>
      <w:r>
        <w:t xml:space="preserve"> buy/sell sentiment prevailing around the agent. </w:t>
      </w:r>
      <w:r>
        <w:t>The agent will modify her own</w:t>
      </w:r>
      <w:r>
        <w:t xml:space="preserve"> market stance </w:t>
      </w:r>
      <w:r>
        <w:t>based on that vector and the sort of agent she is.</w:t>
      </w:r>
      <w:r>
        <w:t xml:space="preserve"> </w:t>
      </w:r>
      <w:r>
        <w:t>(</w:t>
      </w:r>
      <w:r>
        <w:t>Chart</w:t>
      </w:r>
      <w:r>
        <w:t xml:space="preserve"> followers will incline toward the prevailing </w:t>
      </w:r>
      <w:r>
        <w:t>sentiment</w:t>
      </w:r>
      <w:r>
        <w:t xml:space="preserve">, while </w:t>
      </w:r>
      <w:r>
        <w:t>value investors</w:t>
      </w:r>
      <w:r>
        <w:t xml:space="preserve"> will move away from it.)</w:t>
      </w:r>
    </w:p>
    <w:p w14:paraId="457AC914" w14:textId="77777777" w:rsidR="00062175" w:rsidRDefault="00062175" w:rsidP="00CE7D35"/>
    <w:p w14:paraId="1280D5B7" w14:textId="77777777" w:rsidR="00062175" w:rsidRDefault="00062175" w:rsidP="00CE7D35"/>
    <w:p w14:paraId="5AF73115" w14:textId="27132770" w:rsidR="00062175" w:rsidRDefault="00062175" w:rsidP="00062175">
      <w:pPr>
        <w:pStyle w:val="Heading3"/>
      </w:pPr>
      <w:r>
        <w:t>Schelling’s segregation model</w:t>
      </w:r>
    </w:p>
    <w:p w14:paraId="281775E9" w14:textId="77777777" w:rsidR="00062175" w:rsidRDefault="00062175" w:rsidP="00CE7D35"/>
    <w:p w14:paraId="24DCCB95" w14:textId="77777777" w:rsidR="00062175" w:rsidRDefault="00062175" w:rsidP="00CE7D35"/>
    <w:p w14:paraId="3881CA91" w14:textId="77777777" w:rsidR="00062175" w:rsidRDefault="00062175" w:rsidP="00CE7D35"/>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 xml:space="preserve">adopts the new </w:t>
      </w:r>
      <w:proofErr w:type="spellStart"/>
      <w:r w:rsidR="005F55A3">
        <w:t>prehension</w:t>
      </w:r>
      <w:proofErr w:type="spellEnd"/>
      <w:r w:rsidR="005F55A3">
        <w:t>.</w:t>
      </w:r>
      <w:r w:rsidR="006C10B0">
        <w:t xml:space="preserve"> Furthermore, environmental </w:t>
      </w:r>
      <w:proofErr w:type="spellStart"/>
      <w:r w:rsidR="006C10B0">
        <w:t>prehensions</w:t>
      </w:r>
      <w:proofErr w:type="spellEnd"/>
      <w:r w:rsidR="006C10B0">
        <w:t xml:space="preserve"> may interact directly with each other as well.</w:t>
      </w:r>
    </w:p>
    <w:p w14:paraId="29FEBA81" w14:textId="77777777" w:rsidR="00677BF5" w:rsidRDefault="00677BF5" w:rsidP="00CE7D35"/>
    <w:p w14:paraId="2C45B876" w14:textId="739391F6" w:rsidR="00677BF5" w:rsidRDefault="00677BF5" w:rsidP="00677BF5">
      <w:pPr>
        <w:pStyle w:val="Heading1"/>
      </w:pPr>
      <w:r>
        <w:t>Implementation</w:t>
      </w:r>
      <w:r w:rsidR="00062175">
        <w:t xml:space="preserve"> details</w:t>
      </w:r>
    </w:p>
    <w:p w14:paraId="09C2594B" w14:textId="77777777" w:rsidR="00677BF5" w:rsidRDefault="00677BF5"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lastRenderedPageBreak/>
        <w:t>Bibliography</w:t>
      </w:r>
    </w:p>
    <w:p w14:paraId="7728D77E" w14:textId="77777777" w:rsidR="00DA545B" w:rsidRDefault="00DA545B" w:rsidP="00DA545B">
      <w:pPr>
        <w:ind w:hanging="480"/>
        <w:rPr>
          <w:rFonts w:eastAsia="Times New Roman"/>
          <w:sz w:val="24"/>
          <w:szCs w:val="24"/>
        </w:rPr>
      </w:pPr>
      <w:r>
        <w:rPr>
          <w:rFonts w:eastAsia="Times New Roman"/>
        </w:rPr>
        <w:t xml:space="preserve">Morgan, Mary S. 2012. </w:t>
      </w:r>
      <w:r>
        <w:rPr>
          <w:rFonts w:eastAsia="Times New Roman"/>
          <w:i/>
          <w:iCs/>
        </w:rPr>
        <w:t>The World in the Model: How Economists Work and Think</w:t>
      </w:r>
      <w:r>
        <w:rPr>
          <w:rFonts w:eastAsia="Times New Roman"/>
        </w:rPr>
        <w:t>. Cambridge; New York: Cambridge University Press.</w:t>
      </w:r>
    </w:p>
    <w:p w14:paraId="64C386D5" w14:textId="77777777" w:rsidR="00DA545B" w:rsidRDefault="00DA545B" w:rsidP="00DA545B">
      <w:pPr>
        <w:ind w:hanging="480"/>
        <w:rPr>
          <w:rFonts w:eastAsia="Times New Roman"/>
          <w:sz w:val="24"/>
          <w:szCs w:val="24"/>
        </w:rPr>
      </w:pPr>
      <w:r>
        <w:rPr>
          <w:rFonts w:eastAsia="Times New Roman"/>
        </w:rPr>
        <w:t xml:space="preserve">Schelling, Thomas C. 2006. </w:t>
      </w:r>
      <w:proofErr w:type="spellStart"/>
      <w:r>
        <w:rPr>
          <w:rFonts w:eastAsia="Times New Roman"/>
          <w:i/>
          <w:iCs/>
        </w:rPr>
        <w:t>Micromotives</w:t>
      </w:r>
      <w:proofErr w:type="spellEnd"/>
      <w:r>
        <w:rPr>
          <w:rFonts w:eastAsia="Times New Roman"/>
          <w:i/>
          <w:iCs/>
        </w:rPr>
        <w:t xml:space="preserve"> and </w:t>
      </w:r>
      <w:proofErr w:type="spellStart"/>
      <w:r>
        <w:rPr>
          <w:rFonts w:eastAsia="Times New Roman"/>
          <w:i/>
          <w:iCs/>
        </w:rPr>
        <w:t>Macrobehavior</w:t>
      </w:r>
      <w:proofErr w:type="spellEnd"/>
      <w:r>
        <w:rPr>
          <w:rFonts w:eastAsia="Times New Roman"/>
        </w:rPr>
        <w:t>. New York: Norton.</w:t>
      </w:r>
    </w:p>
    <w:p w14:paraId="6E95E590" w14:textId="503E867B" w:rsidR="00DA545B" w:rsidRPr="00DA545B" w:rsidRDefault="00DA545B" w:rsidP="00DA545B">
      <w:pPr>
        <w:ind w:hanging="480"/>
        <w:rPr>
          <w:rFonts w:eastAsia="Times New Roman"/>
          <w:sz w:val="24"/>
          <w:szCs w:val="24"/>
        </w:rPr>
      </w:pPr>
      <w:proofErr w:type="spellStart"/>
      <w:r>
        <w:rPr>
          <w:rFonts w:eastAsia="Times New Roman"/>
        </w:rPr>
        <w:t>Stepanov</w:t>
      </w:r>
      <w:proofErr w:type="spellEnd"/>
      <w:r>
        <w:rPr>
          <w:rFonts w:eastAsia="Times New Roman"/>
        </w:rPr>
        <w:t xml:space="preserve">, Alexander A, and Daniel E Rose. 2015. </w:t>
      </w:r>
      <w:r>
        <w:rPr>
          <w:rFonts w:eastAsia="Times New Roman"/>
          <w:i/>
          <w:iCs/>
        </w:rPr>
        <w:t>From Mathematics to Generic Programming</w:t>
      </w:r>
      <w:r>
        <w:rPr>
          <w:rFonts w:eastAsia="Times New Roman"/>
        </w:rPr>
        <w:t>. Upper Saddle River, NJ [</w:t>
      </w:r>
      <w:proofErr w:type="spellStart"/>
      <w:r>
        <w:rPr>
          <w:rFonts w:eastAsia="Times New Roman"/>
        </w:rPr>
        <w:t>u.a</w:t>
      </w:r>
      <w:proofErr w:type="spellEnd"/>
      <w:r>
        <w:rPr>
          <w:rFonts w:eastAsia="Times New Roman"/>
        </w:rPr>
        <w:t>.]: Addison-Wesley.</w:t>
      </w:r>
    </w:p>
    <w:p w14:paraId="2059CA09" w14:textId="77777777" w:rsidR="00DA545B" w:rsidRDefault="00DA545B" w:rsidP="00DA545B">
      <w:pPr>
        <w:ind w:hanging="480"/>
        <w:rPr>
          <w:rFonts w:eastAsia="Times New Roman"/>
          <w:sz w:val="24"/>
          <w:szCs w:val="24"/>
        </w:rPr>
      </w:pPr>
      <w:r>
        <w:rPr>
          <w:rFonts w:eastAsia="Times New Roman"/>
        </w:rPr>
        <w:t xml:space="preserve">Whitehead, Alfred North. 2014. </w:t>
      </w:r>
      <w:r>
        <w:rPr>
          <w:rFonts w:eastAsia="Times New Roman"/>
          <w:i/>
          <w:iCs/>
        </w:rPr>
        <w:t>Process and Reality</w:t>
      </w:r>
      <w:r>
        <w:rPr>
          <w:rFonts w:eastAsia="Times New Roman"/>
        </w:rPr>
        <w:t>. [</w:t>
      </w:r>
      <w:proofErr w:type="spellStart"/>
      <w:r>
        <w:rPr>
          <w:rFonts w:eastAsia="Times New Roman"/>
        </w:rPr>
        <w:t>S.l</w:t>
      </w:r>
      <w:proofErr w:type="spellEnd"/>
      <w:r>
        <w:rPr>
          <w:rFonts w:eastAsia="Times New Roman"/>
        </w:rPr>
        <w:t>.]: Free Press. http://rbdigital.oneclickdigital.com.</w:t>
      </w:r>
    </w:p>
    <w:p w14:paraId="16E3E63C" w14:textId="77777777" w:rsidR="00CE7D35" w:rsidRDefault="00CE7D35" w:rsidP="00DA545B">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4D561" w14:textId="77777777" w:rsidR="00E540CC" w:rsidRDefault="00E540CC">
      <w:pPr>
        <w:spacing w:after="0" w:line="240" w:lineRule="auto"/>
      </w:pPr>
      <w:r>
        <w:separator/>
      </w:r>
    </w:p>
    <w:p w14:paraId="5AFAB6D0" w14:textId="77777777" w:rsidR="00E540CC" w:rsidRDefault="00E540CC"/>
  </w:endnote>
  <w:endnote w:type="continuationSeparator" w:id="0">
    <w:p w14:paraId="57B80DEE" w14:textId="77777777" w:rsidR="00E540CC" w:rsidRDefault="00E540CC">
      <w:pPr>
        <w:spacing w:after="0" w:line="240" w:lineRule="auto"/>
      </w:pPr>
      <w:r>
        <w:continuationSeparator/>
      </w:r>
    </w:p>
    <w:p w14:paraId="4AFB3C1A" w14:textId="77777777" w:rsidR="00E540CC" w:rsidRDefault="00E54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80767F" w:rsidRDefault="000B4B66">
    <w:pPr>
      <w:pStyle w:val="Footer"/>
    </w:pPr>
    <w:r>
      <w:fldChar w:fldCharType="begin"/>
    </w:r>
    <w:r>
      <w:instrText xml:space="preserve"> PAGE   \* MERGEFORMAT </w:instrText>
    </w:r>
    <w:r>
      <w:fldChar w:fldCharType="separate"/>
    </w:r>
    <w:r w:rsidR="00B72AAC">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0A16E" w14:textId="77777777" w:rsidR="00E540CC" w:rsidRDefault="00E540CC">
      <w:pPr>
        <w:spacing w:after="0" w:line="240" w:lineRule="auto"/>
      </w:pPr>
      <w:r>
        <w:separator/>
      </w:r>
    </w:p>
    <w:p w14:paraId="112DB7E7" w14:textId="77777777" w:rsidR="00E540CC" w:rsidRDefault="00E540CC"/>
  </w:footnote>
  <w:footnote w:type="continuationSeparator" w:id="0">
    <w:p w14:paraId="4AA4EA15" w14:textId="77777777" w:rsidR="00E540CC" w:rsidRDefault="00E540CC">
      <w:pPr>
        <w:spacing w:after="0" w:line="240" w:lineRule="auto"/>
      </w:pPr>
      <w:r>
        <w:continuationSeparator/>
      </w:r>
    </w:p>
    <w:p w14:paraId="33B508D0" w14:textId="77777777" w:rsidR="00E540CC" w:rsidRDefault="00E540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E02C2A" w:rsidRDefault="00E02C2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AC">
      <w:rPr>
        <w:rStyle w:val="PageNumber"/>
        <w:noProof/>
      </w:rPr>
      <w:t>5</w:t>
    </w:r>
    <w:r>
      <w:rPr>
        <w:rStyle w:val="PageNumber"/>
      </w:rPr>
      <w:fldChar w:fldCharType="end"/>
    </w:r>
  </w:p>
  <w:p w14:paraId="4DA24A31" w14:textId="77777777" w:rsidR="00E02C2A" w:rsidRDefault="00E02C2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3">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62175"/>
    <w:rsid w:val="000B4B66"/>
    <w:rsid w:val="000C26BF"/>
    <w:rsid w:val="001564C7"/>
    <w:rsid w:val="001860FD"/>
    <w:rsid w:val="00206653"/>
    <w:rsid w:val="00246B71"/>
    <w:rsid w:val="00247D1B"/>
    <w:rsid w:val="00251116"/>
    <w:rsid w:val="0027084B"/>
    <w:rsid w:val="00381991"/>
    <w:rsid w:val="005F55A3"/>
    <w:rsid w:val="00614811"/>
    <w:rsid w:val="00677BF5"/>
    <w:rsid w:val="0068065B"/>
    <w:rsid w:val="006C10B0"/>
    <w:rsid w:val="00716963"/>
    <w:rsid w:val="007659F1"/>
    <w:rsid w:val="007B0B61"/>
    <w:rsid w:val="0080767F"/>
    <w:rsid w:val="00822E7A"/>
    <w:rsid w:val="00832789"/>
    <w:rsid w:val="00952FCC"/>
    <w:rsid w:val="00A95AF5"/>
    <w:rsid w:val="00B72AAC"/>
    <w:rsid w:val="00CA5DCA"/>
    <w:rsid w:val="00CC0EE2"/>
    <w:rsid w:val="00CE7D35"/>
    <w:rsid w:val="00CF71B5"/>
    <w:rsid w:val="00D813E7"/>
    <w:rsid w:val="00DA545B"/>
    <w:rsid w:val="00DB60CF"/>
    <w:rsid w:val="00E02C2A"/>
    <w:rsid w:val="00E4629A"/>
    <w:rsid w:val="00E540CC"/>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991"/>
    <w:pPr>
      <w:keepNext/>
      <w:numPr>
        <w:numId w:val="1"/>
      </w:numPr>
      <w:spacing w:before="600" w:after="24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91"/>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DA545B"/>
    <w:pPr>
      <w:spacing w:after="240" w:line="480" w:lineRule="auto"/>
      <w:ind w:left="562" w:hanging="562"/>
    </w:pPr>
    <w:rPr>
      <w:rFonts w:ascii="Times New Roman" w:hAnsi="Times New Roman" w:cs="Times New Roman"/>
      <w:color w:val="auto"/>
      <w:sz w:val="24"/>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rPr>
      <w:sz w:val="32"/>
    </w:r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23</TotalTime>
  <Pages>5</Pages>
  <Words>855</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11</cp:revision>
  <dcterms:created xsi:type="dcterms:W3CDTF">2016-01-06T06:01:00Z</dcterms:created>
  <dcterms:modified xsi:type="dcterms:W3CDTF">2016-02-17T14:56:00Z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