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0E23C" w14:textId="77777777" w:rsidR="0080767F" w:rsidRDefault="00716963">
      <w:pPr>
        <w:pStyle w:val="Date"/>
      </w:pPr>
      <w:r>
        <w:t>11/22/2105</w:t>
      </w:r>
    </w:p>
    <w:p w14:paraId="39941753" w14:textId="77777777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7B4B4E">
        <w:t xml:space="preserve">ALGEBRAIC </w:t>
      </w:r>
      <w:r w:rsidR="000C26BF">
        <w:t>MODUL</w:t>
      </w:r>
      <w:r w:rsidR="00614811">
        <w:t>es</w:t>
      </w:r>
    </w:p>
    <w:p w14:paraId="014FAAD7" w14:textId="77777777" w:rsidR="0080767F" w:rsidRDefault="000C26BF">
      <w:pPr>
        <w:pStyle w:val="Heading1"/>
      </w:pPr>
      <w:r>
        <w:t>The nature of the MODULE</w:t>
      </w:r>
    </w:p>
    <w:p w14:paraId="6859ABDB" w14:textId="77777777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 xml:space="preserve">contain a primary set that is an </w:t>
      </w:r>
      <w:r w:rsidR="007B4B4E">
        <w:t xml:space="preserve">Abelian </w:t>
      </w:r>
      <w:r w:rsidR="00614811">
        <w:t>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>closure, associativity, identity and invertibility.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7B4B4E">
        <w:t>roup and yields an</w:t>
      </w:r>
      <w:r w:rsidR="00206653">
        <w:t xml:space="preserve"> element</w:t>
      </w:r>
      <w:r w:rsidR="007B4B4E">
        <w:t>,</w:t>
      </w:r>
      <w:r w:rsidR="00206653">
        <w:t xml:space="preserve"> and its op</w:t>
      </w:r>
      <w:r w:rsidR="00614811">
        <w:t>eration satisfies these axioms.</w:t>
      </w:r>
    </w:p>
    <w:p w14:paraId="5322E1C7" w14:textId="77777777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7C3C5FD6" w14:textId="77777777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33359F10" w14:textId="77777777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r w:rsidR="007B4B4E">
        <w:t xml:space="preserve">G </w:t>
      </w:r>
      <w:r w:rsidRPr="00716963">
        <w:rPr>
          <w:i/>
        </w:rPr>
        <w:t>prehensions</w:t>
      </w:r>
      <w:r>
        <w:t xml:space="preserve">. A prehension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2B23E847" w14:textId="77777777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“prehend</w:t>
      </w:r>
      <w:r>
        <w:t>”, accepts two prehensions as arguments and produces a third prehension.</w:t>
      </w:r>
    </w:p>
    <w:p w14:paraId="1B92BFDD" w14:textId="77777777" w:rsidR="00952FCC" w:rsidRDefault="00952FCC" w:rsidP="001564C7">
      <w:pPr>
        <w:pStyle w:val="Heading4"/>
      </w:pPr>
      <w:r>
        <w:t>Axioms:</w:t>
      </w:r>
    </w:p>
    <w:p w14:paraId="67D7537B" w14:textId="7F6531EC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prehend</w:t>
      </w:r>
      <w:r w:rsidR="006C10B0">
        <w:t>ing</w:t>
      </w:r>
      <w:r>
        <w:t xml:space="preserve"> involvin</w:t>
      </w:r>
      <w:r w:rsidR="008B7469">
        <w:t>g two prehensions will produce</w:t>
      </w:r>
      <w:r>
        <w:t xml:space="preserve"> </w:t>
      </w:r>
      <w:r w:rsidR="007B4B4E">
        <w:t>a</w:t>
      </w:r>
      <w:r>
        <w:t xml:space="preserve"> prehension.</w:t>
      </w:r>
    </w:p>
    <w:p w14:paraId="4AAA797D" w14:textId="77777777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7F3875">
        <w:t xml:space="preserve"> </w:t>
      </w:r>
      <w:r w:rsidR="007F3875" w:rsidRPr="007F3875">
        <w:rPr>
          <w:highlight w:val="yellow"/>
        </w:rPr>
        <w:t>for all a, b and c</w:t>
      </w:r>
      <w:r w:rsidR="007F3875">
        <w:t>.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>). Furthermore, this must produce an identical prehension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09038828" w14:textId="77777777" w:rsidR="00952FCC" w:rsidRPr="007F3875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prehension </w:t>
      </w:r>
      <w:r w:rsidR="00614811">
        <w:t>prehending</w:t>
      </w:r>
      <w:r w:rsidR="00FB442D">
        <w:t xml:space="preserve"> the null prehension remains unchanged.</w:t>
      </w:r>
    </w:p>
    <w:p w14:paraId="678B0E8A" w14:textId="77777777" w:rsidR="007F3875" w:rsidRPr="00FB442D" w:rsidRDefault="007F3875" w:rsidP="001564C7">
      <w:pPr>
        <w:pStyle w:val="Heading5"/>
        <w:rPr>
          <w:b/>
        </w:rPr>
      </w:pPr>
      <w:r>
        <w:rPr>
          <w:b/>
        </w:rPr>
        <w:t>Commutativity: :</w:t>
      </w:r>
      <w:r w:rsidRPr="005F55A3">
        <w:t xml:space="preserve"> (a </w:t>
      </w:r>
      <w:r>
        <w:sym w:font="Symbol" w:char="F0C5"/>
      </w:r>
      <w:r w:rsidRPr="005F55A3">
        <w:t xml:space="preserve"> b)</w:t>
      </w:r>
      <w:r>
        <w:t xml:space="preserve"> =  (b</w:t>
      </w:r>
      <w:r w:rsidRPr="005F55A3">
        <w:t xml:space="preserve"> </w:t>
      </w:r>
      <w:r>
        <w:sym w:font="Symbol" w:char="F0C5"/>
      </w:r>
      <w:r>
        <w:t xml:space="preserve"> a</w:t>
      </w:r>
      <w:r w:rsidRPr="005F55A3">
        <w:t>)</w:t>
      </w:r>
      <w:r>
        <w:t xml:space="preserve">  </w:t>
      </w:r>
      <w:r w:rsidRPr="007F3875">
        <w:rPr>
          <w:highlight w:val="yellow"/>
        </w:rPr>
        <w:t>for all a and b.</w:t>
      </w:r>
      <w:r>
        <w:t xml:space="preserve"> </w:t>
      </w:r>
    </w:p>
    <w:p w14:paraId="5CB9C42F" w14:textId="77777777" w:rsidR="00952FCC" w:rsidRPr="001564C7" w:rsidRDefault="00952FCC" w:rsidP="001564C7">
      <w:pPr>
        <w:pStyle w:val="Heading5"/>
        <w:rPr>
          <w:b/>
        </w:rPr>
      </w:pPr>
      <w:r w:rsidRPr="00FB442D">
        <w:rPr>
          <w:b/>
        </w:rPr>
        <w:lastRenderedPageBreak/>
        <w:t>Invertibility:</w:t>
      </w:r>
      <w:r w:rsidR="00FB442D" w:rsidRPr="007659F1">
        <w:t xml:space="preserve"> </w:t>
      </w:r>
      <w:r w:rsidR="007659F1">
        <w:t>For any prehension, there is another prehension that combines with it to produce the null prehension.</w:t>
      </w:r>
    </w:p>
    <w:p w14:paraId="5DA8292C" w14:textId="77777777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>, which we will call “intensify” (although it may also de-intensify) accepts an element of R and an element of G (a prehension), and produces an element of G.</w:t>
      </w:r>
    </w:p>
    <w:p w14:paraId="17405E9E" w14:textId="77777777" w:rsidR="001564C7" w:rsidRDefault="001564C7" w:rsidP="001564C7">
      <w:pPr>
        <w:pStyle w:val="Heading4"/>
      </w:pPr>
      <w:r>
        <w:t>Axioms:</w:t>
      </w:r>
    </w:p>
    <w:p w14:paraId="1B7AA0E0" w14:textId="70860ED6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 w:rsidR="007F3875">
        <w:t xml:space="preserve"> G and x</w:t>
      </w:r>
      <w:r w:rsidR="008F27FE">
        <w:t>,</w:t>
      </w:r>
      <w:r w:rsidR="00A949FF">
        <w:t xml:space="preserve"> </w:t>
      </w:r>
      <w:r w:rsidR="008F27FE">
        <w:t>y</w:t>
      </w:r>
      <w:r w:rsidR="007F3875">
        <w:t xml:space="preserve"> </w:t>
      </w:r>
      <w:r w:rsidR="007F3875">
        <w:sym w:font="Symbol" w:char="F0CE"/>
      </w:r>
      <w:r w:rsidR="00A949FF">
        <w:t xml:space="preserve"> </w:t>
      </w:r>
      <w:r w:rsidR="007F3875">
        <w:t>R</w:t>
      </w:r>
    </w:p>
    <w:p w14:paraId="4A7A842C" w14:textId="77777777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</w:t>
      </w:r>
      <w:r w:rsidR="007F3875" w:rsidRPr="007F3875">
        <w:t xml:space="preserve"> </w:t>
      </w:r>
      <w:r w:rsidR="007F3875">
        <w:sym w:font="Symbol" w:char="F0C4"/>
      </w:r>
      <w:r>
        <w:t xml:space="preserve">x = ax </w:t>
      </w:r>
      <w:r>
        <w:sym w:font="Symbol" w:char="F0C5"/>
      </w:r>
      <w:r>
        <w:t xml:space="preserve"> bx</w:t>
      </w:r>
    </w:p>
    <w:p w14:paraId="592D5ACF" w14:textId="77777777" w:rsidR="0068065B" w:rsidRPr="00206653" w:rsidRDefault="0068065B" w:rsidP="001564C7">
      <w:pPr>
        <w:pStyle w:val="Heading6"/>
      </w:pPr>
      <w:r>
        <w:t>a</w:t>
      </w:r>
      <w:r w:rsidR="007B4B4E">
        <w:t xml:space="preserve"> </w:t>
      </w:r>
      <w:r w:rsidR="007F3875">
        <w:sym w:font="Symbol" w:char="F0C4"/>
      </w:r>
      <w:r w:rsidR="007F3875">
        <w:t xml:space="preserve"> </w:t>
      </w:r>
      <w:r>
        <w:t xml:space="preserve">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p w14:paraId="3C019456" w14:textId="77777777" w:rsidR="00206653" w:rsidRDefault="00206653" w:rsidP="00206653">
      <w:pPr>
        <w:pStyle w:val="Heading3"/>
      </w:pPr>
      <w:r>
        <w:t>Meaning:</w:t>
      </w:r>
    </w:p>
    <w:p w14:paraId="23A4789E" w14:textId="77777777" w:rsidR="00206653" w:rsidRDefault="00206653" w:rsidP="00206653">
      <w:pPr>
        <w:pStyle w:val="Heading4"/>
      </w:pPr>
      <w:r>
        <w:t>An agent’s prehension of itself is its view of its own internal state.</w:t>
      </w:r>
    </w:p>
    <w:p w14:paraId="77B402E9" w14:textId="77777777" w:rsidR="00206653" w:rsidRDefault="00206653" w:rsidP="00206653">
      <w:pPr>
        <w:pStyle w:val="Heading4"/>
      </w:pPr>
      <w:r>
        <w:t>An agent’s prehension of its environment is its view of its surroundings.</w:t>
      </w:r>
    </w:p>
    <w:p w14:paraId="4FE0A9B7" w14:textId="77777777" w:rsidR="00206653" w:rsidRDefault="00206653" w:rsidP="00206653">
      <w:pPr>
        <w:pStyle w:val="Heading4"/>
      </w:pPr>
      <w:r>
        <w:t>But from the point of view of the prehension module, these prehensions are interchangeable.</w:t>
      </w:r>
    </w:p>
    <w:p w14:paraId="78DBC218" w14:textId="77777777" w:rsidR="00206653" w:rsidRDefault="00206653" w:rsidP="00206653">
      <w:pPr>
        <w:pStyle w:val="Heading4"/>
      </w:pPr>
      <w:r>
        <w:t>A null prehension could arise, e.g., from the environment when an agent has no neighbors. It could arise internally when an agent has “no opinion” on the relevant parameters, e.g., a color-blind agent in our fashion model.</w:t>
      </w:r>
    </w:p>
    <w:p w14:paraId="21B21326" w14:textId="54A42F5E" w:rsidR="006C10B0" w:rsidRDefault="006C10B0" w:rsidP="00206653">
      <w:pPr>
        <w:pStyle w:val="Heading4"/>
      </w:pPr>
      <w:r>
        <w:t xml:space="preserve">Invertibility may occur, for instance, when an agent has some internal </w:t>
      </w:r>
      <w:r w:rsidR="00D813E7">
        <w:t>tendency</w:t>
      </w:r>
      <w:r w:rsidR="007B4B4E">
        <w:t>(a self-prehension)</w:t>
      </w:r>
      <w:r w:rsidR="00D813E7">
        <w:t xml:space="preserve"> to act in some way (e.g., to move to a new neighborhood or switch fashions) b</w:t>
      </w:r>
      <w:r w:rsidR="007B4B4E">
        <w:t>ut some prehension</w:t>
      </w:r>
      <w:r w:rsidR="00D813E7">
        <w:t xml:space="preserve"> in the environment exactly offsets that tendency</w:t>
      </w:r>
      <w:r w:rsidR="00AC760F">
        <w:t xml:space="preserve"> (e.g., the</w:t>
      </w:r>
      <w:bookmarkStart w:id="0" w:name="_GoBack"/>
      <w:bookmarkEnd w:id="0"/>
      <w:r w:rsidR="00D813E7">
        <w:t xml:space="preserve"> “authorities” establish come penalty for so acting).</w:t>
      </w:r>
    </w:p>
    <w:p w14:paraId="4795592B" w14:textId="77777777" w:rsidR="006C10B0" w:rsidRPr="00FB442D" w:rsidRDefault="006C10B0" w:rsidP="00206653">
      <w:pPr>
        <w:pStyle w:val="Heading4"/>
      </w:pPr>
      <w:r>
        <w:t>An intensification of a prehension leaves the elements of the prehension in the same internal relationship, but they are scaled up or down relative to other prehensions.</w:t>
      </w:r>
      <w:r w:rsidR="00E4629A">
        <w:t xml:space="preserve"> This is useful for capturing </w:t>
      </w:r>
      <w:r w:rsidR="001860FD">
        <w:t>situations like the gradual dissipation of an attitude, or increasing fanaticism over time.</w:t>
      </w:r>
    </w:p>
    <w:p w14:paraId="478AA195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C65BE9A" w14:textId="77777777" w:rsidR="00716963" w:rsidRDefault="00716963">
      <w:pPr>
        <w:pStyle w:val="Heading1"/>
      </w:pPr>
      <w:r>
        <w:t>The advantages of employing this abstraction</w:t>
      </w:r>
    </w:p>
    <w:p w14:paraId="564DDBE2" w14:textId="77777777" w:rsidR="00381991" w:rsidRDefault="00381991" w:rsidP="00381991">
      <w:pPr>
        <w:pStyle w:val="Heading2"/>
      </w:pPr>
      <w:r>
        <w:t>Why bother?</w:t>
      </w:r>
    </w:p>
    <w:p w14:paraId="03F940F3" w14:textId="77777777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0C3D6792" w14:textId="77777777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2ABB15D8" w14:textId="77777777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6641D615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06BEE2F0" w14:textId="77777777" w:rsidR="0080767F" w:rsidRDefault="007659F1" w:rsidP="007659F1">
      <w:r>
        <w:t xml:space="preserve">An agent gathers together a prehension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self-prehension</w:t>
      </w:r>
      <w:r>
        <w:t>) to produce a new prehension, which it adopts as its own.</w:t>
      </w:r>
      <w:r w:rsidR="00381991">
        <w:t xml:space="preserve"> The new prehension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6414B59A" w14:textId="77777777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>adopts the new prehension.</w:t>
      </w:r>
      <w:r w:rsidR="006C10B0">
        <w:t xml:space="preserve"> Furthermore, environmental prehensions may interact directly with each other as well.</w:t>
      </w:r>
    </w:p>
    <w:p w14:paraId="0987B96E" w14:textId="77777777" w:rsidR="00CE7D35" w:rsidRDefault="00CE7D35" w:rsidP="00CE7D35">
      <w:pPr>
        <w:pStyle w:val="Heading1"/>
      </w:pPr>
      <w:r>
        <w:t>Bibliography</w:t>
      </w:r>
    </w:p>
    <w:p w14:paraId="36E15454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7D6CEA2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r>
        <w:rPr>
          <w:rFonts w:eastAsia="Times New Roman"/>
          <w:i/>
          <w:iCs/>
        </w:rPr>
        <w:t>Micromotives and Macrobehavior</w:t>
      </w:r>
      <w:r>
        <w:rPr>
          <w:rFonts w:eastAsia="Times New Roman"/>
        </w:rPr>
        <w:t>. New York: Norton.</w:t>
      </w:r>
    </w:p>
    <w:p w14:paraId="56602A51" w14:textId="77777777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Stepanov,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[u.a.]: Addison-Wesley.</w:t>
      </w:r>
    </w:p>
    <w:p w14:paraId="42445658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[S.l.]: Free Press. http://rbdigital.oneclickdigital.com.</w:t>
      </w:r>
    </w:p>
    <w:p w14:paraId="52B13D8B" w14:textId="77777777" w:rsidR="00CE7D35" w:rsidRDefault="00CE7D35" w:rsidP="00DA545B">
      <w:pPr>
        <w:pStyle w:val="Biblio"/>
      </w:pPr>
    </w:p>
    <w:sectPr w:rsidR="00CE7D35" w:rsidSect="00B421F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165D5" w14:textId="77777777" w:rsidR="00E4702D" w:rsidRDefault="00E4702D">
      <w:pPr>
        <w:spacing w:after="0" w:line="240" w:lineRule="auto"/>
      </w:pPr>
      <w:r>
        <w:separator/>
      </w:r>
    </w:p>
    <w:p w14:paraId="695C479C" w14:textId="77777777" w:rsidR="00E4702D" w:rsidRDefault="00E4702D"/>
  </w:endnote>
  <w:endnote w:type="continuationSeparator" w:id="0">
    <w:p w14:paraId="2F676EDA" w14:textId="77777777" w:rsidR="00E4702D" w:rsidRDefault="00E4702D">
      <w:pPr>
        <w:spacing w:after="0" w:line="240" w:lineRule="auto"/>
      </w:pPr>
      <w:r>
        <w:continuationSeparator/>
      </w:r>
    </w:p>
    <w:p w14:paraId="2E146C93" w14:textId="77777777" w:rsidR="00E4702D" w:rsidRDefault="00E47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0EBF" w14:textId="77777777" w:rsidR="0080767F" w:rsidRDefault="00B421FB">
    <w:pPr>
      <w:pStyle w:val="Footer"/>
    </w:pPr>
    <w:r>
      <w:fldChar w:fldCharType="begin"/>
    </w:r>
    <w:r w:rsidR="000B4B66">
      <w:instrText xml:space="preserve"> PAGE   \* MERGEFORMAT </w:instrText>
    </w:r>
    <w:r>
      <w:fldChar w:fldCharType="separate"/>
    </w:r>
    <w:r w:rsidR="00AC760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5158" w14:textId="77777777" w:rsidR="00E4702D" w:rsidRDefault="00E4702D">
      <w:pPr>
        <w:spacing w:after="0" w:line="240" w:lineRule="auto"/>
      </w:pPr>
      <w:r>
        <w:separator/>
      </w:r>
    </w:p>
    <w:p w14:paraId="13A37E01" w14:textId="77777777" w:rsidR="00E4702D" w:rsidRDefault="00E4702D"/>
  </w:footnote>
  <w:footnote w:type="continuationSeparator" w:id="0">
    <w:p w14:paraId="79BC5DE7" w14:textId="77777777" w:rsidR="00E4702D" w:rsidRDefault="00E4702D">
      <w:pPr>
        <w:spacing w:after="0" w:line="240" w:lineRule="auto"/>
      </w:pPr>
      <w:r>
        <w:continuationSeparator/>
      </w:r>
    </w:p>
    <w:p w14:paraId="4A6B591C" w14:textId="77777777" w:rsidR="00E4702D" w:rsidRDefault="00E4702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en-US" w:vendorID="64" w:dllVersion="131078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16AB5"/>
    <w:rsid w:val="000B4B66"/>
    <w:rsid w:val="000C26BF"/>
    <w:rsid w:val="001564C7"/>
    <w:rsid w:val="001860FD"/>
    <w:rsid w:val="00206653"/>
    <w:rsid w:val="00251116"/>
    <w:rsid w:val="0027084B"/>
    <w:rsid w:val="00381991"/>
    <w:rsid w:val="003F4195"/>
    <w:rsid w:val="00476073"/>
    <w:rsid w:val="005F55A3"/>
    <w:rsid w:val="00614811"/>
    <w:rsid w:val="0068065B"/>
    <w:rsid w:val="006C10B0"/>
    <w:rsid w:val="00716963"/>
    <w:rsid w:val="007659F1"/>
    <w:rsid w:val="00792C7E"/>
    <w:rsid w:val="007B4B4E"/>
    <w:rsid w:val="007F3875"/>
    <w:rsid w:val="0080767F"/>
    <w:rsid w:val="00865777"/>
    <w:rsid w:val="008B7469"/>
    <w:rsid w:val="008F27FE"/>
    <w:rsid w:val="00916B25"/>
    <w:rsid w:val="00952FCC"/>
    <w:rsid w:val="00A949FF"/>
    <w:rsid w:val="00A95AF5"/>
    <w:rsid w:val="00AC760F"/>
    <w:rsid w:val="00B421FB"/>
    <w:rsid w:val="00CC0EE2"/>
    <w:rsid w:val="00CE7D35"/>
    <w:rsid w:val="00D813E7"/>
    <w:rsid w:val="00DA545B"/>
    <w:rsid w:val="00E4629A"/>
    <w:rsid w:val="00E4702D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07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1FB"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B421F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21F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421F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B421F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rsid w:val="00B421F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421F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421F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421F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421FB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1FB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21FB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sid w:val="00B421FB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sid w:val="00B421FB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FB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FB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FB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B421F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FB"/>
  </w:style>
  <w:style w:type="paragraph" w:styleId="Footer">
    <w:name w:val="footer"/>
    <w:basedOn w:val="Normal"/>
    <w:link w:val="FooterChar"/>
    <w:uiPriority w:val="99"/>
    <w:unhideWhenUsed/>
    <w:qFormat/>
    <w:rsid w:val="00B421FB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FB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B421F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B421FB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421FB"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B421FB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B421FB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421FB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421FB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421FB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421FB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sid w:val="00B421F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421FB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421FB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FB"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B421FB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B421FB"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7F3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8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7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4B4E"/>
    <w:pPr>
      <w:spacing w:after="0" w:line="240" w:lineRule="auto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687</Words>
  <Characters>3922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 Callahan</dc:creator>
  <cp:lastModifiedBy>Gene Callahan</cp:lastModifiedBy>
  <cp:revision>4</cp:revision>
  <dcterms:created xsi:type="dcterms:W3CDTF">2015-12-12T04:59:00Z</dcterms:created>
  <dcterms:modified xsi:type="dcterms:W3CDTF">2015-12-13T03:02:00Z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