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288967E6" w:rsidR="0080767F" w:rsidRDefault="00716963">
      <w:pPr>
        <w:pStyle w:val="Title"/>
      </w:pPr>
      <w:r>
        <w:t>Treating Agent-Ba</w:t>
      </w:r>
      <w:r w:rsidR="00206653">
        <w:t xml:space="preserve">sed Models as </w:t>
      </w:r>
      <w:r w:rsidR="00614811">
        <w:t>vector spaces</w:t>
      </w:r>
    </w:p>
    <w:p w14:paraId="02986552" w14:textId="1EE90FBF" w:rsidR="0080767F" w:rsidRDefault="00614811">
      <w:pPr>
        <w:pStyle w:val="Heading1"/>
      </w:pPr>
      <w:r>
        <w:t>The nature of the vector space</w:t>
      </w:r>
    </w:p>
    <w:p w14:paraId="37F030FF" w14:textId="75C53C46" w:rsidR="00614811" w:rsidRDefault="00614811" w:rsidP="00716963">
      <w:r>
        <w:t>To be a vector space</w:t>
      </w:r>
      <w:r w:rsidR="00716963">
        <w:t xml:space="preserve"> an algebraic structure must </w:t>
      </w:r>
      <w:r>
        <w:t>contain a primary set that is an additive group</w:t>
      </w:r>
      <w:r w:rsidR="001564C7">
        <w:t>, G</w:t>
      </w:r>
      <w:r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>closure, associativity, identity and invertibility.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>
        <w:t>eration satisfies these axioms.</w:t>
      </w:r>
    </w:p>
    <w:p w14:paraId="2B73AFB1" w14:textId="52FC3A17" w:rsidR="00716963" w:rsidRDefault="00614811" w:rsidP="001564C7">
      <w:r>
        <w:t>In addition, a vector</w:t>
      </w:r>
      <w:r w:rsidR="001564C7">
        <w:t xml:space="preserve"> space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424E6804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1564C7">
        <w:t>as a Vector Space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Pr="00716963">
        <w:rPr>
          <w:i/>
        </w:rPr>
        <w:t>prehensions</w:t>
      </w:r>
      <w:r>
        <w:t xml:space="preserve">. A prehension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“prehend</w:t>
      </w:r>
      <w:r>
        <w:t>”, accepts two prehensions as arguments and produces a third prehension.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33E8BD0E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prehend</w:t>
      </w:r>
      <w:r>
        <w:t xml:space="preserve"> involving two prehensions will produce a third prehension.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>). Furthermore, this must produce an identical prehension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229D2092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prehension </w:t>
      </w:r>
      <w:r w:rsidR="00614811">
        <w:t>prehending</w:t>
      </w:r>
      <w:r w:rsidR="00FB442D">
        <w:t xml:space="preserve"> the null prehension remains unchanged.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r w:rsidRPr="00FB442D">
        <w:rPr>
          <w:b/>
        </w:rPr>
        <w:t>Invertibility:</w:t>
      </w:r>
      <w:r w:rsidR="00FB442D" w:rsidRPr="007659F1">
        <w:t xml:space="preserve"> </w:t>
      </w:r>
      <w:r w:rsidR="007659F1">
        <w:t>For any prehension, there is another prehension that combines with it to produce the null prehension.</w:t>
      </w:r>
    </w:p>
    <w:p w14:paraId="539BB88C" w14:textId="33B9D0CE" w:rsidR="001564C7" w:rsidRDefault="001564C7" w:rsidP="001564C7">
      <w:pPr>
        <w:pStyle w:val="Heading3"/>
      </w:pPr>
      <w:r>
        <w:lastRenderedPageBreak/>
        <w:t xml:space="preserve">The operation </w:t>
      </w:r>
      <w:r>
        <w:sym w:font="Symbol" w:char="F0C4"/>
      </w:r>
      <w:r>
        <w:t>, which we will call “intensify” (although it may also de-intensify) accepts an element of R and an element of G (a prehension),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bx</w:t>
      </w:r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  <w:bookmarkStart w:id="0" w:name="_GoBack"/>
      <w:bookmarkEnd w:id="0"/>
    </w:p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>An agent’s prehension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>An agent’s prehension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>But from the point of view of the prehension module, these prehensions are interchangeable.</w:t>
      </w:r>
    </w:p>
    <w:p w14:paraId="05C248E8" w14:textId="092064CA" w:rsidR="00206653" w:rsidRPr="00FB442D" w:rsidRDefault="00206653" w:rsidP="00206653">
      <w:pPr>
        <w:pStyle w:val="Heading4"/>
      </w:pPr>
      <w:r>
        <w:t>A null prehension could arise, e.g., from the environment when an agent has no neighbors. It could arise internally when an agent has “no opinion” on the relevant parameters, e.g., a color-blind agent in our fashion model.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313296CC" w:rsidR="00381991" w:rsidRDefault="00381991" w:rsidP="00381991">
      <w:pPr>
        <w:pStyle w:val="Heading3"/>
      </w:pPr>
      <w:r>
        <w:t>We achieve a uniform template for all models. Programming new models 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2BC3E8A9" w14:textId="77777777" w:rsidR="0080767F" w:rsidRDefault="00716963">
      <w:pPr>
        <w:pStyle w:val="Heading1"/>
      </w:pPr>
      <w:r>
        <w:t>a sketch of the usual action pattern</w:t>
      </w:r>
    </w:p>
    <w:p w14:paraId="3676D61A" w14:textId="58E01CEA" w:rsidR="0080767F" w:rsidRDefault="007659F1" w:rsidP="007659F1">
      <w:r>
        <w:t>An agent gathers together a prehension of its environment, and then combines that with how it presents itself to the environment (how it is prehended) to produce a new prehension, which it adopts as its own.</w:t>
      </w:r>
      <w:r w:rsidR="00381991">
        <w:t xml:space="preserve"> The new prehension may simply be adopted, or it may trigger some further step, such as a move on the part of the agent.</w:t>
      </w:r>
    </w:p>
    <w:p w14:paraId="006531D5" w14:textId="2C974C52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>adopts the new prehension.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 xml:space="preserve">Schelling, Thomas C. 2006. </w:t>
      </w:r>
      <w:r>
        <w:rPr>
          <w:rFonts w:eastAsia="Times New Roman"/>
          <w:i/>
          <w:iCs/>
        </w:rPr>
        <w:t>Micromotives and Macrobehavior</w:t>
      </w:r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Stepanov,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[u.a.]: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[S.l.]: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D595" w14:textId="77777777" w:rsidR="00845038" w:rsidRDefault="00845038">
      <w:pPr>
        <w:spacing w:after="0" w:line="240" w:lineRule="auto"/>
      </w:pPr>
      <w:r>
        <w:separator/>
      </w:r>
    </w:p>
    <w:p w14:paraId="4D877BB6" w14:textId="77777777" w:rsidR="00845038" w:rsidRDefault="00845038"/>
  </w:endnote>
  <w:endnote w:type="continuationSeparator" w:id="0">
    <w:p w14:paraId="182897B2" w14:textId="77777777" w:rsidR="00845038" w:rsidRDefault="00845038">
      <w:pPr>
        <w:spacing w:after="0" w:line="240" w:lineRule="auto"/>
      </w:pPr>
      <w:r>
        <w:continuationSeparator/>
      </w:r>
    </w:p>
    <w:p w14:paraId="68504255" w14:textId="77777777" w:rsidR="00845038" w:rsidRDefault="00845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8065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BB7B2" w14:textId="77777777" w:rsidR="00845038" w:rsidRDefault="00845038">
      <w:pPr>
        <w:spacing w:after="0" w:line="240" w:lineRule="auto"/>
      </w:pPr>
      <w:r>
        <w:separator/>
      </w:r>
    </w:p>
    <w:p w14:paraId="3022FBBC" w14:textId="77777777" w:rsidR="00845038" w:rsidRDefault="00845038"/>
  </w:footnote>
  <w:footnote w:type="continuationSeparator" w:id="0">
    <w:p w14:paraId="727E1E93" w14:textId="77777777" w:rsidR="00845038" w:rsidRDefault="00845038">
      <w:pPr>
        <w:spacing w:after="0" w:line="240" w:lineRule="auto"/>
      </w:pPr>
      <w:r>
        <w:continuationSeparator/>
      </w:r>
    </w:p>
    <w:p w14:paraId="6B67EB81" w14:textId="77777777" w:rsidR="00845038" w:rsidRDefault="0084503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1564C7"/>
    <w:rsid w:val="00206653"/>
    <w:rsid w:val="00251116"/>
    <w:rsid w:val="0027084B"/>
    <w:rsid w:val="00381991"/>
    <w:rsid w:val="005F55A3"/>
    <w:rsid w:val="00614811"/>
    <w:rsid w:val="0068065B"/>
    <w:rsid w:val="00716963"/>
    <w:rsid w:val="007659F1"/>
    <w:rsid w:val="0080767F"/>
    <w:rsid w:val="00845038"/>
    <w:rsid w:val="00952FCC"/>
    <w:rsid w:val="00A95AF5"/>
    <w:rsid w:val="00CE7D35"/>
    <w:rsid w:val="00DA545B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3</Pages>
  <Words>550</Words>
  <Characters>3137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4</cp:revision>
  <dcterms:created xsi:type="dcterms:W3CDTF">2015-12-11T06:11:00Z</dcterms:created>
  <dcterms:modified xsi:type="dcterms:W3CDTF">2015-12-11T06:52:00Z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