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13AED6" w14:textId="77777777" w:rsidR="0080767F" w:rsidRDefault="00716963">
      <w:pPr>
        <w:pStyle w:val="Date"/>
      </w:pPr>
      <w:bookmarkStart w:id="0" w:name="_GoBack"/>
      <w:bookmarkEnd w:id="0"/>
      <w:r>
        <w:t>11/22/2105</w:t>
      </w:r>
    </w:p>
    <w:p w14:paraId="4927453F" w14:textId="77777777" w:rsidR="0080767F" w:rsidRDefault="00716963">
      <w:pPr>
        <w:pStyle w:val="Title"/>
      </w:pPr>
      <w:r>
        <w:t>Treating Agent-Based Models as Mathematical groups</w:t>
      </w:r>
    </w:p>
    <w:p w14:paraId="02986552" w14:textId="77777777" w:rsidR="0080767F" w:rsidRDefault="00716963">
      <w:pPr>
        <w:pStyle w:val="Heading1"/>
      </w:pPr>
      <w:r>
        <w:t>The nature of the group</w:t>
      </w:r>
    </w:p>
    <w:p w14:paraId="2B73AFB1" w14:textId="5A69AFDB" w:rsidR="00716963" w:rsidRDefault="00716963" w:rsidP="00716963">
      <w:r>
        <w:t>To be a group an algebraic structure must satisfy four conditions</w:t>
      </w:r>
      <w:r w:rsidR="00952FCC">
        <w:t xml:space="preserve"> called group axioms</w:t>
      </w:r>
      <w:r>
        <w:t xml:space="preserve">: </w:t>
      </w:r>
      <w:r w:rsidRPr="00716963">
        <w:t xml:space="preserve">closure, associativity, identity and </w:t>
      </w:r>
      <w:proofErr w:type="spellStart"/>
      <w:r w:rsidRPr="00716963">
        <w:t>invertibility</w:t>
      </w:r>
      <w:proofErr w:type="spellEnd"/>
      <w:r w:rsidRPr="00716963">
        <w:t>.</w:t>
      </w:r>
      <w:r>
        <w:t xml:space="preserve"> There is an operator which takes two elements of the group and yields a third element.</w:t>
      </w:r>
    </w:p>
    <w:p w14:paraId="1027D5EC" w14:textId="3C9C6A58" w:rsidR="0080767F" w:rsidRDefault="00716963">
      <w:pPr>
        <w:pStyle w:val="Heading2"/>
      </w:pPr>
      <w:r>
        <w:t>An Analysis of a Generic</w:t>
      </w:r>
      <w:r w:rsidR="00381991">
        <w:t xml:space="preserve"> ABM as a G</w:t>
      </w:r>
      <w:r>
        <w:t>roup</w:t>
      </w:r>
    </w:p>
    <w:p w14:paraId="63468730" w14:textId="3E5B828B" w:rsidR="0080767F" w:rsidRDefault="00716963" w:rsidP="00716963">
      <w:pPr>
        <w:pStyle w:val="Heading3"/>
      </w:pPr>
      <w:r>
        <w:t>Elements: Following Whitehead</w:t>
      </w:r>
      <w:r w:rsidR="00DA545B">
        <w:t xml:space="preserve"> (2014)</w:t>
      </w:r>
      <w:r>
        <w:t xml:space="preserve">, we call the elements of our group </w:t>
      </w:r>
      <w:proofErr w:type="spellStart"/>
      <w:r w:rsidRPr="00716963">
        <w:rPr>
          <w:i/>
        </w:rPr>
        <w:t>prehensions</w:t>
      </w:r>
      <w:proofErr w:type="spellEnd"/>
      <w:r>
        <w:t xml:space="preserve">. A </w:t>
      </w:r>
      <w:proofErr w:type="spellStart"/>
      <w:r>
        <w:t>prehension</w:t>
      </w:r>
      <w:proofErr w:type="spellEnd"/>
      <w:r>
        <w:t xml:space="preserve"> can be roughly understood as a state of affairs </w:t>
      </w:r>
      <w:r w:rsidR="00381991">
        <w:t xml:space="preserve">in the world </w:t>
      </w:r>
      <w:r w:rsidRPr="00381991">
        <w:rPr>
          <w:i/>
        </w:rPr>
        <w:t>as seen from a particular point of view</w:t>
      </w:r>
      <w:r>
        <w:t>.</w:t>
      </w:r>
      <w:r w:rsidR="00381991">
        <w:t xml:space="preserve"> (In this case the world is the world of our model [see Morgan</w:t>
      </w:r>
      <w:r w:rsidR="00DA545B">
        <w:t xml:space="preserve"> 2012</w:t>
      </w:r>
      <w:r w:rsidR="00381991">
        <w:t>], but Whitehead views this as a useful metaphysics for the actual world.)</w:t>
      </w:r>
    </w:p>
    <w:p w14:paraId="692DACCA" w14:textId="188EFB1C" w:rsidR="00952FCC" w:rsidRDefault="00952FCC" w:rsidP="00716963">
      <w:pPr>
        <w:pStyle w:val="Heading3"/>
      </w:pPr>
      <w:r>
        <w:t>Operation: The operation</w:t>
      </w:r>
      <w:r w:rsidR="005F55A3">
        <w:t xml:space="preserve"> </w:t>
      </w:r>
      <w:r w:rsidR="005F55A3">
        <w:sym w:font="Symbol" w:char="F0B7"/>
      </w:r>
      <w:r>
        <w:t xml:space="preserve">, which we will call “act”, accepts two </w:t>
      </w:r>
      <w:proofErr w:type="spellStart"/>
      <w:r>
        <w:t>prehensions</w:t>
      </w:r>
      <w:proofErr w:type="spellEnd"/>
      <w:r>
        <w:t xml:space="preserve"> as arguments and produces a third </w:t>
      </w:r>
      <w:proofErr w:type="spellStart"/>
      <w:r>
        <w:t>prehension</w:t>
      </w:r>
      <w:proofErr w:type="spellEnd"/>
      <w:r>
        <w:t>.</w:t>
      </w:r>
    </w:p>
    <w:p w14:paraId="6548282D" w14:textId="00EB3555" w:rsidR="00952FCC" w:rsidRDefault="00952FCC" w:rsidP="00716963">
      <w:pPr>
        <w:pStyle w:val="Heading3"/>
      </w:pPr>
      <w:r>
        <w:t>Axioms:</w:t>
      </w:r>
    </w:p>
    <w:p w14:paraId="238C4452" w14:textId="0ABB4919" w:rsidR="00952FCC" w:rsidRDefault="00952FCC" w:rsidP="00952FCC">
      <w:pPr>
        <w:pStyle w:val="Heading4"/>
      </w:pPr>
      <w:r w:rsidRPr="00952FCC">
        <w:rPr>
          <w:b/>
        </w:rPr>
        <w:t>Closure:</w:t>
      </w:r>
      <w:r>
        <w:t xml:space="preserve"> Every act involving two </w:t>
      </w:r>
      <w:proofErr w:type="spellStart"/>
      <w:r>
        <w:t>prehensions</w:t>
      </w:r>
      <w:proofErr w:type="spellEnd"/>
      <w:r>
        <w:t xml:space="preserve"> will produce a third </w:t>
      </w:r>
      <w:proofErr w:type="spellStart"/>
      <w:r>
        <w:t>prehension</w:t>
      </w:r>
      <w:proofErr w:type="spellEnd"/>
      <w:r>
        <w:t>.</w:t>
      </w:r>
    </w:p>
    <w:p w14:paraId="4DEFFA54" w14:textId="771FEA48" w:rsidR="00952FCC" w:rsidRDefault="00952FCC" w:rsidP="00381991">
      <w:pPr>
        <w:pStyle w:val="Heading4"/>
      </w:pPr>
      <w:r>
        <w:rPr>
          <w:b/>
        </w:rPr>
        <w:t>Associativity:</w:t>
      </w:r>
      <w:r w:rsidR="005F55A3" w:rsidRPr="005F55A3">
        <w:t xml:space="preserve"> </w:t>
      </w:r>
      <w:r w:rsidR="005F55A3" w:rsidRPr="005F55A3">
        <w:rPr>
          <w:i w:val="0"/>
        </w:rPr>
        <w:t xml:space="preserve">(a </w:t>
      </w:r>
      <w:r w:rsidR="005F55A3" w:rsidRPr="005F55A3">
        <w:rPr>
          <w:i w:val="0"/>
        </w:rPr>
        <w:sym w:font="Symbol" w:char="F0B7"/>
      </w:r>
      <w:r w:rsidR="005F55A3" w:rsidRPr="005F55A3">
        <w:rPr>
          <w:i w:val="0"/>
        </w:rPr>
        <w:t xml:space="preserve"> b) </w:t>
      </w:r>
      <w:r w:rsidR="005F55A3" w:rsidRPr="005F55A3">
        <w:rPr>
          <w:i w:val="0"/>
        </w:rPr>
        <w:sym w:font="Symbol" w:char="F0B7"/>
      </w:r>
      <w:r w:rsidR="005F55A3" w:rsidRPr="005F55A3">
        <w:rPr>
          <w:i w:val="0"/>
        </w:rPr>
        <w:t xml:space="preserve"> c = a </w:t>
      </w:r>
      <w:r w:rsidR="005F55A3" w:rsidRPr="005F55A3">
        <w:rPr>
          <w:i w:val="0"/>
        </w:rPr>
        <w:sym w:font="Symbol" w:char="F0B7"/>
      </w:r>
      <w:r w:rsidR="005F55A3" w:rsidRPr="005F55A3">
        <w:rPr>
          <w:i w:val="0"/>
        </w:rPr>
        <w:t xml:space="preserve"> (b </w:t>
      </w:r>
      <w:r w:rsidR="005F55A3" w:rsidRPr="005F55A3">
        <w:rPr>
          <w:i w:val="0"/>
        </w:rPr>
        <w:sym w:font="Symbol" w:char="F0B7"/>
      </w:r>
      <w:r w:rsidR="005F55A3" w:rsidRPr="005F55A3">
        <w:rPr>
          <w:i w:val="0"/>
        </w:rPr>
        <w:t xml:space="preserve"> c)</w:t>
      </w:r>
      <w:r w:rsidR="00381991">
        <w:br/>
      </w:r>
      <w:r w:rsidR="005F55A3">
        <w:t>In a typical agent model, this will mean that we must ensure that, say, a neighborhood can interact with a neighborhood (</w:t>
      </w:r>
      <w:r w:rsidR="005F55A3" w:rsidRPr="00381991">
        <w:rPr>
          <w:i w:val="0"/>
        </w:rPr>
        <w:t xml:space="preserve">b </w:t>
      </w:r>
      <w:r w:rsidR="005F55A3" w:rsidRPr="00381991">
        <w:rPr>
          <w:i w:val="0"/>
        </w:rPr>
        <w:sym w:font="Symbol" w:char="F0B7"/>
      </w:r>
      <w:r w:rsidR="005F55A3" w:rsidRPr="00381991">
        <w:rPr>
          <w:i w:val="0"/>
        </w:rPr>
        <w:t xml:space="preserve"> c</w:t>
      </w:r>
      <w:r w:rsidR="005F55A3">
        <w:t>), and then with an agent (</w:t>
      </w:r>
      <w:r w:rsidR="005F55A3" w:rsidRPr="00381991">
        <w:rPr>
          <w:i w:val="0"/>
        </w:rPr>
        <w:t xml:space="preserve">a </w:t>
      </w:r>
      <w:r w:rsidR="005F55A3" w:rsidRPr="00381991">
        <w:rPr>
          <w:i w:val="0"/>
        </w:rPr>
        <w:sym w:font="Symbol" w:char="F0B7"/>
      </w:r>
      <w:r w:rsidR="005F55A3" w:rsidRPr="00381991">
        <w:rPr>
          <w:i w:val="0"/>
        </w:rPr>
        <w:t xml:space="preserve"> (b </w:t>
      </w:r>
      <w:r w:rsidR="005F55A3" w:rsidRPr="00381991">
        <w:rPr>
          <w:i w:val="0"/>
        </w:rPr>
        <w:sym w:font="Symbol" w:char="F0B7"/>
      </w:r>
      <w:r w:rsidR="005F55A3" w:rsidRPr="00381991">
        <w:rPr>
          <w:i w:val="0"/>
        </w:rPr>
        <w:t xml:space="preserve"> c)</w:t>
      </w:r>
      <w:r w:rsidR="005F55A3">
        <w:t xml:space="preserve">). Furthermore, this must produce an identical </w:t>
      </w:r>
      <w:proofErr w:type="spellStart"/>
      <w:r w:rsidR="005F55A3">
        <w:t>prehension</w:t>
      </w:r>
      <w:proofErr w:type="spellEnd"/>
      <w:r w:rsidR="005F55A3">
        <w:t xml:space="preserve"> to that produced by an agent interacting with one neighborhood and then another one (</w:t>
      </w:r>
      <w:r w:rsidR="005F55A3" w:rsidRPr="005F55A3">
        <w:rPr>
          <w:i w:val="0"/>
        </w:rPr>
        <w:t xml:space="preserve">(a </w:t>
      </w:r>
      <w:r w:rsidR="005F55A3" w:rsidRPr="005F55A3">
        <w:rPr>
          <w:i w:val="0"/>
        </w:rPr>
        <w:sym w:font="Symbol" w:char="F0B7"/>
      </w:r>
      <w:r w:rsidR="005F55A3" w:rsidRPr="005F55A3">
        <w:rPr>
          <w:i w:val="0"/>
        </w:rPr>
        <w:t xml:space="preserve"> b) </w:t>
      </w:r>
      <w:r w:rsidR="005F55A3" w:rsidRPr="005F55A3">
        <w:rPr>
          <w:i w:val="0"/>
        </w:rPr>
        <w:sym w:font="Symbol" w:char="F0B7"/>
      </w:r>
      <w:r w:rsidR="005F55A3" w:rsidRPr="005F55A3">
        <w:rPr>
          <w:i w:val="0"/>
        </w:rPr>
        <w:t xml:space="preserve"> c</w:t>
      </w:r>
      <w:r w:rsidR="005F55A3">
        <w:t>).</w:t>
      </w:r>
    </w:p>
    <w:p w14:paraId="1FE0CD1C" w14:textId="0B697907" w:rsidR="00952FCC" w:rsidRPr="00FB442D" w:rsidRDefault="00952FCC" w:rsidP="00952FCC">
      <w:pPr>
        <w:pStyle w:val="Heading4"/>
        <w:rPr>
          <w:b/>
        </w:rPr>
      </w:pPr>
      <w:r w:rsidRPr="00FB442D">
        <w:rPr>
          <w:b/>
        </w:rPr>
        <w:t>Identity:</w:t>
      </w:r>
      <w:r w:rsidR="00FB442D" w:rsidRPr="00FB442D">
        <w:t xml:space="preserve"> </w:t>
      </w:r>
      <w:r w:rsidR="00FB442D">
        <w:t xml:space="preserve">Any </w:t>
      </w:r>
      <w:proofErr w:type="spellStart"/>
      <w:r w:rsidR="00FB442D">
        <w:t>prehension</w:t>
      </w:r>
      <w:proofErr w:type="spellEnd"/>
      <w:r w:rsidR="00FB442D">
        <w:t xml:space="preserve"> acting in concert with the null </w:t>
      </w:r>
      <w:proofErr w:type="spellStart"/>
      <w:r w:rsidR="00FB442D">
        <w:t>prehension</w:t>
      </w:r>
      <w:proofErr w:type="spellEnd"/>
      <w:r w:rsidR="00FB442D">
        <w:t xml:space="preserve"> remains unchanged.</w:t>
      </w:r>
    </w:p>
    <w:p w14:paraId="0E2960E6" w14:textId="6A47F53D" w:rsidR="00952FCC" w:rsidRPr="00FB442D" w:rsidRDefault="00952FCC" w:rsidP="00952FCC">
      <w:pPr>
        <w:pStyle w:val="Heading4"/>
        <w:rPr>
          <w:b/>
        </w:rPr>
      </w:pPr>
      <w:proofErr w:type="spellStart"/>
      <w:r w:rsidRPr="00FB442D">
        <w:rPr>
          <w:b/>
        </w:rPr>
        <w:t>Invertibility</w:t>
      </w:r>
      <w:proofErr w:type="spellEnd"/>
      <w:r w:rsidRPr="00FB442D">
        <w:rPr>
          <w:b/>
        </w:rPr>
        <w:t>:</w:t>
      </w:r>
      <w:r w:rsidR="00FB442D" w:rsidRPr="007659F1">
        <w:t xml:space="preserve"> </w:t>
      </w:r>
      <w:r w:rsidR="007659F1">
        <w:t xml:space="preserve">For any </w:t>
      </w:r>
      <w:proofErr w:type="spellStart"/>
      <w:r w:rsidR="007659F1">
        <w:t>prehension</w:t>
      </w:r>
      <w:proofErr w:type="spellEnd"/>
      <w:r w:rsidR="007659F1">
        <w:t xml:space="preserve">, there is another </w:t>
      </w:r>
      <w:proofErr w:type="spellStart"/>
      <w:r w:rsidR="007659F1">
        <w:t>prehension</w:t>
      </w:r>
      <w:proofErr w:type="spellEnd"/>
      <w:r w:rsidR="007659F1">
        <w:t xml:space="preserve"> that combines with it to produce the null </w:t>
      </w:r>
      <w:proofErr w:type="spellStart"/>
      <w:r w:rsidR="007659F1">
        <w:t>prehension</w:t>
      </w:r>
      <w:proofErr w:type="spellEnd"/>
      <w:r w:rsidR="007659F1">
        <w:t>.</w:t>
      </w:r>
    </w:p>
    <w:p w14:paraId="474AD3EE" w14:textId="77777777" w:rsidR="00952FCC" w:rsidRDefault="00952FCC" w:rsidP="00952FCC">
      <w:pPr>
        <w:pStyle w:val="Heading4"/>
        <w:numPr>
          <w:ilvl w:val="0"/>
          <w:numId w:val="0"/>
        </w:numPr>
        <w:ind w:left="1440"/>
      </w:pPr>
    </w:p>
    <w:p w14:paraId="23BD2F14" w14:textId="77777777" w:rsidR="00716963" w:rsidRDefault="00716963">
      <w:pPr>
        <w:pStyle w:val="Heading1"/>
      </w:pPr>
      <w:r>
        <w:t>The advantages of employing this abstraction</w:t>
      </w:r>
    </w:p>
    <w:p w14:paraId="38384A14" w14:textId="5CC51AAA" w:rsidR="00381991" w:rsidRDefault="00381991" w:rsidP="00381991">
      <w:pPr>
        <w:pStyle w:val="Heading2"/>
      </w:pPr>
      <w:r>
        <w:t>Why bother?</w:t>
      </w:r>
    </w:p>
    <w:p w14:paraId="2A5D6A55" w14:textId="313296CC" w:rsidR="00381991" w:rsidRDefault="00381991" w:rsidP="00381991">
      <w:pPr>
        <w:pStyle w:val="Heading3"/>
      </w:pPr>
      <w:r>
        <w:lastRenderedPageBreak/>
        <w:t>We achieve a uniform template for all models. Programming new models becomes much easier.</w:t>
      </w:r>
    </w:p>
    <w:p w14:paraId="336B29E2" w14:textId="690DFE42" w:rsidR="00381991" w:rsidRDefault="00381991" w:rsidP="00381991">
      <w:pPr>
        <w:pStyle w:val="Heading3"/>
      </w:pPr>
      <w:r>
        <w:t>We will have taken a huge step towards enabling “fill-in-the-template” style programming of ABMs.</w:t>
      </w:r>
    </w:p>
    <w:p w14:paraId="2BC3E8A9" w14:textId="77777777" w:rsidR="0080767F" w:rsidRDefault="00716963">
      <w:pPr>
        <w:pStyle w:val="Heading1"/>
      </w:pPr>
      <w:r>
        <w:t>a sketch of the usual action pattern</w:t>
      </w:r>
    </w:p>
    <w:p w14:paraId="3676D61A" w14:textId="58E01CEA" w:rsidR="0080767F" w:rsidRDefault="007659F1" w:rsidP="007659F1">
      <w:r>
        <w:t xml:space="preserve">An agent gathers together a </w:t>
      </w:r>
      <w:proofErr w:type="spellStart"/>
      <w:r>
        <w:t>prehension</w:t>
      </w:r>
      <w:proofErr w:type="spellEnd"/>
      <w:r>
        <w:t xml:space="preserve"> of its environment, and then combines that with how it presents itself to the environment (how it is </w:t>
      </w:r>
      <w:proofErr w:type="spellStart"/>
      <w:r>
        <w:t>prehended</w:t>
      </w:r>
      <w:proofErr w:type="spellEnd"/>
      <w:r>
        <w:t xml:space="preserve">) to produce a new </w:t>
      </w:r>
      <w:proofErr w:type="spellStart"/>
      <w:r>
        <w:t>prehension</w:t>
      </w:r>
      <w:proofErr w:type="spellEnd"/>
      <w:r>
        <w:t>, which it adopts as its own.</w:t>
      </w:r>
      <w:r w:rsidR="00381991">
        <w:t xml:space="preserve"> The new </w:t>
      </w:r>
      <w:proofErr w:type="spellStart"/>
      <w:r w:rsidR="00381991">
        <w:t>prehension</w:t>
      </w:r>
      <w:proofErr w:type="spellEnd"/>
      <w:r w:rsidR="00381991">
        <w:t xml:space="preserve"> may simply be adopted, or it may trigger some further step, such as a move on the part of the agent.</w:t>
      </w:r>
    </w:p>
    <w:p w14:paraId="006531D5" w14:textId="2C974C52" w:rsidR="00CE7D35" w:rsidRDefault="007659F1" w:rsidP="00CE7D35">
      <w:r>
        <w:t xml:space="preserve">However, while the above may be typical, our model allows the reverse: in some models (e.g., Forest Fire), it may be the environment that </w:t>
      </w:r>
      <w:r w:rsidR="005F55A3">
        <w:t xml:space="preserve">adopts the new </w:t>
      </w:r>
      <w:proofErr w:type="spellStart"/>
      <w:r w:rsidR="005F55A3">
        <w:t>prehension</w:t>
      </w:r>
      <w:proofErr w:type="spellEnd"/>
      <w:r w:rsidR="005F55A3">
        <w:t>.</w:t>
      </w:r>
    </w:p>
    <w:p w14:paraId="45356603" w14:textId="4357B5BD" w:rsidR="00CE7D35" w:rsidRDefault="00CE7D35" w:rsidP="00CE7D35">
      <w:pPr>
        <w:pStyle w:val="Heading1"/>
      </w:pPr>
      <w:r>
        <w:t>Bibliography</w:t>
      </w:r>
    </w:p>
    <w:p w14:paraId="7728D77E" w14:textId="77777777" w:rsidR="00DA545B" w:rsidRDefault="00DA545B" w:rsidP="00DA545B">
      <w:pPr>
        <w:ind w:hanging="480"/>
        <w:rPr>
          <w:rFonts w:eastAsia="Times New Roman"/>
          <w:sz w:val="24"/>
          <w:szCs w:val="24"/>
        </w:rPr>
      </w:pPr>
      <w:r>
        <w:rPr>
          <w:rFonts w:eastAsia="Times New Roman"/>
        </w:rPr>
        <w:t xml:space="preserve">Morgan, Mary S. 2012. </w:t>
      </w:r>
      <w:r>
        <w:rPr>
          <w:rFonts w:eastAsia="Times New Roman"/>
          <w:i/>
          <w:iCs/>
        </w:rPr>
        <w:t>The World in the Model: How Economists Work and Think</w:t>
      </w:r>
      <w:r>
        <w:rPr>
          <w:rFonts w:eastAsia="Times New Roman"/>
        </w:rPr>
        <w:t>. Cambridge; New York: Cambridge University Press.</w:t>
      </w:r>
    </w:p>
    <w:p w14:paraId="64C386D5" w14:textId="77777777" w:rsidR="00DA545B" w:rsidRDefault="00DA545B" w:rsidP="00DA545B">
      <w:pPr>
        <w:ind w:hanging="480"/>
        <w:rPr>
          <w:rFonts w:eastAsia="Times New Roman"/>
          <w:sz w:val="24"/>
          <w:szCs w:val="24"/>
        </w:rPr>
      </w:pPr>
      <w:r>
        <w:rPr>
          <w:rFonts w:eastAsia="Times New Roman"/>
        </w:rPr>
        <w:t xml:space="preserve">Schelling, Thomas C. 2006. </w:t>
      </w:r>
      <w:proofErr w:type="spellStart"/>
      <w:r>
        <w:rPr>
          <w:rFonts w:eastAsia="Times New Roman"/>
          <w:i/>
          <w:iCs/>
        </w:rPr>
        <w:t>Micromotives</w:t>
      </w:r>
      <w:proofErr w:type="spellEnd"/>
      <w:r>
        <w:rPr>
          <w:rFonts w:eastAsia="Times New Roman"/>
          <w:i/>
          <w:iCs/>
        </w:rPr>
        <w:t xml:space="preserve"> and </w:t>
      </w:r>
      <w:proofErr w:type="spellStart"/>
      <w:r>
        <w:rPr>
          <w:rFonts w:eastAsia="Times New Roman"/>
          <w:i/>
          <w:iCs/>
        </w:rPr>
        <w:t>Macrobehavior</w:t>
      </w:r>
      <w:proofErr w:type="spellEnd"/>
      <w:r>
        <w:rPr>
          <w:rFonts w:eastAsia="Times New Roman"/>
        </w:rPr>
        <w:t>. New York: Norton.</w:t>
      </w:r>
    </w:p>
    <w:p w14:paraId="6E95E590" w14:textId="503E867B" w:rsidR="00DA545B" w:rsidRPr="00DA545B" w:rsidRDefault="00DA545B" w:rsidP="00DA545B">
      <w:pPr>
        <w:ind w:hanging="480"/>
        <w:rPr>
          <w:rFonts w:eastAsia="Times New Roman"/>
          <w:sz w:val="24"/>
          <w:szCs w:val="24"/>
        </w:rPr>
      </w:pPr>
      <w:proofErr w:type="spellStart"/>
      <w:r>
        <w:rPr>
          <w:rFonts w:eastAsia="Times New Roman"/>
        </w:rPr>
        <w:t>Stepanov</w:t>
      </w:r>
      <w:proofErr w:type="spellEnd"/>
      <w:r>
        <w:rPr>
          <w:rFonts w:eastAsia="Times New Roman"/>
        </w:rPr>
        <w:t xml:space="preserve">, Alexander A, and Daniel E Rose. 2015. </w:t>
      </w:r>
      <w:r>
        <w:rPr>
          <w:rFonts w:eastAsia="Times New Roman"/>
          <w:i/>
          <w:iCs/>
        </w:rPr>
        <w:t>From Mathematics to Generic Programming</w:t>
      </w:r>
      <w:r>
        <w:rPr>
          <w:rFonts w:eastAsia="Times New Roman"/>
        </w:rPr>
        <w:t>. Upper Saddle River, NJ [</w:t>
      </w:r>
      <w:proofErr w:type="spellStart"/>
      <w:r>
        <w:rPr>
          <w:rFonts w:eastAsia="Times New Roman"/>
        </w:rPr>
        <w:t>u.a</w:t>
      </w:r>
      <w:proofErr w:type="spellEnd"/>
      <w:r>
        <w:rPr>
          <w:rFonts w:eastAsia="Times New Roman"/>
        </w:rPr>
        <w:t>.]: Addison-Wesley.</w:t>
      </w:r>
    </w:p>
    <w:p w14:paraId="2059CA09" w14:textId="77777777" w:rsidR="00DA545B" w:rsidRDefault="00DA545B" w:rsidP="00DA545B">
      <w:pPr>
        <w:ind w:hanging="480"/>
        <w:rPr>
          <w:rFonts w:eastAsia="Times New Roman"/>
          <w:sz w:val="24"/>
          <w:szCs w:val="24"/>
        </w:rPr>
      </w:pPr>
      <w:r>
        <w:rPr>
          <w:rFonts w:eastAsia="Times New Roman"/>
        </w:rPr>
        <w:t xml:space="preserve">Whitehead, Alfred North. 2014. </w:t>
      </w:r>
      <w:r>
        <w:rPr>
          <w:rFonts w:eastAsia="Times New Roman"/>
          <w:i/>
          <w:iCs/>
        </w:rPr>
        <w:t>Process and Reality</w:t>
      </w:r>
      <w:r>
        <w:rPr>
          <w:rFonts w:eastAsia="Times New Roman"/>
        </w:rPr>
        <w:t>. [</w:t>
      </w:r>
      <w:proofErr w:type="spellStart"/>
      <w:r>
        <w:rPr>
          <w:rFonts w:eastAsia="Times New Roman"/>
        </w:rPr>
        <w:t>S.l</w:t>
      </w:r>
      <w:proofErr w:type="spellEnd"/>
      <w:r>
        <w:rPr>
          <w:rFonts w:eastAsia="Times New Roman"/>
        </w:rPr>
        <w:t>.]: Free Press. http://rbdigital.oneclickdigital.com.</w:t>
      </w:r>
    </w:p>
    <w:p w14:paraId="16E3E63C" w14:textId="77777777" w:rsidR="00CE7D35" w:rsidRDefault="00CE7D35" w:rsidP="00DA545B">
      <w:pPr>
        <w:pStyle w:val="Biblio"/>
      </w:pPr>
    </w:p>
    <w:sectPr w:rsidR="00CE7D35">
      <w:footerReference w:type="default" r:id="rId7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2BEB74" w14:textId="77777777" w:rsidR="00D53DE7" w:rsidRDefault="00D53DE7">
      <w:pPr>
        <w:spacing w:after="0" w:line="240" w:lineRule="auto"/>
      </w:pPr>
      <w:r>
        <w:separator/>
      </w:r>
    </w:p>
    <w:p w14:paraId="6EF4A312" w14:textId="77777777" w:rsidR="00D53DE7" w:rsidRDefault="00D53DE7"/>
  </w:endnote>
  <w:endnote w:type="continuationSeparator" w:id="0">
    <w:p w14:paraId="1847374B" w14:textId="77777777" w:rsidR="00D53DE7" w:rsidRDefault="00D53DE7">
      <w:pPr>
        <w:spacing w:after="0" w:line="240" w:lineRule="auto"/>
      </w:pPr>
      <w:r>
        <w:continuationSeparator/>
      </w:r>
    </w:p>
    <w:p w14:paraId="7F20F024" w14:textId="77777777" w:rsidR="00D53DE7" w:rsidRDefault="00D53DE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F47C91" w14:textId="77777777" w:rsidR="0080767F" w:rsidRDefault="000B4B6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27084B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502666" w14:textId="77777777" w:rsidR="00D53DE7" w:rsidRDefault="00D53DE7">
      <w:pPr>
        <w:spacing w:after="0" w:line="240" w:lineRule="auto"/>
      </w:pPr>
      <w:r>
        <w:separator/>
      </w:r>
    </w:p>
    <w:p w14:paraId="61DDD9F7" w14:textId="77777777" w:rsidR="00D53DE7" w:rsidRDefault="00D53DE7"/>
  </w:footnote>
  <w:footnote w:type="continuationSeparator" w:id="0">
    <w:p w14:paraId="6BA02F21" w14:textId="77777777" w:rsidR="00D53DE7" w:rsidRDefault="00D53DE7">
      <w:pPr>
        <w:spacing w:after="0" w:line="240" w:lineRule="auto"/>
      </w:pPr>
      <w:r>
        <w:continuationSeparator/>
      </w:r>
    </w:p>
    <w:p w14:paraId="7B3CFA06" w14:textId="77777777" w:rsidR="00D53DE7" w:rsidRDefault="00D53DE7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194BB6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9D684E3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1ED08B0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22F0ADF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47DEA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127EC6A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61C44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9B4408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AF026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30C66F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FF8C24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9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activeWritingStyle w:appName="MSWord" w:lang="en-US" w:vendorID="64" w:dllVersion="131078" w:nlCheck="1" w:checkStyle="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963"/>
    <w:rsid w:val="000B4B66"/>
    <w:rsid w:val="0027084B"/>
    <w:rsid w:val="00381991"/>
    <w:rsid w:val="005F55A3"/>
    <w:rsid w:val="00716963"/>
    <w:rsid w:val="007659F1"/>
    <w:rsid w:val="0080767F"/>
    <w:rsid w:val="00952FCC"/>
    <w:rsid w:val="00CE7D35"/>
    <w:rsid w:val="00D53DE7"/>
    <w:rsid w:val="00DA545B"/>
    <w:rsid w:val="00FB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83C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81991"/>
    <w:pPr>
      <w:keepNext/>
      <w:numPr>
        <w:numId w:val="1"/>
      </w:numPr>
      <w:spacing w:before="600" w:after="24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991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qFormat/>
    <w:rsid w:val="00DA545B"/>
    <w:pPr>
      <w:spacing w:before="120" w:line="480" w:lineRule="auto"/>
      <w:ind w:left="0" w:firstLine="706"/>
    </w:pPr>
    <w:rPr>
      <w:rFonts w:ascii="Times New Roman" w:eastAsia="Times New Roman" w:hAnsi="Times New Roman" w:cs="Times New Roman"/>
      <w:b/>
      <w:bCs/>
      <w:color w:val="auto"/>
      <w:sz w:val="20"/>
      <w:szCs w:val="20"/>
      <w:lang w:eastAsia="en-US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qFormat/>
    <w:rsid w:val="00DA545B"/>
    <w:pPr>
      <w:spacing w:after="0" w:line="480" w:lineRule="auto"/>
      <w:ind w:left="0" w:firstLine="706"/>
    </w:pPr>
    <w:rPr>
      <w:rFonts w:ascii="Times New Roman" w:hAnsi="Times New Roman" w:cs="Times New Roman"/>
      <w:i/>
      <w:iCs/>
      <w:color w:val="000000" w:themeColor="text1"/>
      <w:sz w:val="24"/>
      <w:szCs w:val="24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DA545B"/>
    <w:rPr>
      <w:rFonts w:ascii="Times New Roman" w:hAnsi="Times New Roman" w:cs="Times New Roman"/>
      <w:i/>
      <w:iCs/>
      <w:color w:val="000000" w:themeColor="text1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iblio">
    <w:name w:val="Biblio"/>
    <w:basedOn w:val="Normal"/>
    <w:qFormat/>
    <w:rsid w:val="00DA545B"/>
    <w:pPr>
      <w:spacing w:after="240" w:line="480" w:lineRule="auto"/>
      <w:ind w:left="562" w:hanging="562"/>
    </w:pPr>
    <w:rPr>
      <w:rFonts w:ascii="Times New Roman" w:hAnsi="Times New Roman" w:cs="Times New Roman"/>
      <w:color w:val="auto"/>
      <w:sz w:val="24"/>
      <w:szCs w:val="24"/>
      <w:lang w:eastAsia="en-US"/>
    </w:rPr>
  </w:style>
  <w:style w:type="paragraph" w:customStyle="1" w:styleId="ExtendedQuote">
    <w:name w:val="ExtendedQuote"/>
    <w:basedOn w:val="Normal"/>
    <w:qFormat/>
    <w:rsid w:val="00DA545B"/>
    <w:pPr>
      <w:spacing w:before="120" w:line="480" w:lineRule="auto"/>
      <w:ind w:left="576" w:right="576" w:firstLine="706"/>
    </w:pPr>
    <w:rPr>
      <w:rFonts w:ascii="Times New Roman" w:hAnsi="Times New Roman" w:cs="Times New Roman"/>
      <w:color w:val="auto"/>
      <w:szCs w:val="24"/>
      <w:lang w:eastAsia="en-US" w:bidi="en-US"/>
    </w:rPr>
  </w:style>
  <w:style w:type="paragraph" w:customStyle="1" w:styleId="ExtendedQuoteInd">
    <w:name w:val="ExtendedQuoteInd"/>
    <w:basedOn w:val="Normal"/>
    <w:qFormat/>
    <w:rsid w:val="00DA545B"/>
    <w:pPr>
      <w:spacing w:after="0" w:line="480" w:lineRule="auto"/>
      <w:ind w:left="576" w:right="576" w:firstLine="706"/>
    </w:pPr>
    <w:rPr>
      <w:rFonts w:ascii="Times New Roman" w:hAnsi="Times New Roman" w:cs="Times New Roman"/>
      <w:color w:val="auto"/>
      <w:szCs w:val="24"/>
      <w:lang w:eastAsia="en-US" w:bidi="en-US"/>
    </w:rPr>
  </w:style>
  <w:style w:type="paragraph" w:customStyle="1" w:styleId="FirstSectionPar">
    <w:name w:val="FirstSectionPar"/>
    <w:basedOn w:val="Normal"/>
    <w:qFormat/>
    <w:rsid w:val="00DA545B"/>
    <w:pPr>
      <w:spacing w:after="0" w:line="480" w:lineRule="auto"/>
      <w:ind w:left="0" w:firstLine="706"/>
    </w:pPr>
    <w:rPr>
      <w:rFonts w:ascii="Times New Roman" w:hAnsi="Times New Roman" w:cs="Times New Roman"/>
      <w:color w:val="auto"/>
      <w:sz w:val="24"/>
      <w:szCs w:val="24"/>
      <w:lang w:eastAsia="en-US"/>
    </w:rPr>
  </w:style>
  <w:style w:type="paragraph" w:customStyle="1" w:styleId="LeadQuote">
    <w:name w:val="LeadQuote"/>
    <w:basedOn w:val="FirstSectionPar"/>
    <w:qFormat/>
    <w:rsid w:val="00DA545B"/>
    <w:pPr>
      <w:spacing w:line="360" w:lineRule="auto"/>
      <w:ind w:left="576" w:right="576"/>
    </w:pPr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6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5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8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gcallah/Library/Containers/com.microsoft.Word/Data/Library/Caches/TM10002082/Create%20an%20Outline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0</TotalTime>
  <Pages>2</Pages>
  <Words>404</Words>
  <Characters>2304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 Callahan</dc:creator>
  <cp:keywords/>
  <dc:description/>
  <cp:lastModifiedBy>Gene Callahan</cp:lastModifiedBy>
  <cp:revision>2</cp:revision>
  <dcterms:created xsi:type="dcterms:W3CDTF">2015-12-11T06:11:00Z</dcterms:created>
  <dcterms:modified xsi:type="dcterms:W3CDTF">2015-12-11T06:11:00Z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