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sidP="005309D4">
      <w:pPr>
        <w:pStyle w:val="FirstSectionPar"/>
      </w:pPr>
      <w:r>
        <w:t xml:space="preserve">Indra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(Paul Krugman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3C6BDD2E" w14:textId="68D352B1" w:rsidR="00B647E0" w:rsidRDefault="00E20323" w:rsidP="00015EBA">
      <w:r>
        <w:t xml:space="preserve">But why </w:t>
      </w:r>
      <w:r w:rsidR="006B27C6">
        <w:t>build a new</w:t>
      </w:r>
      <w:r>
        <w:t xml:space="preserve"> ABM framework? Part of this is simply cockiness: I believe I can write a large programming framework better than have others. But it is not merely that: While there are existing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2D9DC3A8" w14:textId="09FE23DA" w:rsidR="008864B7" w:rsidRDefault="006837AA" w:rsidP="00015EBA">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66F5D5BA" w14:textId="00153F21" w:rsidR="00DB0A11" w:rsidRDefault="00DB0A11" w:rsidP="008864B7">
      <w:r>
        <w:t>Axtell comments upon how agent-based models fit into the broader world of models as follows:</w:t>
      </w:r>
    </w:p>
    <w:p w14:paraId="1725EBE4" w14:textId="1C7CA682" w:rsidR="008864B7" w:rsidRDefault="008864B7" w:rsidP="00015EBA">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rsidR="00015EBA">
        <w:t xml:space="preserve"> distinct usage of such models.</w:t>
      </w:r>
      <w:r>
        <w:t xml:space="preserve"> (Axtell, 2000)</w:t>
      </w:r>
      <w:r w:rsidR="006B27C6">
        <w:rPr>
          <w:rStyle w:val="FootnoteReference"/>
        </w:rPr>
        <w:footnoteReference w:id="1"/>
      </w:r>
    </w:p>
    <w:p w14:paraId="49081B1B" w14:textId="319686CC" w:rsidR="00B647E0" w:rsidRDefault="00015EBA" w:rsidP="006B27C6">
      <w:pPr>
        <w:ind w:firstLine="0"/>
      </w:pPr>
      <w:r>
        <w:t>Indra is primarily aimed at the second and third categories of ABM use.</w:t>
      </w:r>
      <w:r w:rsidR="00A821C4">
        <w:t xml:space="preserve"> As Miller and Page point out, such models are especially apt for capturing social complexity:</w:t>
      </w:r>
    </w:p>
    <w:p w14:paraId="0B9A17FA" w14:textId="095FE87B" w:rsidR="00A821C4" w:rsidRDefault="00A821C4" w:rsidP="009F15DB">
      <w:pPr>
        <w:pStyle w:val="Blockquote"/>
      </w:pPr>
      <w:r>
        <w:t xml:space="preserve">Agent-based object models </w:t>
      </w:r>
      <w:r w:rsidR="009F15DB">
        <w:t>offering new theoretical portal from which to explore complex adaptive social systems… particularly well suited, and perhaps even necessary, For helping us to understand better what types of problems that arise in the study of complex adaptive social systems. (2007: 78)</w:t>
      </w:r>
    </w:p>
    <w:p w14:paraId="682C3721" w14:textId="116D12C5" w:rsidR="00B647E0" w:rsidRDefault="00B647E0" w:rsidP="00B647E0">
      <w:pPr>
        <w:pStyle w:val="Heading3"/>
      </w:pPr>
      <w:r>
        <w:t>How Indra Is Constructed</w:t>
      </w:r>
    </w:p>
    <w:p w14:paraId="034BE3C1" w14:textId="65FD3146" w:rsidR="00B647E0" w:rsidRDefault="00015EBA" w:rsidP="00015EBA">
      <w:pPr>
        <w:pStyle w:val="FirstSectionPar"/>
      </w:pPr>
      <w:r>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 once written and understand it in terms of the model world, rather than the world of the computer.</w:t>
      </w:r>
    </w:p>
    <w:p w14:paraId="7DA9610D" w14:textId="3D582684" w:rsidR="00015EBA" w:rsidRDefault="00015EBA" w:rsidP="00015EBA">
      <w:r>
        <w:t>Over the course of six-plus decades of development, a number of programming paradigms have been employed, including procedural, functional, and object-oriented programming. Indra relies heavily on the latter, so let us examine the paradigm briefly.</w:t>
      </w:r>
    </w:p>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1C61F089" w14:textId="74558B9D" w:rsidR="00075F37" w:rsidRDefault="00075F37" w:rsidP="006B27C6">
      <w:pPr>
        <w:pStyle w:val="FirstSectionPar"/>
      </w:pPr>
      <w:r>
        <w:t>Later in the paper, I will offer an actual example of an inheritance hierarchy in Indra.</w:t>
      </w:r>
    </w:p>
    <w:p w14:paraId="5BC03B6F" w14:textId="1B4EA2DD" w:rsidR="00D42259" w:rsidRDefault="00D42259" w:rsidP="00075F37">
      <w:r>
        <w:t xml:space="preserve">While </w:t>
      </w:r>
      <w:r w:rsidR="005B738E">
        <w:t>OOP is a natural fit for ABM, I</w:t>
      </w:r>
      <w:r>
        <w:t xml:space="preserve"> have sought to push beyond the OOP paradigm as well, by beginning to incorporate some concepts from Whitehead’s process philosophy.</w:t>
      </w:r>
    </w:p>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“prehended”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3A1FDD4D"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w:t>
      </w:r>
      <w:r w:rsidR="007D3640">
        <w:t xml:space="preserve"> curiosity, or a form of self-</w:t>
      </w:r>
      <w:r w:rsidR="0063086D">
        <w:t>amusement. But I am hopi</w:t>
      </w:r>
      <w:r w:rsidR="00ED5681">
        <w:t>ng that building the idea of preh</w:t>
      </w:r>
      <w:r w:rsidR="0063086D">
        <w:t xml:space="preserve">ensions into the </w:t>
      </w:r>
      <w:r w:rsidR="00ED5681">
        <w:t>Indra</w:t>
      </w:r>
      <w:r w:rsidR="0063086D">
        <w:t xml:space="preserve"> system can help solve a serious problem:</w:t>
      </w:r>
      <w:r w:rsidR="00ED5681">
        <w:t xml:space="preserve"> how can a software system like this account for disco</w:t>
      </w:r>
      <w:r w:rsidR="00B509F8">
        <w:t>very (see Kirzner, 1973). Programming a model where agents trade known goods for which they have known utility functions is not trivial (see the EdgeworthBox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r>
        <w:t xml:space="preserve">Prehensions provide a possible solution to this problem: if we create relationships between </w:t>
      </w:r>
      <w:r w:rsidR="00177C7E">
        <w:t xml:space="preserve">objects as objects in their own right (prehensions),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15DDCAF9" w14:textId="7379A65D" w:rsidR="00015EBA" w:rsidRDefault="00015EBA" w:rsidP="00B647E0">
      <w:r>
        <w:t xml:space="preserve">This plug-in approach to creating agent behavior promises other advantages. For instance, Epstein and Axtell (1996: 72-73) develop a very minimal model of cultural transmission: a “culture” is a sequence of ones and zeros, a sequence which doesn’t influence the agent’s behavior in any way except to distinguish those who have similar sequences (“my tribe”) </w:t>
      </w:r>
      <w:r w:rsidR="007D3640">
        <w:t>f</w:t>
      </w:r>
      <w:r>
        <w:t>rom those who don’t (“their tribe”). But if culture is transmitted by prehensions, actual behavior will be adopted in the process of acculturation, and different cultures will actually have different “customs.”</w:t>
      </w:r>
    </w:p>
    <w:p w14:paraId="5D18E050" w14:textId="7215EDAB" w:rsidR="00015EBA" w:rsidRDefault="00015EBA" w:rsidP="00B647E0">
      <w:r>
        <w:t>And ultimately, the goal is to allow non-programmers to create ABMs by filling in a template for some agent characteristics, and then choosing from a library of existing prehensions to create the agent’s behavior.</w:t>
      </w:r>
    </w:p>
    <w:p w14:paraId="74A82281" w14:textId="1CF0445C" w:rsidR="00B647E0" w:rsidRDefault="008B60B0" w:rsidP="007D3640">
      <w:r>
        <w:t>Our initial tests of this idea of prehensions have had positive results. For instance, in our predator-prey model, we have introduced new animals, and we only need to give the pre-existing ones a prehension of the new type in terms of a universal—“Eats” or “Flees,” for instance—and the existing creatures respond to it in the way we want.</w:t>
      </w:r>
    </w:p>
    <w:p w14:paraId="71409596" w14:textId="000ACB59" w:rsidR="00B647E0" w:rsidRDefault="00B647E0" w:rsidP="00B647E0">
      <w:pPr>
        <w:pStyle w:val="Heading3"/>
      </w:pPr>
      <w:r>
        <w:t>Our Models</w:t>
      </w:r>
    </w:p>
    <w:p w14:paraId="72C23AE5" w14:textId="2329BAC7" w:rsidR="000B4B7E" w:rsidRDefault="00F85308" w:rsidP="005309D4">
      <w:pPr>
        <w:pStyle w:val="FirstSectionPar"/>
      </w:pPr>
      <w:r>
        <w:t xml:space="preserve">Let us take a brief survey of </w:t>
      </w:r>
      <w:r w:rsidR="007D3640">
        <w:t xml:space="preserve">some of </w:t>
      </w:r>
      <w:r>
        <w:t xml:space="preserve">the models already constructed using the Indra system. </w:t>
      </w:r>
      <w:r w:rsidR="007D3640">
        <w:t xml:space="preserve">The </w:t>
      </w:r>
      <w:r w:rsidR="000B4B7E">
        <w:t>code for all of these models is open source, and is available online at Indra (2015).</w:t>
      </w:r>
    </w:p>
    <w:p w14:paraId="0E03FE71" w14:textId="502659E3" w:rsidR="007520E4" w:rsidRDefault="007520E4" w:rsidP="007520E4">
      <w:pPr>
        <w:pStyle w:val="Heading4"/>
      </w:pPr>
      <w:r>
        <w:t>Forest Fire</w:t>
      </w:r>
    </w:p>
    <w:p w14:paraId="46A1B823" w14:textId="7974AD19" w:rsidR="00D73E60" w:rsidRDefault="007520E4" w:rsidP="00D73E60">
      <w:pPr>
        <w:rPr>
          <w:rFonts w:cs="Courier"/>
          <w:lang w:eastAsia="en-US"/>
        </w:rPr>
      </w:pPr>
      <w:r>
        <w:t>This is a simple cellular automaton</w:t>
      </w:r>
      <w:r w:rsidR="00D30696">
        <w:t xml:space="preserve"> (see Glossary)</w:t>
      </w:r>
      <w:r>
        <w:t>, where a fire starts at one side of a forest and spreads through</w:t>
      </w:r>
      <w:r w:rsidR="00D73E60">
        <w:t xml:space="preserve"> it, based on </w:t>
      </w:r>
      <w:r w:rsidR="00D73E60">
        <w:rPr>
          <w:rFonts w:cs="Courier"/>
          <w:lang w:eastAsia="en-US"/>
        </w:rPr>
        <w:t>Drossel and Schwabl (</w:t>
      </w:r>
      <w:r w:rsidR="00D73E60" w:rsidRPr="00D73E60">
        <w:rPr>
          <w:rFonts w:cs="Courier"/>
          <w:lang w:eastAsia="en-US"/>
        </w:rPr>
        <w:t>1992</w:t>
      </w:r>
      <w:r w:rsidR="00D73E60">
        <w:rPr>
          <w:rFonts w:cs="Courier"/>
          <w:lang w:eastAsia="en-US"/>
        </w:rPr>
        <w:t>).</w:t>
      </w:r>
      <w:r w:rsidR="00345058">
        <w:rPr>
          <w:rFonts w:cs="Courier"/>
          <w:lang w:eastAsia="en-US"/>
        </w:rPr>
        <w:t xml:space="preserve"> Even though this model is simple, we still get interesting dynamics: if we set the density of trees high enough (above .5, it turns out), the fire spreads in an almost straight line across the forest. If we set it low enough, it will burn out. But at intermediate values of tree density, we get interesting patterns of burning:</w:t>
      </w:r>
    </w:p>
    <w:p w14:paraId="4A44E587" w14:textId="438C6231" w:rsidR="007520E4" w:rsidRDefault="009D2D1F" w:rsidP="009D2D1F">
      <w:r>
        <w:rPr>
          <w:noProof/>
          <w:lang w:eastAsia="en-US" w:bidi="ar-SA"/>
        </w:rPr>
        <w:drawing>
          <wp:inline distT="0" distB="0" distL="0" distR="0" wp14:anchorId="63C73715" wp14:editId="477C74D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Fi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27B3C1" w14:textId="708F659C" w:rsidR="00B647E0" w:rsidRDefault="007C6A5B" w:rsidP="00FA4FC6">
      <w:pPr>
        <w:pStyle w:val="Heading4"/>
      </w:pPr>
      <w:r>
        <w:t>Schelling’</w:t>
      </w:r>
      <w:r w:rsidR="00C03DE9">
        <w:t>s Height M</w:t>
      </w:r>
      <w:r>
        <w:t>odel</w:t>
      </w:r>
    </w:p>
    <w:p w14:paraId="6BDCF237" w14:textId="364D669C" w:rsidR="007C6A5B" w:rsidRDefault="007D3640" w:rsidP="005309D4">
      <w:pPr>
        <w:pStyle w:val="FirstSectionPar"/>
      </w:pPr>
      <w:r>
        <w:t xml:space="preserve">Thomas </w:t>
      </w:r>
      <w:r w:rsidR="004750B3">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7E355B45"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w:t>
      </w:r>
      <w:r w:rsidR="007D3640">
        <w:t xml:space="preserve"> lowest</w:t>
      </w:r>
      <w:r>
        <w:t xml:space="preserve"> decile. Instead, what will occur is that the effort to see that that is so will result in a</w:t>
      </w:r>
      <w:r w:rsidR="007D3640">
        <w:t>n</w:t>
      </w:r>
      <w:r>
        <w:t xml:space="preserve"> increasing average height for humans, a result intended by no one.</w:t>
      </w:r>
    </w:p>
    <w:p w14:paraId="76DFDE35" w14:textId="35618967" w:rsidR="004750B3" w:rsidRDefault="004750B3" w:rsidP="00B647E0">
      <w:r>
        <w:t>Our modeling here shows that Schelling’s intuition can be easily formalized in an ABM.</w:t>
      </w:r>
      <w:r w:rsidR="007D3640">
        <w:t xml:space="preserve"> The formalism acts as a validity check on Schelling’s informal (but sound!) reasoning.</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5309D4">
      <w:pPr>
        <w:pStyle w:val="FirstSectionPar"/>
      </w:pPr>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7D3640">
      <w:pPr>
        <w:pStyle w:val="Blockquote"/>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1BECA90" w:rsidR="008C45B3" w:rsidRDefault="00C57B34" w:rsidP="00B647E0">
      <w:r>
        <w:t>Ou</w:t>
      </w:r>
      <w:r w:rsidR="00175CC1">
        <w:t>r model captures this situation: we distribute coupons to our agents, assign them each a minimum coupon holding below which they will not hire a sitter, and above which they will go out or sit with equal probability. The model develops as Krugman described it: below a certain number of coupons, the “economy” grinds to a halt and we enter a “recession.”</w:t>
      </w:r>
    </w:p>
    <w:p w14:paraId="58C08C36" w14:textId="6E26ED75" w:rsidR="00C57B34" w:rsidRDefault="00F84E38" w:rsidP="007D3640">
      <w:r>
        <w:t>Note: Since I am addressing an Austrian group with this paper (at least in</w:t>
      </w:r>
      <w:r w:rsidR="007D3640">
        <w:t xml:space="preserve"> its first incarnation), I should point out </w:t>
      </w:r>
      <w:r>
        <w:t>that showing a model is coherent is not the same as showing it applies! The obvious rejoinder to Krugman on this point by “Austerians” is that the real problem was not limited scrip, but fixed babysitting prices.</w:t>
      </w:r>
    </w:p>
    <w:p w14:paraId="1A10AD82" w14:textId="7630F18A" w:rsidR="007C6A5B" w:rsidRDefault="007C6A5B" w:rsidP="00FA4FC6">
      <w:pPr>
        <w:pStyle w:val="Heading4"/>
      </w:pPr>
      <w:bookmarkStart w:id="0" w:name="_GoBack"/>
      <w:r>
        <w:t>Schelling’</w:t>
      </w:r>
      <w:r w:rsidR="00C03DE9">
        <w:t>s Segregation M</w:t>
      </w:r>
      <w:r>
        <w:t>odel</w:t>
      </w:r>
    </w:p>
    <w:p w14:paraId="5361A0C9" w14:textId="09CA7093" w:rsidR="00C03DE9" w:rsidRDefault="00C50BF8" w:rsidP="005309D4">
      <w:pPr>
        <w:pStyle w:val="FirstSectionPar"/>
      </w:pPr>
      <w:r>
        <w:t>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bookmarkEnd w:id="0"/>
    <w:p w14:paraId="5A2F3606" w14:textId="44CB0852" w:rsidR="007C6A5B" w:rsidRDefault="00C03DE9" w:rsidP="00FA4FC6">
      <w:pPr>
        <w:pStyle w:val="Heading4"/>
      </w:pPr>
      <w:r>
        <w:t>A Predator-Prey Model</w:t>
      </w:r>
    </w:p>
    <w:p w14:paraId="3CF574BC" w14:textId="301CDCC8" w:rsidR="00243E86" w:rsidRDefault="005309D4" w:rsidP="0083098E">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(Insightmaker,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5E4EB0C8" w14:textId="07A8F8DC" w:rsidR="0083098E" w:rsidRDefault="0083098E" w:rsidP="0083098E">
      <w:r>
        <w:t>This model itself is an interesting case of the dangers of building too much into a model from the start: it was the very first model built in Indra, and the ambitions of the programmer (me) were bigger than his development resources. The model has too many parameters, and thus is extremely difficult to stabilize. But, we live and learn, and subsequent models have avoided this problem.</w:t>
      </w:r>
    </w:p>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r>
        <w:t>Edgeworth Box Model</w:t>
      </w:r>
    </w:p>
    <w:p w14:paraId="61736A7D" w14:textId="0826DF38" w:rsidR="00F01CAA" w:rsidRDefault="00F01CAA" w:rsidP="00B647E0">
      <w:r>
        <w:t>Following Morgan (2012), we took the Edgeworth Box to be a fundamental building block of further models of exchange, and so we began creating exchange-based models by making an Edgeworth Box. Two traders are initially endowed each with a different good, and the model is working if they exchange goods until no more exchanges are mutually beneficial.</w:t>
      </w:r>
    </w:p>
    <w:p w14:paraId="33C900F3" w14:textId="0BCCD9AF" w:rsidR="00C50BF8" w:rsidRDefault="00C50BF8" w:rsidP="00B647E0">
      <w:r>
        <w:t>A major concern here was to keep the model “realistic,” in the sense that we did not want our agents to be able to peer inside other agents</w:t>
      </w:r>
      <w:r w:rsidR="00A40659">
        <w:t>’</w:t>
      </w:r>
      <w:r>
        <w:t xml:space="preserve">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w:t>
      </w:r>
      <w:r w:rsidR="00A40659">
        <w:t>e code in detail, but, I do</w:t>
      </w:r>
      <w:r w:rsidR="003738B5">
        <w:t xml:space="preserve"> you to look through it, even if you’re not a programmer, and see how code is framed in a familiar economic terms,</w:t>
      </w:r>
      <w:r w:rsidR="000C3C3E">
        <w:t xml:space="preserve"> such as </w:t>
      </w:r>
      <w:r w:rsidR="00A40659">
        <w:t xml:space="preserve">traders, </w:t>
      </w:r>
      <w:r w:rsidR="000C3C3E">
        <w:t xml:space="preserve">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in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potential_traders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potential_traders: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while</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amt: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ans = t.rec_offer(g, amt,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ans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ans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break</w:t>
      </w:r>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rec_offer(</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his_good, his_amt,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and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see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my_good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((my_good != his_good)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and</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.goods[my_good][</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(counterparty.rec_reply(his_good,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his_amt,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my_good,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.trade(my_good, my_amt,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his_good, his_amt)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rec_reply(</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his_good, his_amt):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counterparty, his_good, his_amt):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logging.info(</w:t>
      </w:r>
      <w:r w:rsidRPr="00194F98">
        <w:rPr>
          <w:rFonts w:ascii="Consolas" w:hAnsi="Consolas"/>
          <w:color w:val="0000FF"/>
          <w:sz w:val="18"/>
          <w:szCs w:val="18"/>
          <w:bdr w:val="none" w:sz="0" w:space="0" w:color="auto" w:frame="1"/>
          <w:lang w:eastAsia="en-US" w:bidi="ar-SA"/>
        </w:rPr>
        <w:t>"%s is trading %i units of %s for %i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 my_amt, my_good, his_amt, his_good,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.__adj_good_amt(my_good, -my_amt)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.__adj_good_amt(his_good, his_amt)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counterparty.__adj_good_amt(his_good, -his_amt)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counterparty.__adj_good_amt(my_good, my_amt)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.env.record_trade(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util_gain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.__marginal_util(his_good, his_amt)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util_loss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.__marginal_util(my_good, -my_amt)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if</w:t>
      </w:r>
      <w:r w:rsidRPr="009641EE">
        <w:rPr>
          <w:rFonts w:ascii="Consolas" w:hAnsi="Consolas"/>
          <w:color w:val="000000"/>
          <w:sz w:val="18"/>
          <w:szCs w:val="18"/>
          <w:bdr w:val="none" w:sz="0" w:space="0" w:color="auto" w:frame="1"/>
          <w:lang w:eastAsia="en-US" w:bidi="ar-SA"/>
        </w:rPr>
        <w:t> util_gain &gt; util_loss: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else</w:t>
      </w:r>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list_goods(</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for</w:t>
      </w:r>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(goods_descr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str(</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goods_descr.strip()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my_good, my_amt, counterparty, his_good, his_amt):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logging.info(</w:t>
      </w:r>
      <w:r w:rsidRPr="009641EE">
        <w:rPr>
          <w:rFonts w:ascii="Consolas" w:hAnsi="Consolas"/>
          <w:color w:val="0000FF"/>
          <w:sz w:val="18"/>
          <w:szCs w:val="18"/>
          <w:bdr w:val="none" w:sz="0" w:space="0" w:color="auto" w:frame="1"/>
          <w:lang w:eastAsia="en-US" w:bidi="ar-SA"/>
        </w:rPr>
        <w:t>"%s is trading %i units of %s for %i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 my_amt, my_good, his_amt, his_good,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.__adj_good_amt(my_good, -my_amt)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.__adj_good_amt(his_good, his_amt)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counterparty.__adj_good_amt(his_good, -his_amt)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counterparty.__adj_good_amt(my_good, my_amt)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.env.record_trade(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73195902"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r w:rsidR="00254FD2">
        <w:t xml:space="preserve"> This allows the emergence of local prices, and demonstrates the importance of knowledge assumptions in models of exchange.</w:t>
      </w:r>
    </w:p>
    <w:p w14:paraId="412D0661" w14:textId="59D35B47" w:rsidR="007C6A5B" w:rsidRDefault="007C6A5B" w:rsidP="00194F98">
      <w:pPr>
        <w:pStyle w:val="Heading4"/>
      </w:pPr>
      <w:r>
        <w:t>Menger Model</w:t>
      </w:r>
    </w:p>
    <w:p w14:paraId="77F65A1A" w14:textId="5D198025" w:rsidR="00FA4FC6" w:rsidRDefault="008864B7" w:rsidP="00B647E0">
      <w:r>
        <w:t xml:space="preserve">Finally, in our Menger model, we are attempting to see </w:t>
      </w:r>
      <w:r w:rsidR="00254FD2">
        <w:t xml:space="preserve">if we can get </w:t>
      </w:r>
      <w:r>
        <w:t xml:space="preserve">money </w:t>
      </w:r>
      <w:r w:rsidR="00254FD2">
        <w:t xml:space="preserve">to </w:t>
      </w:r>
      <w:r>
        <w:t xml:space="preserve">arise from </w:t>
      </w:r>
      <w:r w:rsidR="00254FD2">
        <w:t xml:space="preserve">the process of </w:t>
      </w:r>
      <w:r>
        <w:t>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334A095B" w14:textId="6F1CD738" w:rsidR="00B02A41" w:rsidRDefault="00B02A41" w:rsidP="00B647E0">
      <w:r>
        <w:t>Here is the inheritance tree for this sequence of three models</w:t>
      </w:r>
      <w:r w:rsidR="00254FD2">
        <w:t>. (N</w:t>
      </w:r>
      <w:r w:rsidR="00FA41F8">
        <w:t>ote: this image is produced by the program itself, which keeps a graph of its own class hierarchy</w:t>
      </w:r>
      <w:r w:rsidR="00254FD2">
        <w:t>.</w:t>
      </w:r>
      <w:r w:rsidR="00FA41F8">
        <w:t>)</w:t>
      </w:r>
      <w:r>
        <w:t>:</w:t>
      </w:r>
    </w:p>
    <w:p w14:paraId="3A55B310" w14:textId="54AF507F" w:rsidR="00B02A41" w:rsidRDefault="00B02A41" w:rsidP="00B647E0"/>
    <w:p w14:paraId="6C219B82" w14:textId="4C7EB953" w:rsidR="0074224C" w:rsidRDefault="00B511B3" w:rsidP="00B647E0">
      <w:r>
        <w:rPr>
          <w:noProof/>
          <w:lang w:eastAsia="en-US" w:bidi="ar-SA"/>
        </w:rPr>
        <w:drawing>
          <wp:inline distT="0" distB="0" distL="0" distR="0" wp14:anchorId="34987B65" wp14:editId="75691CD3">
            <wp:extent cx="5486400" cy="3441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Class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41700"/>
                    </a:xfrm>
                    <a:prstGeom prst="rect">
                      <a:avLst/>
                    </a:prstGeom>
                  </pic:spPr>
                </pic:pic>
              </a:graphicData>
            </a:graphic>
          </wp:inline>
        </w:drawing>
      </w:r>
    </w:p>
    <w:p w14:paraId="2342AC9B" w14:textId="0C220E82" w:rsidR="0074224C" w:rsidRDefault="0074224C" w:rsidP="0074224C">
      <w:pPr>
        <w:pStyle w:val="Heading3"/>
      </w:pPr>
      <w:r>
        <w:t>Conclusion</w:t>
      </w:r>
    </w:p>
    <w:p w14:paraId="6057CC3A" w14:textId="01F520DC" w:rsidR="0074224C" w:rsidRDefault="00D1355F" w:rsidP="00795F0F">
      <w:pPr>
        <w:pStyle w:val="FirstSectionPar"/>
      </w:pPr>
      <w:r>
        <w:t>The Indra system has now been developed to the point that it is relatively easy to generate interesting models using the framework it provides.</w:t>
      </w:r>
      <w:r w:rsidR="00795F0F">
        <w:t xml:space="preserve"> </w:t>
      </w:r>
      <w:r w:rsidR="00254FD2">
        <w:t xml:space="preserve">The most recent model implemented, an Abelian sandpile model (see Bak, Tang and Wiesenfeld, 1987), took only about an hour to develop. </w:t>
      </w:r>
      <w:r w:rsidR="00795F0F">
        <w:t>However, there are many interesting ideas contained in the system that are merely in their embryonic stage.</w:t>
      </w:r>
      <w:r>
        <w:t xml:space="preserve"> To advance its development, the main t</w:t>
      </w:r>
      <w:r w:rsidR="00795F0F">
        <w:t>hing it needs now is more users and developers.</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23AEF2BE" w:rsidR="007520E4" w:rsidRDefault="007520E4" w:rsidP="007520E4">
      <w:r>
        <w:t>Agent:</w:t>
      </w:r>
      <w:r w:rsidR="005958BE">
        <w:t xml:space="preserve"> A software “unit” that has a goal and acts independently</w:t>
      </w:r>
      <w:r w:rsidR="00795F0F">
        <w:t xml:space="preserve"> of other units</w:t>
      </w:r>
      <w:r w:rsidR="005958BE">
        <w:t xml:space="preserve">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3"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4"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3B3F3329" w:rsidR="007520E4" w:rsidRDefault="007520E4" w:rsidP="007520E4">
      <w:r>
        <w:t>Class:</w:t>
      </w:r>
      <w:r w:rsidR="005958BE">
        <w:t xml:space="preserve"> A genera or species, e.g., ‘dog’ or ‘market economy.’</w:t>
      </w:r>
      <w:r w:rsidR="00A35614">
        <w:t xml:space="preserve"> Classes define the behavior of the objects that are members of the class.</w:t>
      </w:r>
    </w:p>
    <w:p w14:paraId="29FAEB0B" w14:textId="029A8B22" w:rsidR="007520E4" w:rsidRDefault="007520E4" w:rsidP="007520E4">
      <w:r>
        <w:t>Object:</w:t>
      </w:r>
      <w:r w:rsidR="005958BE">
        <w:t xml:space="preserve"> An instance of a class</w:t>
      </w:r>
      <w:r w:rsidR="00795F0F">
        <w:t>.</w:t>
      </w:r>
      <w:r w:rsidR="00A35614">
        <w:t xml:space="preserve"> It is a chunk of memory that combines both code and data, so that the two have a tighter union than in other programming paradigms.</w:t>
      </w:r>
    </w:p>
    <w:p w14:paraId="0A7004E7" w14:textId="64C60801" w:rsidR="005958BE" w:rsidRDefault="005958BE" w:rsidP="007520E4">
      <w:r>
        <w:t>Object-oriented programming: A style of programming that makes extensive use of classes and objects.</w:t>
      </w:r>
    </w:p>
    <w:p w14:paraId="4F9D9DCB" w14:textId="4C7979C7" w:rsidR="002A7DE2" w:rsidRDefault="002A7DE2" w:rsidP="007520E4">
      <w:r w:rsidRPr="0002187B">
        <w:t>Porphyrian tree</w:t>
      </w:r>
      <w:r>
        <w:t>:</w:t>
      </w:r>
      <w:r w:rsidR="00795F0F">
        <w:t xml:space="preserve"> </w:t>
      </w:r>
      <w:r w:rsidR="00A35614">
        <w:t>A tree showing the descent of classes from the most generic to the least, with individuals as “leaves” at the tips of the branches.</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3F8893EE" w:rsidR="008C249E" w:rsidRDefault="008E1692" w:rsidP="008C249E">
      <w:pPr>
        <w:pStyle w:val="Biblio"/>
      </w:pPr>
      <w:r>
        <w:t>Axtell, Robert. 2000</w:t>
      </w:r>
      <w:r w:rsidR="00E96CD2" w:rsidRPr="00E96CD2">
        <w:t xml:space="preserve">. “Why Agents? On the Varied Motivations for Agent Computing in the Social Sciences.” </w:t>
      </w:r>
      <w:r w:rsidR="00E96CD2" w:rsidRPr="00E96CD2">
        <w:rPr>
          <w:i/>
          <w:iCs/>
        </w:rPr>
        <w:t>The Brookings Institution</w:t>
      </w:r>
      <w:r w:rsidR="00E96CD2" w:rsidRPr="00E96CD2">
        <w:t>. Accessed March 15. http://www.brookings.edu/research/reports/2000/11/technology-axtell.</w:t>
      </w:r>
    </w:p>
    <w:p w14:paraId="394C55B2" w14:textId="5767818C" w:rsidR="00DD7677" w:rsidRDefault="00DD7677" w:rsidP="00DD7677">
      <w:pPr>
        <w:pStyle w:val="Biblio"/>
      </w:pPr>
      <w:r w:rsidRPr="00DD7677">
        <w:t>Bak, Per, Chao Tang, and Kurt Wiesenfeld. 1987. “Self-Organized Criticality: An E</w:t>
      </w:r>
      <w:r>
        <w:t>xplanation of the 1/f</w:t>
      </w:r>
      <w:r w:rsidRPr="00DD7677">
        <w:t xml:space="preserve">  Noise.” </w:t>
      </w:r>
      <w:r w:rsidRPr="00DD7677">
        <w:rPr>
          <w:i/>
          <w:iCs/>
        </w:rPr>
        <w:t>Physical Review Letters</w:t>
      </w:r>
      <w:r w:rsidRPr="00DD7677">
        <w:t xml:space="preserve"> 59 (4): 381–84. doi:10.1103/PhysRevLett.59.381.</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r w:rsidRPr="00D73E60">
        <w:t xml:space="preserve">Drossel, B., and F. Schwabl. 1992. “Self-Organized Critical Forest-Fire Model.” </w:t>
      </w:r>
      <w:r w:rsidRPr="00D73E60">
        <w:rPr>
          <w:i/>
          <w:iCs/>
        </w:rPr>
        <w:t>Physical Review Letters</w:t>
      </w:r>
      <w:r w:rsidRPr="00D73E60">
        <w:t xml:space="preserve"> 69 (11): 1629–32. doi:10.1103/PhysRevLett.69.1629.</w:t>
      </w:r>
    </w:p>
    <w:p w14:paraId="64516EEF" w14:textId="65A905F8" w:rsidR="001A31D1" w:rsidRDefault="001A31D1" w:rsidP="001A31D1">
      <w:pPr>
        <w:pStyle w:val="Biblio"/>
      </w:pPr>
      <w:r w:rsidRPr="001A31D1">
        <w:t xml:space="preserve">Epstein, Joshua M, Robert Axtell, and Brookings Institution.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[u.a.: Brookings Inst. Press [u.a.].</w:t>
      </w:r>
    </w:p>
    <w:p w14:paraId="465888BA" w14:textId="48697129" w:rsidR="00C102CF" w:rsidRDefault="00C102CF" w:rsidP="00C102CF">
      <w:pPr>
        <w:pStyle w:val="Biblio"/>
      </w:pPr>
      <w:r w:rsidRPr="00C102CF">
        <w:t xml:space="preserve">Hayek, Friedrich A. von, and Lawrence H White.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r>
        <w:t xml:space="preserve">Indra. 2015. </w:t>
      </w:r>
      <w:r>
        <w:rPr>
          <w:i/>
          <w:iCs/>
        </w:rPr>
        <w:t>GitHub</w:t>
      </w:r>
      <w:r>
        <w:t>. Accessed March 19. https://github.com/gcallah/Indra.</w:t>
      </w:r>
    </w:p>
    <w:p w14:paraId="4E9EE371" w14:textId="6B81C8F9" w:rsidR="001A31D1" w:rsidRDefault="00001A69" w:rsidP="001A31D1">
      <w:pPr>
        <w:pStyle w:val="Biblio"/>
      </w:pPr>
      <w:r>
        <w:t xml:space="preserve">Insightmaker.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r w:rsidRPr="001A31D1">
        <w:t xml:space="preserve">Kirzner, Israel M. 1973. </w:t>
      </w:r>
      <w:r w:rsidRPr="001A31D1">
        <w:rPr>
          <w:i/>
          <w:iCs/>
        </w:rPr>
        <w:t>Competition and Entrepreneurship</w:t>
      </w:r>
      <w:r w:rsidRPr="001A31D1">
        <w:t>. Chicago (Ill.): The University of Chicago Press.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r>
        <w:t xml:space="preserve">Menger,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r w:rsidRPr="001F329D">
        <w:t xml:space="preserve">Miller, John H, and Scott E Page.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r w:rsidRPr="005958BE">
        <w:rPr>
          <w:i/>
          <w:iCs/>
          <w:lang w:bidi="ar-SA"/>
        </w:rPr>
        <w:t>Wikipedia, the Free Encyclopedia</w:t>
      </w:r>
      <w:r w:rsidRPr="005958BE">
        <w:rPr>
          <w:lang w:bidi="ar-SA"/>
        </w:rPr>
        <w:t>. https://en.wikipedia.org/w/index.php?title=Cellular_automaton&amp;oldid=644637754.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A821C4" w:rsidRDefault="00A821C4" w:rsidP="002E6151">
      <w:pPr>
        <w:spacing w:after="0" w:line="240" w:lineRule="auto"/>
      </w:pPr>
      <w:r>
        <w:separator/>
      </w:r>
    </w:p>
  </w:endnote>
  <w:endnote w:type="continuationSeparator" w:id="0">
    <w:p w14:paraId="26455C9B" w14:textId="77777777" w:rsidR="00A821C4" w:rsidRDefault="00A821C4"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A821C4" w:rsidRDefault="00A821C4"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A821C4" w:rsidRDefault="00A821C4"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1692">
      <w:rPr>
        <w:rStyle w:val="PageNumber"/>
        <w:noProof/>
      </w:rPr>
      <w:t>1</w:t>
    </w:r>
    <w:r>
      <w:rPr>
        <w:rStyle w:val="PageNumber"/>
      </w:rPr>
      <w:fldChar w:fldCharType="end"/>
    </w:r>
  </w:p>
  <w:p w14:paraId="4ACD495F" w14:textId="77777777" w:rsidR="00A821C4" w:rsidRDefault="00A821C4"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A821C4" w:rsidRDefault="00A821C4" w:rsidP="002E6151">
      <w:pPr>
        <w:spacing w:after="0" w:line="240" w:lineRule="auto"/>
      </w:pPr>
      <w:r>
        <w:separator/>
      </w:r>
    </w:p>
  </w:footnote>
  <w:footnote w:type="continuationSeparator" w:id="0">
    <w:p w14:paraId="5316FEED" w14:textId="77777777" w:rsidR="00A821C4" w:rsidRDefault="00A821C4" w:rsidP="002E6151">
      <w:pPr>
        <w:spacing w:after="0" w:line="240" w:lineRule="auto"/>
      </w:pPr>
      <w:r>
        <w:continuationSeparator/>
      </w:r>
    </w:p>
  </w:footnote>
  <w:footnote w:id="1">
    <w:p w14:paraId="750C82D8" w14:textId="27A5FBD2" w:rsidR="00A821C4" w:rsidRDefault="00A821C4">
      <w:pPr>
        <w:pStyle w:val="FootnoteText"/>
      </w:pPr>
      <w:r>
        <w:rPr>
          <w:rStyle w:val="FootnoteReference"/>
        </w:rPr>
        <w:footnoteRef/>
      </w:r>
      <w:r>
        <w:t xml:space="preserve"> See also Downey (2012: 43-44) for another discussion of this same topic.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15EBA"/>
    <w:rsid w:val="0002187B"/>
    <w:rsid w:val="00031A00"/>
    <w:rsid w:val="00060A64"/>
    <w:rsid w:val="00075F37"/>
    <w:rsid w:val="000B4791"/>
    <w:rsid w:val="000B4B7E"/>
    <w:rsid w:val="000C3C3E"/>
    <w:rsid w:val="000D2930"/>
    <w:rsid w:val="000F7B2B"/>
    <w:rsid w:val="00113086"/>
    <w:rsid w:val="00175CC1"/>
    <w:rsid w:val="00177C7E"/>
    <w:rsid w:val="00194F98"/>
    <w:rsid w:val="001A31D1"/>
    <w:rsid w:val="001F329D"/>
    <w:rsid w:val="00201B03"/>
    <w:rsid w:val="00232C2D"/>
    <w:rsid w:val="00243E86"/>
    <w:rsid w:val="00254FD2"/>
    <w:rsid w:val="00260D90"/>
    <w:rsid w:val="00282040"/>
    <w:rsid w:val="002877FD"/>
    <w:rsid w:val="002A7DE2"/>
    <w:rsid w:val="002E4E87"/>
    <w:rsid w:val="002E6151"/>
    <w:rsid w:val="002F4E2D"/>
    <w:rsid w:val="003129B9"/>
    <w:rsid w:val="00313F4C"/>
    <w:rsid w:val="00324635"/>
    <w:rsid w:val="00345058"/>
    <w:rsid w:val="003517BE"/>
    <w:rsid w:val="003738B5"/>
    <w:rsid w:val="003B24EC"/>
    <w:rsid w:val="003E3BF4"/>
    <w:rsid w:val="00411332"/>
    <w:rsid w:val="004143C1"/>
    <w:rsid w:val="00463705"/>
    <w:rsid w:val="004750B3"/>
    <w:rsid w:val="005309D4"/>
    <w:rsid w:val="0054546D"/>
    <w:rsid w:val="005958BE"/>
    <w:rsid w:val="005B738E"/>
    <w:rsid w:val="005C7DED"/>
    <w:rsid w:val="005F4DB0"/>
    <w:rsid w:val="0063086D"/>
    <w:rsid w:val="00676448"/>
    <w:rsid w:val="006837AA"/>
    <w:rsid w:val="00696C80"/>
    <w:rsid w:val="006A0AE4"/>
    <w:rsid w:val="006A659F"/>
    <w:rsid w:val="006B27C6"/>
    <w:rsid w:val="007205BC"/>
    <w:rsid w:val="0074224C"/>
    <w:rsid w:val="007520E4"/>
    <w:rsid w:val="00795F0F"/>
    <w:rsid w:val="007C6A5B"/>
    <w:rsid w:val="007D3640"/>
    <w:rsid w:val="0083098E"/>
    <w:rsid w:val="00842223"/>
    <w:rsid w:val="008864B7"/>
    <w:rsid w:val="008B60B0"/>
    <w:rsid w:val="008C249E"/>
    <w:rsid w:val="008C45B3"/>
    <w:rsid w:val="008E1692"/>
    <w:rsid w:val="00903D38"/>
    <w:rsid w:val="00944BB2"/>
    <w:rsid w:val="009454EA"/>
    <w:rsid w:val="009641EE"/>
    <w:rsid w:val="009D2D1F"/>
    <w:rsid w:val="009F15DB"/>
    <w:rsid w:val="00A35614"/>
    <w:rsid w:val="00A40659"/>
    <w:rsid w:val="00A500D7"/>
    <w:rsid w:val="00A821C4"/>
    <w:rsid w:val="00AD1B3B"/>
    <w:rsid w:val="00AE0547"/>
    <w:rsid w:val="00B02A41"/>
    <w:rsid w:val="00B509F8"/>
    <w:rsid w:val="00B511B3"/>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D7677"/>
    <w:rsid w:val="00DE0A65"/>
    <w:rsid w:val="00E20323"/>
    <w:rsid w:val="00E27347"/>
    <w:rsid w:val="00E96CD2"/>
    <w:rsid w:val="00EA50CE"/>
    <w:rsid w:val="00ED5681"/>
    <w:rsid w:val="00EF5547"/>
    <w:rsid w:val="00F01CAA"/>
    <w:rsid w:val="00F4119C"/>
    <w:rsid w:val="00F55E6D"/>
    <w:rsid w:val="00F60B7D"/>
    <w:rsid w:val="00F84E38"/>
    <w:rsid w:val="00F85308"/>
    <w:rsid w:val="00FA41F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522">
      <w:bodyDiv w:val="1"/>
      <w:marLeft w:val="0"/>
      <w:marRight w:val="0"/>
      <w:marTop w:val="0"/>
      <w:marBottom w:val="0"/>
      <w:divBdr>
        <w:top w:val="none" w:sz="0" w:space="0" w:color="auto"/>
        <w:left w:val="none" w:sz="0" w:space="0" w:color="auto"/>
        <w:bottom w:val="none" w:sz="0" w:space="0" w:color="auto"/>
        <w:right w:val="none" w:sz="0" w:space="0" w:color="auto"/>
      </w:divBdr>
      <w:divsChild>
        <w:div w:id="2079404607">
          <w:marLeft w:val="0"/>
          <w:marRight w:val="0"/>
          <w:marTop w:val="0"/>
          <w:marBottom w:val="0"/>
          <w:divBdr>
            <w:top w:val="none" w:sz="0" w:space="0" w:color="auto"/>
            <w:left w:val="none" w:sz="0" w:space="0" w:color="auto"/>
            <w:bottom w:val="none" w:sz="0" w:space="0" w:color="auto"/>
            <w:right w:val="none" w:sz="0" w:space="0" w:color="auto"/>
          </w:divBdr>
          <w:divsChild>
            <w:div w:id="1681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8271">
      <w:bodyDiv w:val="1"/>
      <w:marLeft w:val="0"/>
      <w:marRight w:val="0"/>
      <w:marTop w:val="0"/>
      <w:marBottom w:val="0"/>
      <w:divBdr>
        <w:top w:val="none" w:sz="0" w:space="0" w:color="auto"/>
        <w:left w:val="none" w:sz="0" w:space="0" w:color="auto"/>
        <w:bottom w:val="none" w:sz="0" w:space="0" w:color="auto"/>
        <w:right w:val="none" w:sz="0" w:space="0" w:color="auto"/>
      </w:divBdr>
      <w:divsChild>
        <w:div w:id="776143221">
          <w:marLeft w:val="0"/>
          <w:marRight w:val="0"/>
          <w:marTop w:val="0"/>
          <w:marBottom w:val="0"/>
          <w:divBdr>
            <w:top w:val="none" w:sz="0" w:space="0" w:color="auto"/>
            <w:left w:val="none" w:sz="0" w:space="0" w:color="auto"/>
            <w:bottom w:val="none" w:sz="0" w:space="0" w:color="auto"/>
            <w:right w:val="none" w:sz="0" w:space="0" w:color="auto"/>
          </w:divBdr>
          <w:divsChild>
            <w:div w:id="1790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State_%28computer_science%29" TargetMode="External"/><Relationship Id="rId14" Type="http://schemas.openxmlformats.org/officeDocument/2006/relationships/hyperlink" Target="https://en.wikipedia.org/wiki/Coupled_map_lattic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502A5-53DC-0044-8878-FB97E2B9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18</Pages>
  <Words>4854</Words>
  <Characters>27670</Characters>
  <Application>Microsoft Macintosh Word</Application>
  <DocSecurity>0</DocSecurity>
  <Lines>230</Lines>
  <Paragraphs>64</Paragraphs>
  <ScaleCrop>false</ScaleCrop>
  <Company>SUNY Purchase</Company>
  <LinksUpToDate>false</LinksUpToDate>
  <CharactersWithSpaces>32460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102</cp:revision>
  <dcterms:created xsi:type="dcterms:W3CDTF">2015-03-07T00:42:00Z</dcterms:created>
  <dcterms:modified xsi:type="dcterms:W3CDTF">2015-05-18T22:16:00Z</dcterms:modified>
</cp:coreProperties>
</file>