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CD" w:rsidRDefault="00386790">
      <w:pPr>
        <w:spacing w:after="168" w:line="250" w:lineRule="auto"/>
        <w:ind w:right="521" w:firstLine="0"/>
        <w:jc w:val="center"/>
      </w:pPr>
      <w:r>
        <w:rPr>
          <w:b/>
          <w:sz w:val="34"/>
        </w:rPr>
        <w:t>Applied Data Science 1 - Statistics and Trends Assignment</w:t>
      </w:r>
    </w:p>
    <w:p w:rsidR="000F37CD" w:rsidRDefault="00386790">
      <w:pPr>
        <w:spacing w:after="0" w:line="259" w:lineRule="auto"/>
        <w:ind w:firstLine="0"/>
        <w:jc w:val="center"/>
      </w:pPr>
      <w:proofErr w:type="spellStart"/>
      <w:r>
        <w:rPr>
          <w:sz w:val="24"/>
        </w:rPr>
        <w:t>Abhilash</w:t>
      </w:r>
      <w:proofErr w:type="spellEnd"/>
    </w:p>
    <w:p w:rsidR="000F37CD" w:rsidRDefault="00386790">
      <w:pPr>
        <w:spacing w:after="10" w:line="267" w:lineRule="auto"/>
        <w:ind w:left="2572" w:right="3161" w:hanging="10"/>
        <w:jc w:val="center"/>
      </w:pPr>
      <w:r>
        <w:rPr>
          <w:sz w:val="20"/>
        </w:rPr>
        <w:t>Student ID: 24134978</w:t>
      </w:r>
    </w:p>
    <w:p w:rsidR="000F37CD" w:rsidRDefault="00386790">
      <w:pPr>
        <w:spacing w:after="231" w:line="267" w:lineRule="auto"/>
        <w:ind w:left="2572" w:right="3161" w:hanging="10"/>
        <w:jc w:val="center"/>
      </w:pPr>
      <w:r>
        <w:rPr>
          <w:sz w:val="20"/>
        </w:rPr>
        <w:t xml:space="preserve">Module Code: 7PAM2000-0901-2025 Tutor: </w:t>
      </w:r>
      <w:proofErr w:type="spellStart"/>
      <w:r>
        <w:rPr>
          <w:sz w:val="20"/>
        </w:rPr>
        <w:t>Dr.</w:t>
      </w:r>
      <w:proofErr w:type="spellEnd"/>
      <w:r>
        <w:rPr>
          <w:sz w:val="20"/>
        </w:rPr>
        <w:t xml:space="preserve"> William Cooper</w:t>
      </w:r>
    </w:p>
    <w:p w:rsidR="000F37CD" w:rsidRDefault="00386790">
      <w:pPr>
        <w:spacing w:after="610" w:line="259" w:lineRule="auto"/>
        <w:ind w:firstLine="0"/>
        <w:jc w:val="center"/>
      </w:pPr>
      <w:r>
        <w:rPr>
          <w:sz w:val="24"/>
        </w:rPr>
        <w:t>October 2025</w:t>
      </w:r>
    </w:p>
    <w:p w:rsidR="000F37CD" w:rsidRDefault="00386790">
      <w:pPr>
        <w:pStyle w:val="Heading1"/>
        <w:ind w:left="-5"/>
      </w:pPr>
      <w:r>
        <w:t>1. Introduction and Methodology</w:t>
      </w:r>
    </w:p>
    <w:p w:rsidR="000F37CD" w:rsidRDefault="00386790">
      <w:pPr>
        <w:spacing w:after="141"/>
        <w:ind w:left="-15" w:right="584"/>
      </w:pPr>
      <w:r>
        <w:t>This report presents a statistical and trend analysis of a dataset containing global country statistics, specifically focusing on Population and Area. The objective is to apply data preparation, visualization, and quantitative statistical techniques as out</w:t>
      </w:r>
      <w:r>
        <w:t xml:space="preserve">lined in the assignment brief. The analysis was conducted using Python with the </w:t>
      </w:r>
      <w:r>
        <w:t>pandas</w:t>
      </w:r>
      <w:r>
        <w:t xml:space="preserve">, </w:t>
      </w:r>
      <w:proofErr w:type="spellStart"/>
      <w:r>
        <w:t>seaborn</w:t>
      </w:r>
      <w:proofErr w:type="spellEnd"/>
      <w:r>
        <w:t xml:space="preserve">, and </w:t>
      </w:r>
      <w:proofErr w:type="spellStart"/>
      <w:r>
        <w:t>scipy</w:t>
      </w:r>
      <w:proofErr w:type="spellEnd"/>
      <w:r>
        <w:t xml:space="preserve"> </w:t>
      </w:r>
      <w:r>
        <w:t>libraries.</w:t>
      </w:r>
    </w:p>
    <w:p w:rsidR="000F37CD" w:rsidRDefault="00386790">
      <w:pPr>
        <w:pStyle w:val="Heading2"/>
        <w:ind w:left="-5"/>
      </w:pPr>
      <w:r>
        <w:t xml:space="preserve">1.1. Data Source and </w:t>
      </w:r>
      <w:proofErr w:type="spellStart"/>
      <w:r>
        <w:t>Preprocessing</w:t>
      </w:r>
      <w:proofErr w:type="spellEnd"/>
    </w:p>
    <w:p w:rsidR="000F37CD" w:rsidRDefault="00386790">
      <w:pPr>
        <w:ind w:left="-15" w:right="584"/>
      </w:pPr>
      <w:r>
        <w:t>The analysis utilizes a sample dataset of the world’s 10 most populous countries. As the local CSV file</w:t>
      </w:r>
      <w:r>
        <w:t xml:space="preserve"> was unavailable, the Python script automatically generated and loaded the sample data, ensuring a clean dataset with no missing values.</w:t>
      </w:r>
    </w:p>
    <w:p w:rsidR="000F37CD" w:rsidRDefault="00386790">
      <w:pPr>
        <w:spacing w:after="362"/>
        <w:ind w:left="-15" w:right="584"/>
      </w:pPr>
      <w:r>
        <w:t xml:space="preserve">The </w:t>
      </w:r>
      <w:proofErr w:type="spellStart"/>
      <w:r>
        <w:t>preprocessing</w:t>
      </w:r>
      <w:proofErr w:type="spellEnd"/>
      <w:r>
        <w:t xml:space="preserve"> stage confirmed the data integrity and calculated basic descriptive statistics (Table 1) and the corr</w:t>
      </w:r>
      <w:r>
        <w:t>elation between the numeric variables.</w:t>
      </w:r>
    </w:p>
    <w:p w:rsidR="000F37CD" w:rsidRDefault="00386790">
      <w:pPr>
        <w:pStyle w:val="Heading3"/>
      </w:pPr>
      <w:r>
        <w:rPr>
          <w:u w:val="none"/>
        </w:rPr>
        <w:t>Tabl</w:t>
      </w:r>
      <w:r>
        <w:t>e 1: Summary Statistics for Numeric Variables (Milli</w:t>
      </w:r>
      <w:r>
        <w:rPr>
          <w:u w:val="none"/>
        </w:rPr>
        <w:t>ons)</w:t>
      </w:r>
    </w:p>
    <w:p w:rsidR="000F37CD" w:rsidRDefault="00386790">
      <w:pPr>
        <w:tabs>
          <w:tab w:val="center" w:pos="2485"/>
          <w:tab w:val="center" w:pos="4833"/>
          <w:tab w:val="center" w:pos="6349"/>
        </w:tabs>
        <w:spacing w:after="0" w:line="259" w:lineRule="auto"/>
        <w:ind w:right="0" w:firstLine="0"/>
        <w:jc w:val="left"/>
      </w:pPr>
      <w:r>
        <w:tab/>
      </w:r>
      <w:r>
        <w:rPr>
          <w:b/>
        </w:rPr>
        <w:t>Statistic</w:t>
      </w:r>
      <w:r>
        <w:rPr>
          <w:b/>
        </w:rPr>
        <w:tab/>
        <w:t>Population</w:t>
      </w:r>
      <w:r>
        <w:rPr>
          <w:b/>
        </w:rPr>
        <w:tab/>
        <w:t>Area (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km)</w:t>
      </w:r>
    </w:p>
    <w:p w:rsidR="000F37CD" w:rsidRDefault="00386790">
      <w:pPr>
        <w:spacing w:after="67" w:line="259" w:lineRule="auto"/>
        <w:ind w:left="192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3321444" cy="6922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444" cy="6922"/>
                          <a:chOff x="0" y="0"/>
                          <a:chExt cx="3321444" cy="6922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321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444">
                                <a:moveTo>
                                  <a:pt x="0" y="0"/>
                                </a:moveTo>
                                <a:lnTo>
                                  <a:pt x="3321444" y="0"/>
                                </a:lnTo>
                              </a:path>
                            </a:pathLst>
                          </a:custGeom>
                          <a:ln w="69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5" style="width:261.531pt;height:0.545pt;mso-position-horizontal-relative:char;mso-position-vertical-relative:line" coordsize="33214,69">
                <v:shape id="Shape 33" style="position:absolute;width:33214;height:0;left:0;top:0;" coordsize="3321444,0" path="m0,0l3321444,0">
                  <v:stroke weight="0.54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37CD" w:rsidRDefault="00386790">
      <w:pPr>
        <w:tabs>
          <w:tab w:val="center" w:pos="3588"/>
          <w:tab w:val="center" w:pos="6210"/>
        </w:tabs>
        <w:ind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3874008</wp:posOffset>
            </wp:positionH>
            <wp:positionV relativeFrom="paragraph">
              <wp:posOffset>33175</wp:posOffset>
            </wp:positionV>
            <wp:extent cx="201168" cy="615697"/>
            <wp:effectExtent l="0" t="0" r="0" b="0"/>
            <wp:wrapSquare wrapText="bothSides"/>
            <wp:docPr id="3773" name="Picture 3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" name="Picture 3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615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2876487</wp:posOffset>
            </wp:positionH>
            <wp:positionV relativeFrom="paragraph">
              <wp:posOffset>33175</wp:posOffset>
            </wp:positionV>
            <wp:extent cx="234696" cy="274320"/>
            <wp:effectExtent l="0" t="0" r="0" b="0"/>
            <wp:wrapSquare wrapText="bothSides"/>
            <wp:docPr id="3774" name="Picture 3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" name="Picture 37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Mean</w:t>
      </w:r>
      <w:r>
        <w:rPr>
          <w:rFonts w:ascii="Cambria" w:eastAsia="Cambria" w:hAnsi="Cambria" w:cs="Cambria"/>
        </w:rPr>
        <w:t>88</w:t>
      </w:r>
      <w:r>
        <w:rPr>
          <w:rFonts w:ascii="Cambria" w:eastAsia="Cambria" w:hAnsi="Cambria" w:cs="Cambria"/>
        </w:rPr>
        <w:tab/>
        <w:t>4</w:t>
      </w:r>
    </w:p>
    <w:p w:rsidR="000F37CD" w:rsidRDefault="00386790">
      <w:pPr>
        <w:tabs>
          <w:tab w:val="center" w:pos="3588"/>
          <w:tab w:val="center" w:pos="6210"/>
        </w:tabs>
        <w:ind w:right="0" w:firstLine="0"/>
        <w:jc w:val="left"/>
      </w:pPr>
      <w:r>
        <w:tab/>
      </w:r>
      <w:r>
        <w:t>Standard Deviation</w:t>
      </w:r>
      <w:r>
        <w:rPr>
          <w:rFonts w:ascii="Cambria" w:eastAsia="Cambria" w:hAnsi="Cambria" w:cs="Cambria"/>
          <w:sz w:val="34"/>
          <w:vertAlign w:val="subscript"/>
        </w:rPr>
        <w:t>95</w:t>
      </w:r>
      <w:r>
        <w:rPr>
          <w:rFonts w:ascii="Cambria" w:eastAsia="Cambria" w:hAnsi="Cambria" w:cs="Cambria"/>
          <w:sz w:val="34"/>
          <w:vertAlign w:val="subscript"/>
        </w:rPr>
        <w:tab/>
        <w:t>5</w:t>
      </w:r>
    </w:p>
    <w:p w:rsidR="000F37CD" w:rsidRDefault="00386790">
      <w:pPr>
        <w:tabs>
          <w:tab w:val="center" w:pos="2534"/>
          <w:tab w:val="center" w:pos="4833"/>
          <w:tab w:val="center" w:pos="6210"/>
        </w:tabs>
        <w:spacing w:after="39"/>
        <w:ind w:right="0" w:firstLine="0"/>
        <w:jc w:val="left"/>
      </w:pPr>
      <w:r>
        <w:tab/>
      </w:r>
      <w:r>
        <w:t>Minimum</w:t>
      </w:r>
      <w:r>
        <w:tab/>
      </w:r>
      <w:r>
        <w:rPr>
          <w:rFonts w:ascii="Cambria" w:eastAsia="Cambria" w:hAnsi="Cambria" w:cs="Cambria"/>
        </w:rPr>
        <w:t>128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93</w:t>
      </w:r>
      <w:r>
        <w:rPr>
          <w:rFonts w:ascii="Cambria" w:eastAsia="Cambria" w:hAnsi="Cambria" w:cs="Cambria"/>
        </w:rPr>
        <w:tab/>
        <w:t>0</w:t>
      </w:r>
    </w:p>
    <w:p w:rsidR="000F37CD" w:rsidRDefault="00386790">
      <w:pPr>
        <w:tabs>
          <w:tab w:val="center" w:pos="2557"/>
          <w:tab w:val="center" w:pos="4833"/>
          <w:tab w:val="center" w:pos="6210"/>
        </w:tabs>
        <w:spacing w:after="0" w:line="259" w:lineRule="auto"/>
        <w:ind w:right="0" w:firstLine="0"/>
        <w:jc w:val="left"/>
      </w:pPr>
      <w:r>
        <w:tab/>
      </w:r>
      <w:r>
        <w:t>Maximum</w:t>
      </w:r>
      <w:r>
        <w:tab/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402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11</w:t>
      </w:r>
      <w:r>
        <w:rPr>
          <w:rFonts w:ascii="Cambria" w:eastAsia="Cambria" w:hAnsi="Cambria" w:cs="Cambria"/>
        </w:rPr>
        <w:tab/>
        <w:t>17</w:t>
      </w:r>
    </w:p>
    <w:p w:rsidR="000F37CD" w:rsidRDefault="00386790">
      <w:pPr>
        <w:spacing w:after="261" w:line="259" w:lineRule="auto"/>
        <w:ind w:left="192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3321444" cy="11087"/>
                <wp:effectExtent l="0" t="0" r="0" b="0"/>
                <wp:docPr id="2936" name="Group 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444" cy="11087"/>
                          <a:chOff x="0" y="0"/>
                          <a:chExt cx="3321444" cy="11087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3321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444">
                                <a:moveTo>
                                  <a:pt x="0" y="0"/>
                                </a:moveTo>
                                <a:lnTo>
                                  <a:pt x="3321444" y="0"/>
                                </a:lnTo>
                              </a:path>
                            </a:pathLst>
                          </a:custGeom>
                          <a:ln w="110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6" style="width:261.531pt;height:0.873pt;mso-position-horizontal-relative:char;mso-position-vertical-relative:line" coordsize="33214,110">
                <v:shape id="Shape 60" style="position:absolute;width:33214;height:0;left:0;top:0;" coordsize="3321444,0" path="m0,0l3321444,0">
                  <v:stroke weight="0.87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F37CD" w:rsidRDefault="00386790">
      <w:pPr>
        <w:ind w:left="-15" w:right="584"/>
      </w:pPr>
      <w:r>
        <w:t xml:space="preserve">The high Standard Deviation for both columns (Population: </w:t>
      </w:r>
      <w:r>
        <w:rPr>
          <w:rFonts w:ascii="Cambria" w:eastAsia="Cambria" w:hAnsi="Cambria" w:cs="Cambria"/>
        </w:rPr>
        <w:t xml:space="preserve">≈ </w:t>
      </w:r>
      <w:r>
        <w:rPr>
          <w:rFonts w:ascii="Cambria" w:eastAsia="Cambria" w:hAnsi="Cambria" w:cs="Cambria"/>
          <w:sz w:val="34"/>
          <w:vertAlign w:val="subscript"/>
        </w:rPr>
        <w:t>531</w:t>
      </w:r>
      <w:r>
        <w:t xml:space="preserve">M; Area: </w:t>
      </w:r>
      <w:r>
        <w:rPr>
          <w:rFonts w:ascii="Cambria" w:eastAsia="Cambria" w:hAnsi="Cambria" w:cs="Cambria"/>
        </w:rPr>
        <w:t xml:space="preserve">≈ </w:t>
      </w:r>
      <w:r>
        <w:rPr>
          <w:rFonts w:ascii="Cambria" w:eastAsia="Cambria" w:hAnsi="Cambria" w:cs="Cambria"/>
          <w:sz w:val="34"/>
          <w:vertAlign w:val="subscript"/>
        </w:rPr>
        <w:t>5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rFonts w:ascii="Cambria" w:eastAsia="Cambria" w:hAnsi="Cambria" w:cs="Cambria"/>
          <w:sz w:val="34"/>
          <w:vertAlign w:val="subscript"/>
        </w:rPr>
        <w:t>56</w:t>
      </w:r>
      <w:r>
        <w:t xml:space="preserve">M </w:t>
      </w:r>
      <w:proofErr w:type="spellStart"/>
      <w:r>
        <w:t>sq</w:t>
      </w:r>
      <w:proofErr w:type="spellEnd"/>
      <w:r>
        <w:t xml:space="preserve"> km) relative to their means suggests significant **dispersion** and the presence of extreme outliers, particularly driven by the largest countries (China, India, Russia).</w:t>
      </w:r>
    </w:p>
    <w:p w:rsidR="000F37CD" w:rsidRDefault="00386790">
      <w:pPr>
        <w:spacing w:after="261"/>
        <w:ind w:left="-15" w:right="584"/>
      </w:pPr>
      <w:r>
        <w:t>3.</w:t>
      </w:r>
      <w:r>
        <w:t xml:space="preserve"> **Correlation Analysis</w:t>
      </w:r>
      <w:proofErr w:type="gramStart"/>
      <w:r>
        <w:t>:*</w:t>
      </w:r>
      <w:proofErr w:type="gramEnd"/>
      <w:r>
        <w:t>* The **Pearson correlation coefficient** between Population and Area was calculated as **</w:t>
      </w:r>
      <w:r>
        <w:rPr>
          <w:rFonts w:ascii="Cambria" w:eastAsia="Cambria" w:hAnsi="Cambria" w:cs="Cambria"/>
          <w:i/>
          <w:sz w:val="34"/>
          <w:vertAlign w:val="subscript"/>
        </w:rPr>
        <w:t xml:space="preserve">r </w:t>
      </w:r>
      <w:r>
        <w:rPr>
          <w:rFonts w:ascii="Cambria" w:eastAsia="Cambria" w:hAnsi="Cambria" w:cs="Cambria"/>
          <w:sz w:val="34"/>
          <w:vertAlign w:val="subscript"/>
        </w:rPr>
        <w:t>=0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rFonts w:ascii="Cambria" w:eastAsia="Cambria" w:hAnsi="Cambria" w:cs="Cambria"/>
          <w:sz w:val="34"/>
          <w:vertAlign w:val="subscript"/>
        </w:rPr>
        <w:t>583</w:t>
      </w:r>
      <w:r>
        <w:t xml:space="preserve">**. This is a **moderate positive correlation**, suggesting that countries with larger areas tend to have larger populations, though </w:t>
      </w:r>
      <w:r>
        <w:t>this relationship is not strong enough to be consistently predictive.</w:t>
      </w:r>
    </w:p>
    <w:p w:rsidR="000F37CD" w:rsidRDefault="00386790">
      <w:pPr>
        <w:pStyle w:val="Heading1"/>
        <w:ind w:left="-5"/>
      </w:pPr>
      <w:r>
        <w:lastRenderedPageBreak/>
        <w:t>2. Trend Analysis and Visualisation</w:t>
      </w:r>
    </w:p>
    <w:p w:rsidR="000F37CD" w:rsidRDefault="00386790">
      <w:pPr>
        <w:ind w:left="-15" w:right="584"/>
      </w:pPr>
      <w:r>
        <w:t xml:space="preserve">The following section discusses </w:t>
      </w:r>
      <w:r w:rsidR="00B2291B">
        <w:rPr>
          <w:noProof/>
        </w:rPr>
        <w:drawing>
          <wp:inline distT="0" distB="0" distL="0" distR="0" wp14:anchorId="28E527E8" wp14:editId="7A38A72D">
            <wp:extent cx="2933700" cy="2194439"/>
            <wp:effectExtent l="0" t="0" r="0" b="0"/>
            <wp:docPr id="3" name="Picture 3" descr="C:\Users\Lenovo\AppData\Local\Microsoft\Windows\INetCache\Content.MSO\C093F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MSO\C093F1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08" cy="221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findings presented through three required visualisations.</w:t>
      </w:r>
    </w:p>
    <w:p w:rsidR="000F37CD" w:rsidRDefault="00386790">
      <w:pPr>
        <w:spacing w:after="389"/>
        <w:ind w:left="2376" w:right="584" w:firstLine="0"/>
      </w:pPr>
      <w:r>
        <w:t>Figure 1: Population vs. Area by Continent</w:t>
      </w:r>
    </w:p>
    <w:p w:rsidR="000F37CD" w:rsidRDefault="00386790">
      <w:pPr>
        <w:spacing w:after="99"/>
        <w:ind w:left="-15" w:right="584" w:firstLine="0"/>
      </w:pPr>
      <w:r>
        <w:rPr>
          <w:b/>
          <w:sz w:val="24"/>
        </w:rPr>
        <w:t xml:space="preserve">2.1. Relational Plot: Population vs. Area (Scatter Plot) </w:t>
      </w:r>
      <w:r>
        <w:t>T</w:t>
      </w:r>
      <w:r>
        <w:t xml:space="preserve">he scatter plot (Figure </w:t>
      </w:r>
      <w:r>
        <w:rPr>
          <w:color w:val="0000FF"/>
        </w:rPr>
        <w:t>1</w:t>
      </w:r>
      <w:r>
        <w:t>) illustrates the relationship between country size and population. The **Correlation Matrix** calculated a Pearson coefficient of **</w:t>
      </w:r>
      <w:r>
        <w:rPr>
          <w:rFonts w:ascii="Cambria" w:eastAsia="Cambria" w:hAnsi="Cambria" w:cs="Cambria"/>
          <w:i/>
          <w:sz w:val="34"/>
          <w:vertAlign w:val="subscript"/>
        </w:rPr>
        <w:t xml:space="preserve">r </w:t>
      </w:r>
      <w:r>
        <w:rPr>
          <w:rFonts w:ascii="Cambria" w:eastAsia="Cambria" w:hAnsi="Cambria" w:cs="Cambria"/>
          <w:sz w:val="34"/>
          <w:vertAlign w:val="subscript"/>
        </w:rPr>
        <w:t>=0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rFonts w:ascii="Cambria" w:eastAsia="Cambria" w:hAnsi="Cambria" w:cs="Cambria"/>
          <w:sz w:val="34"/>
          <w:vertAlign w:val="subscript"/>
        </w:rPr>
        <w:t>583</w:t>
      </w:r>
      <w:r>
        <w:t>**.</w:t>
      </w:r>
    </w:p>
    <w:p w:rsidR="000F37CD" w:rsidRDefault="00386790">
      <w:pPr>
        <w:numPr>
          <w:ilvl w:val="0"/>
          <w:numId w:val="1"/>
        </w:numPr>
        <w:spacing w:after="173"/>
        <w:ind w:right="584" w:hanging="218"/>
      </w:pPr>
      <w:r>
        <w:t>**Observation</w:t>
      </w:r>
      <w:proofErr w:type="gramStart"/>
      <w:r>
        <w:t>:*</w:t>
      </w:r>
      <w:proofErr w:type="gramEnd"/>
      <w:r>
        <w:t>* This indicates a **moderate positive linear relationship**. Generally</w:t>
      </w:r>
      <w:r>
        <w:t>, larger countries (by area) tend to have higher populations, but the correlation is not strong.</w:t>
      </w:r>
    </w:p>
    <w:p w:rsidR="000F37CD" w:rsidRDefault="00386790">
      <w:pPr>
        <w:numPr>
          <w:ilvl w:val="0"/>
          <w:numId w:val="1"/>
        </w:numPr>
        <w:spacing w:after="240"/>
        <w:ind w:right="584" w:hanging="218"/>
      </w:pPr>
      <w:r>
        <w:t>**Distribution</w:t>
      </w:r>
      <w:proofErr w:type="gramStart"/>
      <w:r>
        <w:t>:*</w:t>
      </w:r>
      <w:proofErr w:type="gramEnd"/>
      <w:r>
        <w:t xml:space="preserve">* The plot shows clear clustering by continent. Asian countries tend to concentrate in the high-population region, while countries like Russia </w:t>
      </w:r>
      <w:r>
        <w:t>(Europe) exhibit very large areas but relatively lower populations compared to India and China. The marker size, scaled by population, visually reinforces the dominance of China and India.</w:t>
      </w:r>
    </w:p>
    <w:p w:rsidR="000F37CD" w:rsidRDefault="00386790">
      <w:pPr>
        <w:pStyle w:val="Heading2"/>
        <w:spacing w:after="896"/>
        <w:ind w:left="-5"/>
      </w:pPr>
      <w:r>
        <w:t>2.2. Categorical Plot: Population by Country (Bar Plot)</w:t>
      </w:r>
    </w:p>
    <w:p w:rsidR="000F37CD" w:rsidRDefault="00B2291B">
      <w:pPr>
        <w:spacing w:after="198"/>
        <w:ind w:left="2152" w:right="584" w:firstLine="0"/>
      </w:pPr>
      <w:r>
        <w:rPr>
          <w:noProof/>
        </w:rPr>
        <w:drawing>
          <wp:inline distT="0" distB="0" distL="0" distR="0">
            <wp:extent cx="3538168" cy="2194560"/>
            <wp:effectExtent l="0" t="0" r="5715" b="0"/>
            <wp:docPr id="4" name="Picture 4" descr="C:\Users\Lenovo\AppData\Local\Microsoft\Windows\INetCache\Content.MSO\BC6656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MSO\BC66561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54" cy="22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86790">
        <w:t>Figure 2: Population by Country and Continent</w:t>
      </w:r>
    </w:p>
    <w:p w:rsidR="000F37CD" w:rsidRDefault="00386790">
      <w:pPr>
        <w:spacing w:after="232"/>
        <w:ind w:left="-15" w:right="584"/>
      </w:pPr>
      <w:r>
        <w:t xml:space="preserve">The bar plot (Figure </w:t>
      </w:r>
      <w:r>
        <w:rPr>
          <w:color w:val="0000FF"/>
        </w:rPr>
        <w:t>2</w:t>
      </w:r>
      <w:r>
        <w:t>) vis</w:t>
      </w:r>
      <w:r>
        <w:t>ually assesses the population distribution across the individual countries and their categorical grouping (Continent).</w:t>
      </w:r>
    </w:p>
    <w:p w:rsidR="000F37CD" w:rsidRDefault="00386790">
      <w:pPr>
        <w:numPr>
          <w:ilvl w:val="0"/>
          <w:numId w:val="2"/>
        </w:numPr>
        <w:spacing w:after="172"/>
        <w:ind w:right="584" w:hanging="218"/>
      </w:pPr>
      <w:r>
        <w:lastRenderedPageBreak/>
        <w:t>**Observation</w:t>
      </w:r>
      <w:proofErr w:type="gramStart"/>
      <w:r>
        <w:t>:*</w:t>
      </w:r>
      <w:proofErr w:type="gramEnd"/>
      <w:r>
        <w:t>* The plot strongly emphasizes the scale difference. China and India tower over all other countries, confirming the initia</w:t>
      </w:r>
      <w:r>
        <w:t>l observation of **high dispersion** and **right-skewness** in the data.</w:t>
      </w:r>
    </w:p>
    <w:p w:rsidR="000F37CD" w:rsidRDefault="00386790">
      <w:pPr>
        <w:numPr>
          <w:ilvl w:val="0"/>
          <w:numId w:val="2"/>
        </w:numPr>
        <w:spacing w:after="240"/>
        <w:ind w:right="584" w:hanging="218"/>
      </w:pPr>
      <w:r>
        <w:t>**Statistics</w:t>
      </w:r>
      <w:proofErr w:type="gramStart"/>
      <w:r>
        <w:t>:*</w:t>
      </w:r>
      <w:proofErr w:type="gramEnd"/>
      <w:r>
        <w:t>* This visualisation directly supports the finding that the **mean population** is heavily inflated by these two extreme values. The plot shows that Asia contributes the</w:t>
      </w:r>
      <w:r>
        <w:t xml:space="preserve"> majority of the population in this top-10 sample, followed by North and South America.</w:t>
      </w:r>
    </w:p>
    <w:p w:rsidR="000F37CD" w:rsidRDefault="00386790">
      <w:pPr>
        <w:spacing w:after="331"/>
        <w:ind w:left="-15" w:right="0" w:firstLine="0"/>
      </w:pPr>
      <w:r>
        <w:rPr>
          <w:b/>
          <w:sz w:val="24"/>
        </w:rPr>
        <w:t xml:space="preserve">2.3. Statistical Plot: Correlation </w:t>
      </w:r>
      <w:proofErr w:type="spellStart"/>
      <w:r>
        <w:rPr>
          <w:b/>
          <w:sz w:val="24"/>
        </w:rPr>
        <w:t>Heatmap</w:t>
      </w:r>
      <w:proofErr w:type="spellEnd"/>
      <w:r>
        <w:rPr>
          <w:b/>
          <w:sz w:val="24"/>
        </w:rPr>
        <w:t xml:space="preserve"> and Boxplot </w:t>
      </w:r>
      <w:proofErr w:type="gramStart"/>
      <w:r>
        <w:t>The</w:t>
      </w:r>
      <w:proofErr w:type="gramEnd"/>
      <w:r>
        <w:t xml:space="preserve"> statistical plots (Figure </w:t>
      </w:r>
      <w:r>
        <w:rPr>
          <w:color w:val="0000FF"/>
        </w:rPr>
        <w:t>3</w:t>
      </w:r>
      <w:r>
        <w:t xml:space="preserve">) confirm the relationship and distribution shape. The </w:t>
      </w:r>
      <w:proofErr w:type="spellStart"/>
      <w:r>
        <w:t>heatmap</w:t>
      </w:r>
      <w:proofErr w:type="spellEnd"/>
      <w:r>
        <w:t xml:space="preserve"> reinforces the </w:t>
      </w:r>
      <w:r>
        <w:rPr>
          <w:rFonts w:ascii="Cambria" w:eastAsia="Cambria" w:hAnsi="Cambria" w:cs="Cambria"/>
          <w:sz w:val="34"/>
          <w:vertAlign w:val="subscript"/>
        </w:rPr>
        <w:t>0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rFonts w:ascii="Cambria" w:eastAsia="Cambria" w:hAnsi="Cambria" w:cs="Cambria"/>
          <w:sz w:val="34"/>
          <w:vertAlign w:val="subscript"/>
        </w:rPr>
        <w:t xml:space="preserve">583 </w:t>
      </w:r>
      <w:r>
        <w:t>correlation coefficient. The boxplot, applied to the log-transformed data for better readability, provides a clear visual assessment of the distribution.</w:t>
      </w:r>
    </w:p>
    <w:p w:rsidR="000F37CD" w:rsidRDefault="00386790">
      <w:pPr>
        <w:spacing w:after="12" w:line="265" w:lineRule="auto"/>
        <w:ind w:left="10" w:hanging="10"/>
        <w:jc w:val="center"/>
      </w:pPr>
      <w:r>
        <w:t>2</w:t>
      </w:r>
    </w:p>
    <w:tbl>
      <w:tblPr>
        <w:tblStyle w:val="TableGrid"/>
        <w:tblW w:w="9667" w:type="dxa"/>
        <w:tblInd w:w="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5917"/>
      </w:tblGrid>
      <w:tr w:rsidR="000F37CD" w:rsidTr="00B2291B">
        <w:trPr>
          <w:trHeight w:val="1657"/>
        </w:trPr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B2291B">
            <w:pPr>
              <w:spacing w:after="160" w:line="259" w:lineRule="auto"/>
              <w:ind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94EA54" wp14:editId="15EE63F9">
                  <wp:extent cx="2377440" cy="1969278"/>
                  <wp:effectExtent l="0" t="0" r="3810" b="0"/>
                  <wp:docPr id="5" name="Picture 5" descr="C:\Users\Lenovo\AppData\Local\Microsoft\Windows\INetCache\Content.MSO\C66364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enovo\AppData\Local\Microsoft\Windows\INetCache\Content.MSO\C66364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66" cy="198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7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B2291B">
            <w:pPr>
              <w:spacing w:after="160" w:line="259" w:lineRule="auto"/>
              <w:ind w:right="0" w:firstLine="0"/>
              <w:jc w:val="left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A4F6325" wp14:editId="229B41D5">
                  <wp:extent cx="2835812" cy="1874520"/>
                  <wp:effectExtent l="0" t="0" r="3175" b="0"/>
                  <wp:docPr id="7" name="Picture 7" descr="C:\Users\Lenovo\AppData\Local\Microsoft\Windows\INetCache\Content.MSO\477BF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Lenovo\AppData\Local\Microsoft\Windows\INetCache\Content.MSO\477BF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95" cy="189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F37CD" w:rsidRDefault="00386790">
      <w:pPr>
        <w:spacing w:after="392"/>
        <w:ind w:left="-15" w:right="584" w:firstLine="0"/>
      </w:pPr>
      <w:r>
        <w:t>F</w:t>
      </w:r>
      <w:r>
        <w:t xml:space="preserve">igure 3: </w:t>
      </w:r>
      <w:r>
        <w:t>Corre</w:t>
      </w:r>
      <w:r>
        <w:t xml:space="preserve">lation </w:t>
      </w:r>
      <w:proofErr w:type="spellStart"/>
      <w:r>
        <w:t>Heatmap</w:t>
      </w:r>
      <w:proofErr w:type="spellEnd"/>
      <w:r>
        <w:t xml:space="preserve"> (Left) and Boxplots of Log-Transformed Numeric Columns (Right)</w:t>
      </w:r>
    </w:p>
    <w:p w:rsidR="000F37CD" w:rsidRDefault="00386790">
      <w:pPr>
        <w:numPr>
          <w:ilvl w:val="0"/>
          <w:numId w:val="2"/>
        </w:numPr>
        <w:spacing w:after="320"/>
        <w:ind w:right="584" w:hanging="218"/>
      </w:pPr>
      <w:r>
        <w:t>**Boxplot Distribution</w:t>
      </w:r>
      <w:proofErr w:type="gramStart"/>
      <w:r>
        <w:t>:*</w:t>
      </w:r>
      <w:proofErr w:type="gramEnd"/>
      <w:r>
        <w:t xml:space="preserve">* Both Population and Area show a strong presence of **outliers** (dots outside the whiskers). For Population, the box itself is small relative to the total range, and </w:t>
      </w:r>
      <w:proofErr w:type="gramStart"/>
      <w:r>
        <w:t>the</w:t>
      </w:r>
      <w:proofErr w:type="gramEnd"/>
      <w:r>
        <w:t xml:space="preserve"> upper whisker is extremely long, visually confirming the hig</w:t>
      </w:r>
      <w:r>
        <w:t xml:space="preserve">h </w:t>
      </w:r>
      <w:r>
        <w:t>Q4 density and the long tail stretching towards China and India. The presence of these outliers is the primary factor driving the high kurtosis value.</w:t>
      </w:r>
    </w:p>
    <w:p w:rsidR="000F37CD" w:rsidRDefault="00386790">
      <w:pPr>
        <w:pStyle w:val="Heading1"/>
        <w:ind w:left="-5"/>
      </w:pPr>
      <w:r>
        <w:t>3. Statistical Moments Analysis of Population</w:t>
      </w:r>
    </w:p>
    <w:p w:rsidR="000F37CD" w:rsidRDefault="00386790">
      <w:pPr>
        <w:spacing w:after="380"/>
        <w:ind w:left="-15" w:right="584"/>
      </w:pPr>
      <w:r>
        <w:t>The final analysis step was to compute the four main stat</w:t>
      </w:r>
      <w:r>
        <w:t>istical moments for the **Population** column to quantitatively assess the distribution’s shape and characteristics.</w:t>
      </w:r>
    </w:p>
    <w:p w:rsidR="000F37CD" w:rsidRDefault="00386790">
      <w:pPr>
        <w:spacing w:after="12" w:line="265" w:lineRule="auto"/>
        <w:ind w:left="10" w:hanging="10"/>
        <w:jc w:val="center"/>
      </w:pPr>
      <w:r>
        <w:t>Table 2: Four Main Statistical Moments for Population</w:t>
      </w:r>
    </w:p>
    <w:tbl>
      <w:tblPr>
        <w:tblStyle w:val="TableGrid"/>
        <w:tblpPr w:vertAnchor="page" w:horzAnchor="page" w:tblpX="1417" w:tblpY="7512"/>
        <w:tblOverlap w:val="never"/>
        <w:tblW w:w="104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19"/>
        <w:gridCol w:w="1787"/>
        <w:gridCol w:w="4982"/>
      </w:tblGrid>
      <w:tr w:rsidR="000F37CD">
        <w:trPr>
          <w:trHeight w:val="408"/>
        </w:trPr>
        <w:tc>
          <w:tcPr>
            <w:tcW w:w="3719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</w:rPr>
              <w:lastRenderedPageBreak/>
              <w:t>Moment</w:t>
            </w:r>
          </w:p>
        </w:tc>
        <w:tc>
          <w:tcPr>
            <w:tcW w:w="1787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left="470" w:right="0" w:firstLine="0"/>
              <w:jc w:val="left"/>
            </w:pPr>
            <w:r>
              <w:rPr>
                <w:b/>
              </w:rPr>
              <w:t>Value</w:t>
            </w:r>
          </w:p>
        </w:tc>
        <w:tc>
          <w:tcPr>
            <w:tcW w:w="498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>Interpretation</w:t>
            </w:r>
          </w:p>
        </w:tc>
      </w:tr>
      <w:tr w:rsidR="000F37CD">
        <w:trPr>
          <w:trHeight w:val="322"/>
        </w:trPr>
        <w:tc>
          <w:tcPr>
            <w:tcW w:w="37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left="120" w:right="0" w:firstLine="0"/>
              <w:jc w:val="left"/>
            </w:pPr>
            <w:r>
              <w:t>Mean (First Moment)</w:t>
            </w:r>
          </w:p>
        </w:tc>
        <w:tc>
          <w:tcPr>
            <w:tcW w:w="178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right="0" w:firstLine="0"/>
              <w:jc w:val="left"/>
            </w:pPr>
            <w:r>
              <w:t>418,879,691.70</w:t>
            </w:r>
          </w:p>
        </w:tc>
        <w:tc>
          <w:tcPr>
            <w:tcW w:w="49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right="-100" w:firstLine="0"/>
            </w:pPr>
            <w:r>
              <w:t>Measure of central tendency (heavily influenced b</w:t>
            </w:r>
          </w:p>
        </w:tc>
      </w:tr>
      <w:tr w:rsidR="000F37CD">
        <w:trPr>
          <w:trHeight w:val="271"/>
        </w:trPr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left="120" w:right="0" w:firstLine="0"/>
              <w:jc w:val="left"/>
            </w:pPr>
            <w:r>
              <w:t>Standard Deviation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right="0" w:firstLine="0"/>
              <w:jc w:val="left"/>
            </w:pPr>
            <w:r>
              <w:t>530,950,917.84</w:t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right="-24" w:firstLine="0"/>
            </w:pPr>
            <w:r>
              <w:t xml:space="preserve">Measure of dispersion (high value confirms </w:t>
            </w:r>
            <w:proofErr w:type="spellStart"/>
            <w:r>
              <w:t>extre</w:t>
            </w:r>
            <w:proofErr w:type="spellEnd"/>
          </w:p>
        </w:tc>
      </w:tr>
      <w:tr w:rsidR="000F37CD">
        <w:trPr>
          <w:trHeight w:val="271"/>
        </w:trPr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left="120" w:right="0" w:firstLine="0"/>
              <w:jc w:val="left"/>
            </w:pPr>
            <w:r>
              <w:t>Skewness (Third Moment)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left="432" w:right="0" w:firstLine="0"/>
              <w:jc w:val="left"/>
            </w:pPr>
            <w:r>
              <w:rPr>
                <w:b/>
              </w:rPr>
              <w:t>1</w:t>
            </w:r>
            <w:r>
              <w:rPr>
                <w:rFonts w:ascii="Cambria" w:eastAsia="Cambria" w:hAnsi="Cambria" w:cs="Cambria"/>
                <w:i/>
                <w:sz w:val="34"/>
                <w:vertAlign w:val="subscript"/>
              </w:rPr>
              <w:t>.</w:t>
            </w:r>
            <w:r>
              <w:rPr>
                <w:b/>
              </w:rPr>
              <w:t>8159</w:t>
            </w:r>
          </w:p>
        </w:tc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</w:tcPr>
          <w:p w:rsidR="000F37CD" w:rsidRDefault="00386790">
            <w:pPr>
              <w:spacing w:after="0" w:line="259" w:lineRule="auto"/>
              <w:ind w:right="-91" w:firstLine="0"/>
            </w:pPr>
            <w:r>
              <w:t>**Strong Positive Skewness** (Long tail to the rig</w:t>
            </w:r>
          </w:p>
        </w:tc>
      </w:tr>
      <w:tr w:rsidR="000F37CD">
        <w:trPr>
          <w:trHeight w:val="357"/>
        </w:trPr>
        <w:tc>
          <w:tcPr>
            <w:tcW w:w="3719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left="120" w:right="0" w:firstLine="0"/>
              <w:jc w:val="left"/>
            </w:pPr>
            <w:r>
              <w:t>Excess Kurtosis (Fourth Moment)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left="432" w:right="0" w:firstLine="0"/>
              <w:jc w:val="left"/>
            </w:pPr>
            <w:r>
              <w:rPr>
                <w:b/>
              </w:rPr>
              <w:t>1</w:t>
            </w:r>
            <w:r>
              <w:rPr>
                <w:rFonts w:ascii="Cambria" w:eastAsia="Cambria" w:hAnsi="Cambria" w:cs="Cambria"/>
                <w:i/>
                <w:sz w:val="34"/>
                <w:vertAlign w:val="subscript"/>
              </w:rPr>
              <w:t>.</w:t>
            </w:r>
            <w:r>
              <w:rPr>
                <w:b/>
              </w:rPr>
              <w:t>6888</w:t>
            </w:r>
          </w:p>
        </w:tc>
        <w:tc>
          <w:tcPr>
            <w:tcW w:w="498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:rsidR="000F37CD" w:rsidRDefault="00386790">
            <w:pPr>
              <w:spacing w:after="0" w:line="259" w:lineRule="auto"/>
              <w:ind w:right="-40" w:firstLine="0"/>
            </w:pPr>
            <w:r>
              <w:t>**Leptokurtic** (Heavier tails and sharper peak t</w:t>
            </w:r>
          </w:p>
        </w:tc>
      </w:tr>
    </w:tbl>
    <w:p w:rsidR="000F37CD" w:rsidRDefault="00386790">
      <w:pPr>
        <w:pStyle w:val="Heading2"/>
        <w:spacing w:before="344"/>
        <w:ind w:left="-5"/>
      </w:pPr>
      <w:r>
        <w:t>3.1. Critical Assessment of Performance</w:t>
      </w:r>
    </w:p>
    <w:p w:rsidR="000F37CD" w:rsidRDefault="00386790">
      <w:pPr>
        <w:spacing w:after="234"/>
        <w:ind w:left="-15" w:right="584"/>
      </w:pPr>
      <w:r>
        <w:t>The calculated moments provide a critical assessment of the Population variable’s distribution.</w:t>
      </w:r>
    </w:p>
    <w:p w:rsidR="000F37CD" w:rsidRDefault="00386790">
      <w:pPr>
        <w:numPr>
          <w:ilvl w:val="0"/>
          <w:numId w:val="3"/>
        </w:numPr>
        <w:spacing w:after="173"/>
        <w:ind w:right="584" w:hanging="218"/>
      </w:pPr>
      <w:r>
        <w:t>The **Skewness (</w:t>
      </w:r>
      <w:r>
        <w:rPr>
          <w:b/>
        </w:rPr>
        <w:t>1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b/>
        </w:rPr>
        <w:t>8159</w:t>
      </w:r>
      <w:proofErr w:type="gramStart"/>
      <w:r>
        <w:t>)*</w:t>
      </w:r>
      <w:proofErr w:type="gramEnd"/>
      <w:r>
        <w:t xml:space="preserve">* is significantly greater than </w:t>
      </w:r>
      <w:r>
        <w:rPr>
          <w:rFonts w:ascii="Cambria" w:eastAsia="Cambria" w:hAnsi="Cambria" w:cs="Cambria"/>
          <w:sz w:val="34"/>
          <w:vertAlign w:val="subscript"/>
        </w:rPr>
        <w:t>0</w:t>
      </w:r>
      <w:r>
        <w:t>, quantifying the visual observation from the bar plot: the distribution is highly asymmetrical, with the bulk of the data clustered towards the lower end and a long tail pulled to the right by the very large population values.</w:t>
      </w:r>
    </w:p>
    <w:p w:rsidR="000F37CD" w:rsidRDefault="00386790">
      <w:pPr>
        <w:numPr>
          <w:ilvl w:val="0"/>
          <w:numId w:val="3"/>
        </w:numPr>
        <w:spacing w:after="173"/>
        <w:ind w:right="584" w:hanging="218"/>
      </w:pPr>
      <w:r>
        <w:t>The **Excess Kurtosis (</w:t>
      </w:r>
      <w:r>
        <w:rPr>
          <w:b/>
        </w:rPr>
        <w:t>1</w:t>
      </w:r>
      <w:r>
        <w:rPr>
          <w:rFonts w:ascii="Cambria" w:eastAsia="Cambria" w:hAnsi="Cambria" w:cs="Cambria"/>
          <w:i/>
          <w:sz w:val="34"/>
          <w:vertAlign w:val="subscript"/>
        </w:rPr>
        <w:t>.</w:t>
      </w:r>
      <w:r>
        <w:rPr>
          <w:b/>
        </w:rPr>
        <w:t>688</w:t>
      </w:r>
      <w:r>
        <w:rPr>
          <w:b/>
        </w:rPr>
        <w:t>8</w:t>
      </w:r>
      <w:proofErr w:type="gramStart"/>
      <w:r>
        <w:t>)*</w:t>
      </w:r>
      <w:proofErr w:type="gramEnd"/>
      <w:r>
        <w:t>* is also positive, indicating the distribution is **leptokurtic**. This means the extreme values (outliers) are more impactful on the tails than would be expected in a normal distribution.</w:t>
      </w:r>
    </w:p>
    <w:p w:rsidR="000F37CD" w:rsidRDefault="00386790">
      <w:pPr>
        <w:numPr>
          <w:ilvl w:val="0"/>
          <w:numId w:val="3"/>
        </w:numPr>
        <w:spacing w:after="1770"/>
        <w:ind w:right="584" w:hanging="218"/>
      </w:pPr>
      <w:r>
        <w:t>**Conclusion</w:t>
      </w:r>
      <w:proofErr w:type="gramStart"/>
      <w:r>
        <w:t>:*</w:t>
      </w:r>
      <w:proofErr w:type="gramEnd"/>
      <w:r>
        <w:t>* Given the non-zero values for skewness and kurt</w:t>
      </w:r>
      <w:r>
        <w:t>osis, the Population distribution is confirmed to be **highly non-normal**. For subsequent modelling or inferential statistics, a transformation (e.g., logarithmic) of the Population variable would be necessary to meet assumptions of normality.</w:t>
      </w:r>
    </w:p>
    <w:p w:rsidR="000F37CD" w:rsidRDefault="00386790">
      <w:pPr>
        <w:spacing w:after="12" w:line="265" w:lineRule="auto"/>
        <w:ind w:left="10" w:hanging="10"/>
        <w:jc w:val="center"/>
      </w:pPr>
      <w:r>
        <w:t>3</w:t>
      </w:r>
    </w:p>
    <w:sectPr w:rsidR="000F37CD">
      <w:pgSz w:w="11906" w:h="16838"/>
      <w:pgMar w:top="1421" w:right="818" w:bottom="756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790" w:rsidRDefault="00386790" w:rsidP="00B2291B">
      <w:pPr>
        <w:spacing w:after="0" w:line="240" w:lineRule="auto"/>
      </w:pPr>
      <w:r>
        <w:separator/>
      </w:r>
    </w:p>
  </w:endnote>
  <w:endnote w:type="continuationSeparator" w:id="0">
    <w:p w:rsidR="00386790" w:rsidRDefault="00386790" w:rsidP="00B2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790" w:rsidRDefault="00386790" w:rsidP="00B2291B">
      <w:pPr>
        <w:spacing w:after="0" w:line="240" w:lineRule="auto"/>
      </w:pPr>
      <w:r>
        <w:separator/>
      </w:r>
    </w:p>
  </w:footnote>
  <w:footnote w:type="continuationSeparator" w:id="0">
    <w:p w:rsidR="00386790" w:rsidRDefault="00386790" w:rsidP="00B22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6A6"/>
    <w:multiLevelType w:val="hybridMultilevel"/>
    <w:tmpl w:val="964C5998"/>
    <w:lvl w:ilvl="0" w:tplc="9FCE3CF4">
      <w:start w:val="1"/>
      <w:numFmt w:val="bullet"/>
      <w:lvlText w:val="–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0C73F8">
      <w:start w:val="1"/>
      <w:numFmt w:val="bullet"/>
      <w:lvlText w:val="o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EE0C2">
      <w:start w:val="1"/>
      <w:numFmt w:val="bullet"/>
      <w:lvlText w:val="▪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6EC9A">
      <w:start w:val="1"/>
      <w:numFmt w:val="bullet"/>
      <w:lvlText w:val="•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0F29A">
      <w:start w:val="1"/>
      <w:numFmt w:val="bullet"/>
      <w:lvlText w:val="o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A5AB8">
      <w:start w:val="1"/>
      <w:numFmt w:val="bullet"/>
      <w:lvlText w:val="▪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654AC">
      <w:start w:val="1"/>
      <w:numFmt w:val="bullet"/>
      <w:lvlText w:val="•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CBB94">
      <w:start w:val="1"/>
      <w:numFmt w:val="bullet"/>
      <w:lvlText w:val="o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28E526">
      <w:start w:val="1"/>
      <w:numFmt w:val="bullet"/>
      <w:lvlText w:val="▪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F94B9C"/>
    <w:multiLevelType w:val="hybridMultilevel"/>
    <w:tmpl w:val="DCF6711E"/>
    <w:lvl w:ilvl="0" w:tplc="0E343176">
      <w:start w:val="1"/>
      <w:numFmt w:val="bullet"/>
      <w:lvlText w:val="–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68C5C">
      <w:start w:val="1"/>
      <w:numFmt w:val="bullet"/>
      <w:lvlText w:val="o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DE6DC6">
      <w:start w:val="1"/>
      <w:numFmt w:val="bullet"/>
      <w:lvlText w:val="▪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429A2">
      <w:start w:val="1"/>
      <w:numFmt w:val="bullet"/>
      <w:lvlText w:val="•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38509A">
      <w:start w:val="1"/>
      <w:numFmt w:val="bullet"/>
      <w:lvlText w:val="o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8AE3C4">
      <w:start w:val="1"/>
      <w:numFmt w:val="bullet"/>
      <w:lvlText w:val="▪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C2620">
      <w:start w:val="1"/>
      <w:numFmt w:val="bullet"/>
      <w:lvlText w:val="•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ED67C">
      <w:start w:val="1"/>
      <w:numFmt w:val="bullet"/>
      <w:lvlText w:val="o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26F3A">
      <w:start w:val="1"/>
      <w:numFmt w:val="bullet"/>
      <w:lvlText w:val="▪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F372B0"/>
    <w:multiLevelType w:val="hybridMultilevel"/>
    <w:tmpl w:val="308A6A82"/>
    <w:lvl w:ilvl="0" w:tplc="9C7CE532">
      <w:start w:val="1"/>
      <w:numFmt w:val="bullet"/>
      <w:lvlText w:val="–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C5EE2">
      <w:start w:val="1"/>
      <w:numFmt w:val="bullet"/>
      <w:lvlText w:val="o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4C3CC">
      <w:start w:val="1"/>
      <w:numFmt w:val="bullet"/>
      <w:lvlText w:val="▪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52899E">
      <w:start w:val="1"/>
      <w:numFmt w:val="bullet"/>
      <w:lvlText w:val="•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82EF04">
      <w:start w:val="1"/>
      <w:numFmt w:val="bullet"/>
      <w:lvlText w:val="o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C29078">
      <w:start w:val="1"/>
      <w:numFmt w:val="bullet"/>
      <w:lvlText w:val="▪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4BE26">
      <w:start w:val="1"/>
      <w:numFmt w:val="bullet"/>
      <w:lvlText w:val="•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80D5A">
      <w:start w:val="1"/>
      <w:numFmt w:val="bullet"/>
      <w:lvlText w:val="o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C6C7A">
      <w:start w:val="1"/>
      <w:numFmt w:val="bullet"/>
      <w:lvlText w:val="▪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CD"/>
    <w:rsid w:val="000F37CD"/>
    <w:rsid w:val="00386790"/>
    <w:rsid w:val="00B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D2370-E92F-40F3-B8DB-BDB47338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right="599" w:firstLine="329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8"/>
      <w:ind w:right="599"/>
      <w:jc w:val="center"/>
      <w:outlineLvl w:val="2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1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1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331B-E386-40A7-8A42-AEE5DFE3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Report</dc:title>
  <dc:subject/>
  <dc:creator>Lenovo</dc:creator>
  <cp:keywords/>
  <cp:lastModifiedBy>Lenovo</cp:lastModifiedBy>
  <cp:revision>2</cp:revision>
  <dcterms:created xsi:type="dcterms:W3CDTF">2025-10-26T12:35:00Z</dcterms:created>
  <dcterms:modified xsi:type="dcterms:W3CDTF">2025-10-26T12:35:00Z</dcterms:modified>
</cp:coreProperties>
</file>