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Nexus Creative - Technical Proposal</w:t>
      </w:r>
    </w:p>
    <w:p>
      <w:pPr>
        <w:pStyle w:val="Heading1"/>
      </w:pPr>
      <w:r>
        <w:t>Section 1: holistic consumer engagement</w:t>
      </w:r>
    </w:p>
    <w:p>
      <w:r>
        <w:t>--- INTERNAL MARKER: PAGE 1 ---</w:t>
      </w:r>
    </w:p>
    <w:p>
      <w:r>
        <w:t>The technical specifications for the TVC production involve synergistic touchpoints across all regional hubs. This allows for a paradigm-shifting ROI that is both cost-effective and high-impact. [COMMERCIAL] The itemized fee for Strategy is projected at $122,158 inclusive of agency overhead but excluding third-party pass-throughs.</w:t>
      </w:r>
    </w:p>
    <w:p>
      <w:r>
        <w:t>Regarding the strategy, we believe that quantum-leap brand awareness is the key to unlocking market share in SEA. Our team will deploy data-driven market penetration to maximize reach. [COMMERCIAL] The itemized fee for Social is projected at $79,228 inclusive of agency overhead but excluding third-party pass-throughs.</w:t>
      </w:r>
    </w:p>
    <w:p>
      <w:r>
        <w:t>Compliance is at the heart of our paradigm-shifting ROI system. We utilize hyper-local cultural relevance to verify all claims against regional regulations. [COMMERCIAL] The itemized fee for Compliance is projected at $15,978 inclusive of agency overhead but excluding third-party pass-throughs.</w:t>
      </w:r>
    </w:p>
    <w:p>
      <w:r>
        <w:t>Our synergistic touchpoints approach ensures that the NutriKid launch will exceed all stakeholder expectations. Through careful paradigm-shifting ROI and rigorous testing, we have developed a methodology that scales effortlessly. [COMMERCIAL] The itemized fee for Compliance is projected at $14,823 inclusive of agency overhead but excluding third-party pass-throughs.</w:t>
      </w:r>
    </w:p>
    <w:p>
      <w:r>
        <w:t>Compliance is at the heart of our growth-hacking strategy system. We utilize paradigm-shifting ROI to verify all claims against regional regulations. [COMMERCIAL] The itemized fee for TVC is projected at $446,936 inclusive of agency overhead but excluding third-party pass-throughs.</w:t>
      </w:r>
    </w:p>
    <w:p>
      <w:pPr>
        <w:pStyle w:val="Heading2"/>
      </w:pPr>
      <w:r>
        <w:t>Detailed Performance Metrics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 Area</w:t>
            </w:r>
          </w:p>
        </w:tc>
        <w:tc>
          <w:tcPr>
            <w:tcW w:type="dxa" w:w="2880"/>
          </w:tcPr>
          <w:p>
            <w:r>
              <w:t>Rating (%)</w:t>
            </w:r>
          </w:p>
        </w:tc>
        <w:tc>
          <w:tcPr>
            <w:tcW w:type="dxa" w:w="2880"/>
          </w:tcPr>
          <w:p>
            <w:r>
              <w:t>Benchmarking Insight</w:t>
            </w:r>
          </w:p>
        </w:tc>
      </w:tr>
      <w:tr>
        <w:tc>
          <w:tcPr>
            <w:tcW w:type="dxa" w:w="2880"/>
          </w:tcPr>
          <w:p>
            <w:r>
              <w:t>Strategy</w:t>
            </w:r>
          </w:p>
        </w:tc>
        <w:tc>
          <w:tcPr>
            <w:tcW w:type="dxa" w:w="2880"/>
          </w:tcPr>
          <w:p>
            <w:r>
              <w:t>99</w:t>
            </w:r>
          </w:p>
        </w:tc>
        <w:tc>
          <w:tcPr>
            <w:tcW w:type="dxa" w:w="2880"/>
          </w:tcPr>
          <w:p>
            <w:r>
              <w:t>growth-hacking strategy</w:t>
            </w:r>
          </w:p>
        </w:tc>
      </w:tr>
      <w:tr>
        <w:tc>
          <w:tcPr>
            <w:tcW w:type="dxa" w:w="2880"/>
          </w:tcPr>
          <w:p>
            <w:r>
              <w:t>Creative</w:t>
            </w:r>
          </w:p>
        </w:tc>
        <w:tc>
          <w:tcPr>
            <w:tcW w:type="dxa" w:w="2880"/>
          </w:tcPr>
          <w:p>
            <w:r>
              <w:t>94</w:t>
            </w:r>
          </w:p>
        </w:tc>
        <w:tc>
          <w:tcPr>
            <w:tcW w:type="dxa" w:w="2880"/>
          </w:tcPr>
          <w:p>
            <w:r>
              <w:t>quantum-leap brand awareness</w:t>
            </w:r>
          </w:p>
        </w:tc>
      </w:tr>
      <w:tr>
        <w:tc>
          <w:tcPr>
            <w:tcW w:type="dxa" w:w="2880"/>
          </w:tcPr>
          <w:p>
            <w:r>
              <w:t>Speed</w:t>
            </w:r>
          </w:p>
        </w:tc>
        <w:tc>
          <w:tcPr>
            <w:tcW w:type="dxa" w:w="2880"/>
          </w:tcPr>
          <w:p>
            <w:r>
              <w:t>70</w:t>
            </w:r>
          </w:p>
        </w:tc>
        <w:tc>
          <w:tcPr>
            <w:tcW w:type="dxa" w:w="2880"/>
          </w:tcPr>
          <w:p>
            <w:r>
              <w:t>paradigm-shifting ROI</w:t>
            </w:r>
          </w:p>
        </w:tc>
      </w:tr>
      <w:tr>
        <w:tc>
          <w:tcPr>
            <w:tcW w:type="dxa" w:w="2880"/>
          </w:tcPr>
          <w:p>
            <w:r>
              <w:t>Compliance</w:t>
            </w:r>
          </w:p>
        </w:tc>
        <w:tc>
          <w:tcPr>
            <w:tcW w:type="dxa" w:w="2880"/>
          </w:tcPr>
          <w:p>
            <w:r>
              <w:t>95</w:t>
            </w:r>
          </w:p>
        </w:tc>
        <w:tc>
          <w:tcPr>
            <w:tcW w:type="dxa" w:w="2880"/>
          </w:tcPr>
          <w:p>
            <w:r>
              <w:t>growth-hacking strategy</w:t>
            </w:r>
          </w:p>
        </w:tc>
      </w:tr>
    </w:tbl>
    <w:p>
      <w:r>
        <w:br w:type="page"/>
      </w:r>
    </w:p>
    <w:p>
      <w:pPr>
        <w:pStyle w:val="Heading1"/>
      </w:pPr>
      <w:r>
        <w:t>Section 2: data-driven market penetration</w:t>
      </w:r>
    </w:p>
    <w:p>
      <w:r>
        <w:t>--- INTERNAL MARKER: PAGE 2 ---</w:t>
      </w:r>
    </w:p>
    <w:p>
      <w:r>
        <w:t>Compliance is at the heart of our paradigm-shifting ROI system. We utilize 360-degree brand amplification to verify all claims against regional regulations.</w:t>
      </w:r>
    </w:p>
    <w:p>
      <w:r>
        <w:t>The technical specifications for the TVC production involve omni-channel synergy across all regional hubs. This allows for a quantum-leap brand awareness that is both cost-effective and high-impact.</w:t>
      </w:r>
    </w:p>
    <w:p>
      <w:r>
        <w:t>The technical specifications for the TVC production involve hyper-local cultural relevance across all regional hubs. This allows for a synergistic touchpoints that is both cost-effective and high-impact.</w:t>
      </w:r>
    </w:p>
    <w:p>
      <w:r>
        <w:t>Regarding the strategy, we believe that synergistic touchpoints is the key to unlocking market share in SEA. Our team will deploy paradigm-shifting ROI to maximize reach. [METRIC] Our internal audit scores this workstream at a 75% efficiency rating.</w:t>
      </w:r>
    </w:p>
    <w:p>
      <w:r>
        <w:t>Regarding the strategy, we believe that agile response framework is the key to unlocking market share in SEA. Our team will deploy hyper-local cultural relevance to maximize reach. [METRIC] Our internal audit scores this workstream at a 98% efficiency rating.</w:t>
      </w:r>
    </w:p>
    <w:p>
      <w:r>
        <w:br w:type="page"/>
      </w:r>
    </w:p>
    <w:p>
      <w:pPr>
        <w:pStyle w:val="Heading1"/>
      </w:pPr>
      <w:r>
        <w:t>Section 3: agile response framework</w:t>
      </w:r>
    </w:p>
    <w:p>
      <w:r>
        <w:t>--- INTERNAL MARKER: PAGE 3 ---</w:t>
      </w:r>
    </w:p>
    <w:p>
      <w:r>
        <w:t>The technical specifications for the TVC production involve hyper-local cultural relevance across all regional hubs. This allows for a agile response framework that is both cost-effective and high-impact.</w:t>
      </w:r>
    </w:p>
    <w:p>
      <w:r>
        <w:t>Our holistic consumer engagement approach ensures that the NutriKid launch will exceed all stakeholder expectations. Through careful 360-degree brand amplification and rigorous testing, we have developed a methodology that scales effortlessly.</w:t>
      </w:r>
    </w:p>
    <w:p>
      <w:r>
        <w:t>Regarding the strategy, we believe that synergistic touchpoints is the key to unlocking market share in SEA. Our team will deploy bleeding-edge creative disruption to maximize reach.</w:t>
      </w:r>
    </w:p>
    <w:p>
      <w:r>
        <w:t>The technical specifications for the TVC production involve 360-degree brand amplification across all regional hubs. This allows for a hyper-local cultural relevance that is both cost-effective and high-impact.</w:t>
      </w:r>
    </w:p>
    <w:p>
      <w:r>
        <w:t>The technical specifications for the TVC production involve 360-degree brand amplification across all regional hubs. This allows for a synergistic touchpoints that is both cost-effective and high-impact.</w:t>
      </w:r>
    </w:p>
    <w:p>
      <w:r>
        <w:br w:type="page"/>
      </w:r>
    </w:p>
    <w:p>
      <w:pPr>
        <w:pStyle w:val="Heading1"/>
      </w:pPr>
      <w:r>
        <w:t>Section 4: agile response framework</w:t>
      </w:r>
    </w:p>
    <w:p>
      <w:r>
        <w:t>--- INTERNAL MARKER: PAGE 4 ---</w:t>
      </w:r>
    </w:p>
    <w:p>
      <w:r>
        <w:t>Compliance is at the heart of our paradigm-shifting ROI system. We utilize 360-degree brand amplification to verify all claims against regional regulations.</w:t>
      </w:r>
    </w:p>
    <w:p>
      <w:r>
        <w:t>Regarding the strategy, we believe that growth-hacking strategy is the key to unlocking market share in SEA. Our team will deploy omni-channel synergy to maximize reach.</w:t>
      </w:r>
    </w:p>
    <w:p>
      <w:r>
        <w:t>Compliance is at the heart of our omni-channel synergy system. We utilize bleeding-edge creative disruption to verify all claims against regional regulations.</w:t>
      </w:r>
    </w:p>
    <w:p>
      <w:r>
        <w:t>Regarding the strategy, we believe that growth-hacking strategy is the key to unlocking market share in SEA. Our team will deploy seamless platform integration to maximize reach. [METRIC] Our internal audit scores this workstream at a 90% efficiency rating.</w:t>
      </w:r>
    </w:p>
    <w:p>
      <w:r>
        <w:t>Regarding the strategy, we believe that quantum-leap brand awareness is the key to unlocking market share in SEA. Our team will deploy quantum-leap brand awareness to maximize reach.</w:t>
      </w:r>
    </w:p>
    <w:p>
      <w:r>
        <w:br w:type="page"/>
      </w:r>
    </w:p>
    <w:p>
      <w:pPr>
        <w:pStyle w:val="Heading1"/>
      </w:pPr>
      <w:r>
        <w:t>Section 5: synergistic touchpoints</w:t>
      </w:r>
    </w:p>
    <w:p>
      <w:r>
        <w:t>--- INTERNAL MARKER: PAGE 5 ---</w:t>
      </w:r>
    </w:p>
    <w:p>
      <w:r>
        <w:t>Compliance is at the heart of our hyper-local cultural relevance system. We utilize paradigm-shifting ROI to verify all claims against regional regulations. [COMMERCIAL] The itemized fee for Social is projected at $83,791 inclusive of agency overhead but excluding third-party pass-throughs.</w:t>
      </w:r>
    </w:p>
    <w:p>
      <w:r>
        <w:t>Compliance is at the heart of our paradigm-shifting ROI system. We utilize agile response framework to verify all claims against regional regulations. [COMMERCIAL] The itemized fee for Compliance is projected at $15,380 inclusive of agency overhead but excluding third-party pass-throughs.</w:t>
      </w:r>
    </w:p>
    <w:p>
      <w:r>
        <w:t>The technical specifications for the TVC production involve data-driven market penetration across all regional hubs. This allows for a quantum-leap brand awareness that is both cost-effective and high-impact. [COMMERCIAL] The itemized fee for Compliance is projected at $19,427 inclusive of agency overhead but excluding third-party pass-throughs.</w:t>
      </w:r>
    </w:p>
    <w:p>
      <w:r>
        <w:t>Regarding the strategy, we believe that data-driven market penetration is the key to unlocking market share in SEA. Our team will deploy quantum-leap brand awareness to maximize reach. [COMMERCIAL] The itemized fee for Strategy is projected at $122,083 inclusive of agency overhead but excluding third-party pass-throughs.</w:t>
      </w:r>
    </w:p>
    <w:p>
      <w:r>
        <w:t>Regarding the strategy, we believe that synergistic touchpoints is the key to unlocking market share in SEA. Our team will deploy paradigm-shifting ROI to maximize reach. [COMMERCIAL] The itemized fee for TVC is projected at $450,104 inclusive of agency overhead but excluding third-party pass-throughs.</w:t>
      </w:r>
    </w:p>
    <w:p>
      <w:r>
        <w:br w:type="page"/>
      </w:r>
    </w:p>
    <w:p>
      <w:pPr>
        <w:pStyle w:val="Heading1"/>
      </w:pPr>
      <w:r>
        <w:t>Section 6: quantum-leap brand awareness</w:t>
      </w:r>
    </w:p>
    <w:p>
      <w:r>
        <w:t>--- INTERNAL MARKER: PAGE 6 ---</w:t>
      </w:r>
    </w:p>
    <w:p>
      <w:r>
        <w:t>The technical specifications for the TVC production involve agile response framework across all regional hubs. This allows for a paradigm-shifting ROI that is both cost-effective and high-impact.</w:t>
      </w:r>
    </w:p>
    <w:p>
      <w:r>
        <w:t>The technical specifications for the TVC production involve bleeding-edge creative disruption across all regional hubs. This allows for a bleeding-edge creative disruption that is both cost-effective and high-impact.</w:t>
      </w:r>
    </w:p>
    <w:p>
      <w:r>
        <w:t>Our omni-channel synergy approach ensures that the NutriKid launch will exceed all stakeholder expectations. Through careful bleeding-edge creative disruption and rigorous testing, we have developed a methodology that scales effortlessly.</w:t>
      </w:r>
    </w:p>
    <w:p>
      <w:r>
        <w:t>Regarding the strategy, we believe that 360-degree brand amplification is the key to unlocking market share in SEA. Our team will deploy agile response framework to maximize reach.</w:t>
      </w:r>
    </w:p>
    <w:p>
      <w:r>
        <w:t>Regarding the strategy, we believe that paradigm-shifting ROI is the key to unlocking market share in SEA. Our team will deploy holistic consumer engagement to maximize reach.</w:t>
      </w:r>
    </w:p>
    <w:p>
      <w:pPr>
        <w:pStyle w:val="Heading2"/>
      </w:pPr>
      <w:r>
        <w:t>Detailed Performance Metrics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 Area</w:t>
            </w:r>
          </w:p>
        </w:tc>
        <w:tc>
          <w:tcPr>
            <w:tcW w:type="dxa" w:w="2880"/>
          </w:tcPr>
          <w:p>
            <w:r>
              <w:t>Rating (%)</w:t>
            </w:r>
          </w:p>
        </w:tc>
        <w:tc>
          <w:tcPr>
            <w:tcW w:type="dxa" w:w="2880"/>
          </w:tcPr>
          <w:p>
            <w:r>
              <w:t>Benchmarking Insight</w:t>
            </w:r>
          </w:p>
        </w:tc>
      </w:tr>
      <w:tr>
        <w:tc>
          <w:tcPr>
            <w:tcW w:type="dxa" w:w="2880"/>
          </w:tcPr>
          <w:p>
            <w:r>
              <w:t>Strategy</w:t>
            </w:r>
          </w:p>
        </w:tc>
        <w:tc>
          <w:tcPr>
            <w:tcW w:type="dxa" w:w="2880"/>
          </w:tcPr>
          <w:p>
            <w:r>
              <w:t>93</w:t>
            </w:r>
          </w:p>
        </w:tc>
        <w:tc>
          <w:tcPr>
            <w:tcW w:type="dxa" w:w="2880"/>
          </w:tcPr>
          <w:p>
            <w:r>
              <w:t>bleeding-edge creative disruption</w:t>
            </w:r>
          </w:p>
        </w:tc>
      </w:tr>
      <w:tr>
        <w:tc>
          <w:tcPr>
            <w:tcW w:type="dxa" w:w="2880"/>
          </w:tcPr>
          <w:p>
            <w:r>
              <w:t>Creative</w:t>
            </w:r>
          </w:p>
        </w:tc>
        <w:tc>
          <w:tcPr>
            <w:tcW w:type="dxa" w:w="2880"/>
          </w:tcPr>
          <w:p>
            <w:r>
              <w:t>93</w:t>
            </w:r>
          </w:p>
        </w:tc>
        <w:tc>
          <w:tcPr>
            <w:tcW w:type="dxa" w:w="2880"/>
          </w:tcPr>
          <w:p>
            <w:r>
              <w:t>omni-channel synergy</w:t>
            </w:r>
          </w:p>
        </w:tc>
      </w:tr>
      <w:tr>
        <w:tc>
          <w:tcPr>
            <w:tcW w:type="dxa" w:w="2880"/>
          </w:tcPr>
          <w:p>
            <w:r>
              <w:t>Speed</w:t>
            </w:r>
          </w:p>
        </w:tc>
        <w:tc>
          <w:tcPr>
            <w:tcW w:type="dxa" w:w="2880"/>
          </w:tcPr>
          <w:p>
            <w:r>
              <w:t>71</w:t>
            </w:r>
          </w:p>
        </w:tc>
        <w:tc>
          <w:tcPr>
            <w:tcW w:type="dxa" w:w="2880"/>
          </w:tcPr>
          <w:p>
            <w:r>
              <w:t>growth-hacking strategy</w:t>
            </w:r>
          </w:p>
        </w:tc>
      </w:tr>
      <w:tr>
        <w:tc>
          <w:tcPr>
            <w:tcW w:type="dxa" w:w="2880"/>
          </w:tcPr>
          <w:p>
            <w:r>
              <w:t>Compliance</w:t>
            </w:r>
          </w:p>
        </w:tc>
        <w:tc>
          <w:tcPr>
            <w:tcW w:type="dxa" w:w="2880"/>
          </w:tcPr>
          <w:p>
            <w:r>
              <w:t>94</w:t>
            </w:r>
          </w:p>
        </w:tc>
        <w:tc>
          <w:tcPr>
            <w:tcW w:type="dxa" w:w="2880"/>
          </w:tcPr>
          <w:p>
            <w:r>
              <w:t>synergistic touchpoints</w:t>
            </w:r>
          </w:p>
        </w:tc>
      </w:tr>
    </w:tbl>
    <w:p>
      <w:r>
        <w:br w:type="page"/>
      </w:r>
    </w:p>
    <w:p>
      <w:pPr>
        <w:pStyle w:val="Heading1"/>
      </w:pPr>
      <w:r>
        <w:t>Section 7: agile response framework</w:t>
      </w:r>
    </w:p>
    <w:p>
      <w:r>
        <w:t>--- INTERNAL MARKER: PAGE 7 ---</w:t>
      </w:r>
    </w:p>
    <w:p>
      <w:r>
        <w:t>The technical specifications for the TVC production involve bleeding-edge creative disruption across all regional hubs. This allows for a 360-degree brand amplification that is both cost-effective and high-impact. [METRIC] Our internal audit scores this workstream at a 75% efficiency rating.</w:t>
      </w:r>
    </w:p>
    <w:p>
      <w:r>
        <w:t>Compliance is at the heart of our holistic consumer engagement system. We utilize bleeding-edge creative disruption to verify all claims against regional regulations.</w:t>
      </w:r>
    </w:p>
    <w:p>
      <w:r>
        <w:t>Regarding the strategy, we believe that omni-channel synergy is the key to unlocking market share in SEA. Our team will deploy holistic consumer engagement to maximize reach.</w:t>
      </w:r>
    </w:p>
    <w:p>
      <w:r>
        <w:t>The technical specifications for the TVC production involve holistic consumer engagement across all regional hubs. This allows for a seamless platform integration that is both cost-effective and high-impact. [METRIC] Our internal audit scores this workstream at a 95% efficiency rating.</w:t>
      </w:r>
    </w:p>
    <w:p>
      <w:r>
        <w:t>Compliance is at the heart of our seamless platform integration system. We utilize 360-degree brand amplification to verify all claims against regional regulations. [METRIC] Our internal audit scores this workstream at a 98% efficiency rating.</w:t>
      </w:r>
    </w:p>
    <w:p>
      <w:r>
        <w:br w:type="page"/>
      </w:r>
    </w:p>
    <w:p>
      <w:pPr>
        <w:pStyle w:val="Heading1"/>
      </w:pPr>
      <w:r>
        <w:t>Section 8: quantum-leap brand awareness</w:t>
      </w:r>
    </w:p>
    <w:p>
      <w:r>
        <w:t>--- INTERNAL MARKER: PAGE 8 ---</w:t>
      </w:r>
    </w:p>
    <w:p>
      <w:r>
        <w:t>Regarding the strategy, we believe that growth-hacking strategy is the key to unlocking market share in SEA. Our team will deploy growth-hacking strategy to maximize reach.</w:t>
      </w:r>
    </w:p>
    <w:p>
      <w:r>
        <w:t>Compliance is at the heart of our synergistic touchpoints system. We utilize agile response framework to verify all claims against regional regulations.</w:t>
      </w:r>
    </w:p>
    <w:p>
      <w:r>
        <w:t>Regarding the strategy, we believe that omni-channel synergy is the key to unlocking market share in SEA. Our team will deploy data-driven market penetration to maximize reach.</w:t>
      </w:r>
    </w:p>
    <w:p>
      <w:r>
        <w:t>Regarding the strategy, we believe that quantum-leap brand awareness is the key to unlocking market share in SEA. Our team will deploy 360-degree brand amplification to maximize reach.</w:t>
      </w:r>
    </w:p>
    <w:p>
      <w:r>
        <w:t>Our bleeding-edge creative disruption approach ensures that the NutriKid launch will exceed all stakeholder expectations. Through careful 360-degree brand amplification and rigorous testing, we have developed a methodology that scales effortlessly.</w:t>
      </w:r>
    </w:p>
    <w:p>
      <w:r>
        <w:br w:type="page"/>
      </w:r>
    </w:p>
    <w:p>
      <w:pPr>
        <w:pStyle w:val="Heading1"/>
      </w:pPr>
      <w:r>
        <w:t>Section 9: agile response framework</w:t>
      </w:r>
    </w:p>
    <w:p>
      <w:r>
        <w:t>--- INTERNAL MARKER: PAGE 9 ---</w:t>
      </w:r>
    </w:p>
    <w:p>
      <w:r>
        <w:t>Regarding the strategy, we believe that quantum-leap brand awareness is the key to unlocking market share in SEA. Our team will deploy agile response framework to maximize reach. [COMMERCIAL] The itemized fee for Compliance is projected at $19,091 inclusive of agency overhead but excluding third-party pass-throughs. [METRIC] Our internal audit scores this workstream at a 75% efficiency rating.</w:t>
      </w:r>
    </w:p>
    <w:p>
      <w:r>
        <w:t>Compliance is at the heart of our growth-hacking strategy system. We utilize holistic consumer engagement to verify all claims against regional regulations. [COMMERCIAL] The itemized fee for Compliance is projected at $10,431 inclusive of agency overhead but excluding third-party pass-throughs.</w:t>
      </w:r>
    </w:p>
    <w:p>
      <w:r>
        <w:t>The technical specifications for the TVC production involve seamless platform integration across all regional hubs. This allows for a holistic consumer engagement that is both cost-effective and high-impact. [COMMERCIAL] The itemized fee for TVC is projected at $449,232 inclusive of agency overhead but excluding third-party pass-throughs. [METRIC] Our internal audit scores this workstream at a 98% efficiency rating.</w:t>
      </w:r>
    </w:p>
    <w:p>
      <w:r>
        <w:t>Compliance is at the heart of our hyper-local cultural relevance system. We utilize hyper-local cultural relevance to verify all claims against regional regulations. [COMMERCIAL] The itemized fee for Social is projected at $78,065 inclusive of agency overhead but excluding third-party pass-throughs.</w:t>
      </w:r>
    </w:p>
    <w:p>
      <w:r>
        <w:t>Regarding the strategy, we believe that growth-hacking strategy is the key to unlocking market share in SEA. Our team will deploy paradigm-shifting ROI to maximize reach. [COMMERCIAL] The itemized fee for Strategy is projected at $115,536 inclusive of agency overhead but excluding third-party pass-throughs.</w:t>
      </w:r>
    </w:p>
    <w:p>
      <w:r>
        <w:br w:type="page"/>
      </w:r>
    </w:p>
    <w:p>
      <w:pPr>
        <w:pStyle w:val="Heading1"/>
      </w:pPr>
      <w:r>
        <w:t>Section 10: hyper-local cultural relevance</w:t>
      </w:r>
    </w:p>
    <w:p>
      <w:r>
        <w:t>--- INTERNAL MARKER: PAGE 10 ---</w:t>
      </w:r>
    </w:p>
    <w:p>
      <w:r>
        <w:t>Regarding the strategy, we believe that agile response framework is the key to unlocking market share in SEA. Our team will deploy 360-degree brand amplification to maximize reach.</w:t>
      </w:r>
    </w:p>
    <w:p>
      <w:r>
        <w:t>The technical specifications for the TVC production involve agile response framework across all regional hubs. This allows for a hyper-local cultural relevance that is both cost-effective and high-impact.</w:t>
      </w:r>
    </w:p>
    <w:p>
      <w:r>
        <w:t>Regarding the strategy, we believe that growth-hacking strategy is the key to unlocking market share in SEA. Our team will deploy agile response framework to maximize reach. [METRIC] Our internal audit scores this workstream at a 98% efficiency rating.</w:t>
      </w:r>
    </w:p>
    <w:p>
      <w:r>
        <w:t>The technical specifications for the TVC production involve holistic consumer engagement across all regional hubs. This allows for a seamless platform integration that is both cost-effective and high-impact.</w:t>
      </w:r>
    </w:p>
    <w:p>
      <w:r>
        <w:t>Regarding the strategy, we believe that bleeding-edge creative disruption is the key to unlocking market share in SEA. Our team will deploy hyper-local cultural relevance to maximize reach.</w:t>
      </w:r>
    </w:p>
    <w:p>
      <w:r>
        <w:br w:type="page"/>
      </w:r>
    </w:p>
    <w:p>
      <w:pPr>
        <w:pStyle w:val="Heading1"/>
      </w:pPr>
      <w:r>
        <w:t>Section 11: 360-degree brand amplification</w:t>
      </w:r>
    </w:p>
    <w:p>
      <w:r>
        <w:t>--- INTERNAL MARKER: PAGE 11 ---</w:t>
      </w:r>
    </w:p>
    <w:p>
      <w:r>
        <w:t>Regarding the strategy, we believe that seamless platform integration is the key to unlocking market share in SEA. Our team will deploy holistic consumer engagement to maximize reach.</w:t>
      </w:r>
    </w:p>
    <w:p>
      <w:r>
        <w:t>Compliance is at the heart of our quantum-leap brand awareness system. We utilize paradigm-shifting ROI to verify all claims against regional regulations.</w:t>
      </w:r>
    </w:p>
    <w:p>
      <w:r>
        <w:t>Compliance is at the heart of our bleeding-edge creative disruption system. We utilize hyper-local cultural relevance to verify all claims against regional regulations.</w:t>
      </w:r>
    </w:p>
    <w:p>
      <w:r>
        <w:t>Regarding the strategy, we believe that bleeding-edge creative disruption is the key to unlocking market share in SEA. Our team will deploy omni-channel synergy to maximize reach.</w:t>
      </w:r>
    </w:p>
    <w:p>
      <w:r>
        <w:t>Regarding the strategy, we believe that bleeding-edge creative disruption is the key to unlocking market share in SEA. Our team will deploy growth-hacking strategy to maximize reach. [METRIC] Our internal audit scores this workstream at a 90% efficiency rating.</w:t>
      </w:r>
    </w:p>
    <w:p>
      <w:pPr>
        <w:pStyle w:val="Heading2"/>
      </w:pPr>
      <w:r>
        <w:t>Detailed Performance Metrics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 Area</w:t>
            </w:r>
          </w:p>
        </w:tc>
        <w:tc>
          <w:tcPr>
            <w:tcW w:type="dxa" w:w="2880"/>
          </w:tcPr>
          <w:p>
            <w:r>
              <w:t>Rating (%)</w:t>
            </w:r>
          </w:p>
        </w:tc>
        <w:tc>
          <w:tcPr>
            <w:tcW w:type="dxa" w:w="2880"/>
          </w:tcPr>
          <w:p>
            <w:r>
              <w:t>Benchmarking Insight</w:t>
            </w:r>
          </w:p>
        </w:tc>
      </w:tr>
      <w:tr>
        <w:tc>
          <w:tcPr>
            <w:tcW w:type="dxa" w:w="2880"/>
          </w:tcPr>
          <w:p>
            <w:r>
              <w:t>Strategy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growth-hacking strategy</w:t>
            </w:r>
          </w:p>
        </w:tc>
      </w:tr>
      <w:tr>
        <w:tc>
          <w:tcPr>
            <w:tcW w:type="dxa" w:w="2880"/>
          </w:tcPr>
          <w:p>
            <w:r>
              <w:t>Creative</w:t>
            </w:r>
          </w:p>
        </w:tc>
        <w:tc>
          <w:tcPr>
            <w:tcW w:type="dxa" w:w="2880"/>
          </w:tcPr>
          <w:p>
            <w:r>
              <w:t>98</w:t>
            </w:r>
          </w:p>
        </w:tc>
        <w:tc>
          <w:tcPr>
            <w:tcW w:type="dxa" w:w="2880"/>
          </w:tcPr>
          <w:p>
            <w:r>
              <w:t>synergistic touchpoints</w:t>
            </w:r>
          </w:p>
        </w:tc>
      </w:tr>
      <w:tr>
        <w:tc>
          <w:tcPr>
            <w:tcW w:type="dxa" w:w="2880"/>
          </w:tcPr>
          <w:p>
            <w:r>
              <w:t>Speed</w:t>
            </w:r>
          </w:p>
        </w:tc>
        <w:tc>
          <w:tcPr>
            <w:tcW w:type="dxa" w:w="2880"/>
          </w:tcPr>
          <w:p>
            <w:r>
              <w:t>78</w:t>
            </w:r>
          </w:p>
        </w:tc>
        <w:tc>
          <w:tcPr>
            <w:tcW w:type="dxa" w:w="2880"/>
          </w:tcPr>
          <w:p>
            <w:r>
              <w:t>paradigm-shifting ROI</w:t>
            </w:r>
          </w:p>
        </w:tc>
      </w:tr>
      <w:tr>
        <w:tc>
          <w:tcPr>
            <w:tcW w:type="dxa" w:w="2880"/>
          </w:tcPr>
          <w:p>
            <w:r>
              <w:t>Compliance</w:t>
            </w:r>
          </w:p>
        </w:tc>
        <w:tc>
          <w:tcPr>
            <w:tcW w:type="dxa" w:w="2880"/>
          </w:tcPr>
          <w:p>
            <w:r>
              <w:t>95</w:t>
            </w:r>
          </w:p>
        </w:tc>
        <w:tc>
          <w:tcPr>
            <w:tcW w:type="dxa" w:w="2880"/>
          </w:tcPr>
          <w:p>
            <w:r>
              <w:t>growth-hacking strategy</w:t>
            </w:r>
          </w:p>
        </w:tc>
      </w:tr>
    </w:tbl>
    <w:p>
      <w:r>
        <w:br w:type="page"/>
      </w:r>
    </w:p>
    <w:p>
      <w:pPr>
        <w:pStyle w:val="Heading1"/>
      </w:pPr>
      <w:r>
        <w:t>Section 12: data-driven market penetration</w:t>
      </w:r>
    </w:p>
    <w:p>
      <w:r>
        <w:t>--- INTERNAL MARKER: PAGE 12 ---</w:t>
      </w:r>
    </w:p>
    <w:p>
      <w:r>
        <w:t>Compliance is at the heart of our omni-channel synergy system. We utilize quantum-leap brand awareness to verify all claims against regional regulations.</w:t>
      </w:r>
    </w:p>
    <w:p>
      <w:r>
        <w:t>Our data-driven market penetration approach ensures that the NutriKid launch will exceed all stakeholder expectations. Through careful bleeding-edge creative disruption and rigorous testing, we have developed a methodology that scales effortlessly.</w:t>
      </w:r>
    </w:p>
    <w:p>
      <w:r>
        <w:t>Our seamless platform integration approach ensures that the NutriKid launch will exceed all stakeholder expectations. Through careful seamless platform integration and rigorous testing, we have developed a methodology that scales effortlessly.</w:t>
      </w:r>
    </w:p>
    <w:p>
      <w:r>
        <w:t>Our growth-hacking strategy approach ensures that the NutriKid launch will exceed all stakeholder expectations. Through careful seamless platform integration and rigorous testing, we have developed a methodology that scales effortlessly. [METRIC] Our internal audit scores this workstream at a 98% efficiency rating.</w:t>
      </w:r>
    </w:p>
    <w:p>
      <w:r>
        <w:t>Our holistic consumer engagement approach ensures that the NutriKid launch will exceed all stakeholder expectations. Through careful omni-channel synergy and rigorous testing, we have developed a methodology that scales effortlessly.</w:t>
      </w:r>
    </w:p>
    <w:p>
      <w:r>
        <w:br w:type="page"/>
      </w:r>
    </w:p>
    <w:p>
      <w:pPr>
        <w:pStyle w:val="Heading1"/>
      </w:pPr>
      <w:r>
        <w:t>Section 13: paradigm-shifting ROI</w:t>
      </w:r>
    </w:p>
    <w:p>
      <w:r>
        <w:t>--- INTERNAL MARKER: PAGE 13 ---</w:t>
      </w:r>
    </w:p>
    <w:p>
      <w:r>
        <w:t>Regarding the strategy, we believe that hyper-local cultural relevance is the key to unlocking market share in SEA. Our team will deploy hyper-local cultural relevance to maximize reach. [COMMERCIAL] The itemized fee for Strategy is projected at $123,764 inclusive of agency overhead but excluding third-party pass-throughs.</w:t>
      </w:r>
    </w:p>
    <w:p>
      <w:r>
        <w:t>Our quantum-leap brand awareness approach ensures that the NutriKid launch will exceed all stakeholder expectations. Through careful agile response framework and rigorous testing, we have developed a methodology that scales effortlessly. [COMMERCIAL] The itemized fee for TVC is projected at $454,355 inclusive of agency overhead but excluding third-party pass-throughs.</w:t>
      </w:r>
    </w:p>
    <w:p>
      <w:r>
        <w:t>Regarding the strategy, we believe that hyper-local cultural relevance is the key to unlocking market share in SEA. Our team will deploy holistic consumer engagement to maximize reach. [COMMERCIAL] The itemized fee for TVC is projected at $453,523 inclusive of agency overhead but excluding third-party pass-throughs.</w:t>
      </w:r>
    </w:p>
    <w:p>
      <w:r>
        <w:t>Our hyper-local cultural relevance approach ensures that the NutriKid launch will exceed all stakeholder expectations. Through careful omni-channel synergy and rigorous testing, we have developed a methodology that scales effortlessly. [COMMERCIAL] The itemized fee for TVC is projected at $450,345 inclusive of agency overhead but excluding third-party pass-throughs.</w:t>
      </w:r>
    </w:p>
    <w:p>
      <w:r>
        <w:t>Regarding the strategy, we believe that agile response framework is the key to unlocking market share in SEA. Our team will deploy paradigm-shifting ROI to maximize reach. [COMMERCIAL] The itemized fee for Social is projected at $78,788 inclusive of agency overhead but excluding third-party pass-throughs.</w:t>
      </w:r>
    </w:p>
    <w:p>
      <w:r>
        <w:br w:type="page"/>
      </w:r>
    </w:p>
    <w:p>
      <w:pPr>
        <w:pStyle w:val="Heading1"/>
      </w:pPr>
      <w:r>
        <w:t>Section 14: growth-hacking strategy</w:t>
      </w:r>
    </w:p>
    <w:p>
      <w:r>
        <w:t>--- INTERNAL MARKER: PAGE 14 ---</w:t>
      </w:r>
    </w:p>
    <w:p>
      <w:r>
        <w:t>The technical specifications for the TVC production involve growth-hacking strategy across all regional hubs. This allows for a holistic consumer engagement that is both cost-effective and high-impact.</w:t>
      </w:r>
    </w:p>
    <w:p>
      <w:r>
        <w:t>Regarding the strategy, we believe that hyper-local cultural relevance is the key to unlocking market share in SEA. Our team will deploy bleeding-edge creative disruption to maximize reach.</w:t>
      </w:r>
    </w:p>
    <w:p>
      <w:r>
        <w:t>Regarding the strategy, we believe that synergistic touchpoints is the key to unlocking market share in SEA. Our team will deploy paradigm-shifting ROI to maximize reach.</w:t>
      </w:r>
    </w:p>
    <w:p>
      <w:r>
        <w:t>Our 360-degree brand amplification approach ensures that the NutriKid launch will exceed all stakeholder expectations. Through careful quantum-leap brand awareness and rigorous testing, we have developed a methodology that scales effortlessly.</w:t>
      </w:r>
    </w:p>
    <w:p>
      <w:r>
        <w:t>Our data-driven market penetration approach ensures that the NutriKid launch will exceed all stakeholder expectations. Through careful data-driven market penetration and rigorous testing, we have developed a methodology that scales effortlessly.</w:t>
      </w:r>
    </w:p>
    <w:p>
      <w:r>
        <w:br w:type="page"/>
      </w:r>
    </w:p>
    <w:p>
      <w:pPr>
        <w:pStyle w:val="Heading1"/>
      </w:pPr>
      <w:r>
        <w:t>Section 15: omni-channel synergy</w:t>
      </w:r>
    </w:p>
    <w:p>
      <w:r>
        <w:t>--- INTERNAL MARKER: PAGE 15 ---</w:t>
      </w:r>
    </w:p>
    <w:p>
      <w:r>
        <w:t>Our paradigm-shifting ROI approach ensures that the NutriKid launch will exceed all stakeholder expectations. Through careful 360-degree brand amplification and rigorous testing, we have developed a methodology that scales effortlessly.</w:t>
      </w:r>
    </w:p>
    <w:p>
      <w:r>
        <w:t>Compliance is at the heart of our seamless platform integration system. We utilize hyper-local cultural relevance to verify all claims against regional regulations.</w:t>
      </w:r>
    </w:p>
    <w:p>
      <w:r>
        <w:t>The technical specifications for the TVC production involve omni-channel synergy across all regional hubs. This allows for a holistic consumer engagement that is both cost-effective and high-impact.</w:t>
      </w:r>
    </w:p>
    <w:p>
      <w:r>
        <w:t>Our paradigm-shifting ROI approach ensures that the NutriKid launch will exceed all stakeholder expectations. Through careful 360-degree brand amplification and rigorous testing, we have developed a methodology that scales effortlessly.</w:t>
      </w:r>
    </w:p>
    <w:p>
      <w:r>
        <w:t>Regarding the strategy, we believe that agile response framework is the key to unlocking market share in SEA. Our team will deploy quantum-leap brand awareness to maximize reach.</w:t>
      </w:r>
    </w:p>
    <w:p>
      <w:r>
        <w:br w:type="page"/>
      </w:r>
    </w:p>
    <w:p>
      <w:pPr>
        <w:pStyle w:val="Heading1"/>
      </w:pPr>
      <w:r>
        <w:t>Section 16: paradigm-shifting ROI</w:t>
      </w:r>
    </w:p>
    <w:p>
      <w:r>
        <w:t>--- INTERNAL MARKER: PAGE 16 ---</w:t>
      </w:r>
    </w:p>
    <w:p>
      <w:r>
        <w:t>Regarding the strategy, we believe that 360-degree brand amplification is the key to unlocking market share in SEA. Our team will deploy paradigm-shifting ROI to maximize reach.</w:t>
      </w:r>
    </w:p>
    <w:p>
      <w:r>
        <w:t>Our seamless platform integration approach ensures that the NutriKid launch will exceed all stakeholder expectations. Through careful hyper-local cultural relevance and rigorous testing, we have developed a methodology that scales effortlessly.</w:t>
      </w:r>
    </w:p>
    <w:p>
      <w:r>
        <w:t>The technical specifications for the TVC production involve omni-channel synergy across all regional hubs. This allows for a quantum-leap brand awareness that is both cost-effective and high-impact. [METRIC] Our internal audit scores this workstream at a 95% efficiency rating.</w:t>
      </w:r>
    </w:p>
    <w:p>
      <w:r>
        <w:t>Our holistic consumer engagement approach ensures that the NutriKid launch will exceed all stakeholder expectations. Through careful synergistic touchpoints and rigorous testing, we have developed a methodology that scales effortlessly.</w:t>
      </w:r>
    </w:p>
    <w:p>
      <w:r>
        <w:t>Compliance is at the heart of our bleeding-edge creative disruption system. We utilize seamless platform integration to verify all claims against regional regulations.</w:t>
      </w:r>
    </w:p>
    <w:p>
      <w:pPr>
        <w:pStyle w:val="Heading2"/>
      </w:pPr>
      <w:r>
        <w:t>Detailed Performance Metrics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 Area</w:t>
            </w:r>
          </w:p>
        </w:tc>
        <w:tc>
          <w:tcPr>
            <w:tcW w:type="dxa" w:w="2880"/>
          </w:tcPr>
          <w:p>
            <w:r>
              <w:t>Rating (%)</w:t>
            </w:r>
          </w:p>
        </w:tc>
        <w:tc>
          <w:tcPr>
            <w:tcW w:type="dxa" w:w="2880"/>
          </w:tcPr>
          <w:p>
            <w:r>
              <w:t>Benchmarking Insight</w:t>
            </w:r>
          </w:p>
        </w:tc>
      </w:tr>
      <w:tr>
        <w:tc>
          <w:tcPr>
            <w:tcW w:type="dxa" w:w="2880"/>
          </w:tcPr>
          <w:p>
            <w:r>
              <w:t>Strategy</w:t>
            </w:r>
          </w:p>
        </w:tc>
        <w:tc>
          <w:tcPr>
            <w:tcW w:type="dxa" w:w="2880"/>
          </w:tcPr>
          <w:p>
            <w:r>
              <w:t>94</w:t>
            </w:r>
          </w:p>
        </w:tc>
        <w:tc>
          <w:tcPr>
            <w:tcW w:type="dxa" w:w="2880"/>
          </w:tcPr>
          <w:p>
            <w:r>
              <w:t>quantum-leap brand awareness</w:t>
            </w:r>
          </w:p>
        </w:tc>
      </w:tr>
      <w:tr>
        <w:tc>
          <w:tcPr>
            <w:tcW w:type="dxa" w:w="2880"/>
          </w:tcPr>
          <w:p>
            <w:r>
              <w:t>Creative</w:t>
            </w:r>
          </w:p>
        </w:tc>
        <w:tc>
          <w:tcPr>
            <w:tcW w:type="dxa" w:w="2880"/>
          </w:tcPr>
          <w:p>
            <w:r>
              <w:t>97</w:t>
            </w:r>
          </w:p>
        </w:tc>
        <w:tc>
          <w:tcPr>
            <w:tcW w:type="dxa" w:w="2880"/>
          </w:tcPr>
          <w:p>
            <w:r>
              <w:t>360-degree brand amplification</w:t>
            </w:r>
          </w:p>
        </w:tc>
      </w:tr>
      <w:tr>
        <w:tc>
          <w:tcPr>
            <w:tcW w:type="dxa" w:w="2880"/>
          </w:tcPr>
          <w:p>
            <w:r>
              <w:t>Speed</w:t>
            </w:r>
          </w:p>
        </w:tc>
        <w:tc>
          <w:tcPr>
            <w:tcW w:type="dxa" w:w="2880"/>
          </w:tcPr>
          <w:p>
            <w:r>
              <w:t>73</w:t>
            </w:r>
          </w:p>
        </w:tc>
        <w:tc>
          <w:tcPr>
            <w:tcW w:type="dxa" w:w="2880"/>
          </w:tcPr>
          <w:p>
            <w:r>
              <w:t>omni-channel synergy</w:t>
            </w:r>
          </w:p>
        </w:tc>
      </w:tr>
      <w:tr>
        <w:tc>
          <w:tcPr>
            <w:tcW w:type="dxa" w:w="2880"/>
          </w:tcPr>
          <w:p>
            <w:r>
              <w:t>Compliance</w:t>
            </w:r>
          </w:p>
        </w:tc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paradigm-shifting ROI</w:t>
            </w:r>
          </w:p>
        </w:tc>
      </w:tr>
    </w:tbl>
    <w:p>
      <w:r>
        <w:br w:type="page"/>
      </w:r>
    </w:p>
    <w:p>
      <w:pPr>
        <w:pStyle w:val="Heading1"/>
      </w:pPr>
      <w:r>
        <w:t>Section 17: data-driven market penetration</w:t>
      </w:r>
    </w:p>
    <w:p>
      <w:r>
        <w:t>--- INTERNAL MARKER: PAGE 17 ---</w:t>
      </w:r>
    </w:p>
    <w:p>
      <w:r>
        <w:t>Our quantum-leap brand awareness approach ensures that the NutriKid launch will exceed all stakeholder expectations. Through careful seamless platform integration and rigorous testing, we have developed a methodology that scales effortlessly. [COMMERCIAL] The itemized fee for Compliance is projected at $18,057 inclusive of agency overhead but excluding third-party pass-throughs.</w:t>
      </w:r>
    </w:p>
    <w:p>
      <w:r>
        <w:t>Compliance is at the heart of our omni-channel synergy system. We utilize bleeding-edge creative disruption to verify all claims against regional regulations. [COMMERCIAL] The itemized fee for TVC is projected at $446,821 inclusive of agency overhead but excluding third-party pass-throughs.</w:t>
      </w:r>
    </w:p>
    <w:p>
      <w:r>
        <w:t>Regarding the strategy, we believe that paradigm-shifting ROI is the key to unlocking market share in SEA. Our team will deploy holistic consumer engagement to maximize reach. [COMMERCIAL] The itemized fee for TVC is projected at $447,387 inclusive of agency overhead but excluding third-party pass-throughs. [METRIC] Our internal audit scores this workstream at a 90% efficiency rating.</w:t>
      </w:r>
    </w:p>
    <w:p>
      <w:r>
        <w:t>Our hyper-local cultural relevance approach ensures that the NutriKid launch will exceed all stakeholder expectations. Through careful growth-hacking strategy and rigorous testing, we have developed a methodology that scales effortlessly. [COMMERCIAL] The itemized fee for Social is projected at $77,451 inclusive of agency overhead but excluding third-party pass-throughs.</w:t>
      </w:r>
    </w:p>
    <w:p>
      <w:r>
        <w:t>Our paradigm-shifting ROI approach ensures that the NutriKid launch will exceed all stakeholder expectations. Through careful data-driven market penetration and rigorous testing, we have developed a methodology that scales effortlessly. [COMMERCIAL] The itemized fee for Strategy is projected at $116,885 inclusive of agency overhead but excluding third-party pass-throughs.</w:t>
      </w:r>
    </w:p>
    <w:p>
      <w:r>
        <w:br w:type="page"/>
      </w:r>
    </w:p>
    <w:p>
      <w:pPr>
        <w:pStyle w:val="Heading1"/>
      </w:pPr>
      <w:r>
        <w:t>Section 18: hyper-local cultural relevance</w:t>
      </w:r>
    </w:p>
    <w:p>
      <w:r>
        <w:t>--- INTERNAL MARKER: PAGE 18 ---</w:t>
      </w:r>
    </w:p>
    <w:p>
      <w:r>
        <w:t>Our 360-degree brand amplification approach ensures that the NutriKid launch will exceed all stakeholder expectations. Through careful quantum-leap brand awareness and rigorous testing, we have developed a methodology that scales effortlessly.</w:t>
      </w:r>
    </w:p>
    <w:p>
      <w:r>
        <w:t>The technical specifications for the TVC production involve growth-hacking strategy across all regional hubs. This allows for a hyper-local cultural relevance that is both cost-effective and high-impact.</w:t>
      </w:r>
    </w:p>
    <w:p>
      <w:r>
        <w:t>Our 360-degree brand amplification approach ensures that the NutriKid launch will exceed all stakeholder expectations. Through careful hyper-local cultural relevance and rigorous testing, we have developed a methodology that scales effortlessly.</w:t>
      </w:r>
    </w:p>
    <w:p>
      <w:r>
        <w:t>Our paradigm-shifting ROI approach ensures that the NutriKid launch will exceed all stakeholder expectations. Through careful synergistic touchpoints and rigorous testing, we have developed a methodology that scales effortlessly.</w:t>
      </w:r>
    </w:p>
    <w:p>
      <w:r>
        <w:t>The technical specifications for the TVC production involve bleeding-edge creative disruption across all regional hubs. This allows for a holistic consumer engagement that is both cost-effective and high-impact.</w:t>
      </w:r>
    </w:p>
    <w:p>
      <w:r>
        <w:br w:type="page"/>
      </w:r>
    </w:p>
    <w:p>
      <w:pPr>
        <w:pStyle w:val="Heading1"/>
      </w:pPr>
      <w:r>
        <w:t>Section 19: quantum-leap brand awareness</w:t>
      </w:r>
    </w:p>
    <w:p>
      <w:r>
        <w:t>--- INTERNAL MARKER: PAGE 19 ---</w:t>
      </w:r>
    </w:p>
    <w:p>
      <w:r>
        <w:t>Our seamless platform integration approach ensures that the NutriKid launch will exceed all stakeholder expectations. Through careful paradigm-shifting ROI and rigorous testing, we have developed a methodology that scales effortlessly. [METRIC] Our internal audit scores this workstream at a 95% efficiency rating.</w:t>
      </w:r>
    </w:p>
    <w:p>
      <w:r>
        <w:t>The technical specifications for the TVC production involve bleeding-edge creative disruption across all regional hubs. This allows for a 360-degree brand amplification that is both cost-effective and high-impact.</w:t>
      </w:r>
    </w:p>
    <w:p>
      <w:r>
        <w:t>Regarding the strategy, we believe that synergistic touchpoints is the key to unlocking market share in SEA. Our team will deploy omni-channel synergy to maximize reach.</w:t>
      </w:r>
    </w:p>
    <w:p>
      <w:r>
        <w:t>The technical specifications for the TVC production involve paradigm-shifting ROI across all regional hubs. This allows for a hyper-local cultural relevance that is both cost-effective and high-impact. [METRIC] Our internal audit scores this workstream at a 75% efficiency rating.</w:t>
      </w:r>
    </w:p>
    <w:p>
      <w:r>
        <w:t>The technical specifications for the TVC production involve holistic consumer engagement across all regional hubs. This allows for a growth-hacking strategy that is both cost-effective and high-impact.</w:t>
      </w:r>
    </w:p>
    <w:p>
      <w:r>
        <w:br w:type="page"/>
      </w:r>
    </w:p>
    <w:p>
      <w:pPr>
        <w:pStyle w:val="Heading1"/>
      </w:pPr>
      <w:r>
        <w:t>Section 20: holistic consumer engagement</w:t>
      </w:r>
    </w:p>
    <w:p>
      <w:r>
        <w:t>--- INTERNAL MARKER: PAGE 20 ---</w:t>
      </w:r>
    </w:p>
    <w:p>
      <w:r>
        <w:t>Regarding the strategy, we believe that paradigm-shifting ROI is the key to unlocking market share in SEA. Our team will deploy hyper-local cultural relevance to maximize reach.</w:t>
      </w:r>
    </w:p>
    <w:p>
      <w:r>
        <w:t>Compliance is at the heart of our agile response framework system. We utilize growth-hacking strategy to verify all claims against regional regulations.</w:t>
      </w:r>
    </w:p>
    <w:p>
      <w:r>
        <w:t>Our paradigm-shifting ROI approach ensures that the NutriKid launch will exceed all stakeholder expectations. Through careful holistic consumer engagement and rigorous testing, we have developed a methodology that scales effortlessly.</w:t>
      </w:r>
    </w:p>
    <w:p>
      <w:r>
        <w:t>Compliance is at the heart of our growth-hacking strategy system. We utilize synergistic touchpoints to verify all claims against regional regulations.</w:t>
      </w:r>
    </w:p>
    <w:p>
      <w:r>
        <w:t>The technical specifications for the TVC production involve synergistic touchpoints across all regional hubs. This allows for a data-driven market penetration that is both cost-effective and high-impact.</w:t>
      </w:r>
    </w:p>
    <w:p>
      <w:r>
        <w:br w:type="page"/>
      </w:r>
    </w:p>
    <w:p>
      <w:pPr>
        <w:pStyle w:val="Heading1"/>
      </w:pPr>
      <w:r>
        <w:t>Section 21: omni-channel synergy</w:t>
      </w:r>
    </w:p>
    <w:p>
      <w:r>
        <w:t>--- INTERNAL MARKER: PAGE 21 ---</w:t>
      </w:r>
    </w:p>
    <w:p>
      <w:r>
        <w:t>The technical specifications for the TVC production involve agile response framework across all regional hubs. This allows for a data-driven market penetration that is both cost-effective and high-impact. [COMMERCIAL] The itemized fee for Strategy is projected at $120,428 inclusive of agency overhead but excluding third-party pass-throughs.</w:t>
      </w:r>
    </w:p>
    <w:p>
      <w:r>
        <w:t>The technical specifications for the TVC production involve holistic consumer engagement across all regional hubs. This allows for a agile response framework that is both cost-effective and high-impact. [COMMERCIAL] The itemized fee for Strategy is projected at $123,019 inclusive of agency overhead but excluding third-party pass-throughs.</w:t>
      </w:r>
    </w:p>
    <w:p>
      <w:r>
        <w:t>The technical specifications for the TVC production involve synergistic touchpoints across all regional hubs. This allows for a synergistic touchpoints that is both cost-effective and high-impact. [COMMERCIAL] The itemized fee for Social is projected at $82,513 inclusive of agency overhead but excluding third-party pass-throughs. [METRIC] Our internal audit scores this workstream at a 90% efficiency rating.</w:t>
      </w:r>
    </w:p>
    <w:p>
      <w:r>
        <w:t>Regarding the strategy, we believe that bleeding-edge creative disruption is the key to unlocking market share in SEA. Our team will deploy synergistic touchpoints to maximize reach. [COMMERCIAL] The itemized fee for Social is projected at $84,909 inclusive of agency overhead but excluding third-party pass-throughs.</w:t>
      </w:r>
    </w:p>
    <w:p>
      <w:r>
        <w:t>Our quantum-leap brand awareness approach ensures that the NutriKid launch will exceed all stakeholder expectations. Through careful seamless platform integration and rigorous testing, we have developed a methodology that scales effortlessly. [COMMERCIAL] The itemized fee for TVC is projected at $449,888 inclusive of agency overhead but excluding third-party pass-throughs. [METRIC] Our internal audit scores this workstream at a 98% efficiency rating.</w:t>
      </w:r>
    </w:p>
    <w:p>
      <w:pPr>
        <w:pStyle w:val="Heading2"/>
      </w:pPr>
      <w:r>
        <w:t>Detailed Performance Metrics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 Area</w:t>
            </w:r>
          </w:p>
        </w:tc>
        <w:tc>
          <w:tcPr>
            <w:tcW w:type="dxa" w:w="2880"/>
          </w:tcPr>
          <w:p>
            <w:r>
              <w:t>Rating (%)</w:t>
            </w:r>
          </w:p>
        </w:tc>
        <w:tc>
          <w:tcPr>
            <w:tcW w:type="dxa" w:w="2880"/>
          </w:tcPr>
          <w:p>
            <w:r>
              <w:t>Benchmarking Insight</w:t>
            </w:r>
          </w:p>
        </w:tc>
      </w:tr>
      <w:tr>
        <w:tc>
          <w:tcPr>
            <w:tcW w:type="dxa" w:w="2880"/>
          </w:tcPr>
          <w:p>
            <w:r>
              <w:t>Strategy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holistic consumer engagement</w:t>
            </w:r>
          </w:p>
        </w:tc>
      </w:tr>
      <w:tr>
        <w:tc>
          <w:tcPr>
            <w:tcW w:type="dxa" w:w="2880"/>
          </w:tcPr>
          <w:p>
            <w:r>
              <w:t>Creative</w:t>
            </w:r>
          </w:p>
        </w:tc>
        <w:tc>
          <w:tcPr>
            <w:tcW w:type="dxa" w:w="2880"/>
          </w:tcPr>
          <w:p>
            <w:r>
              <w:t>102</w:t>
            </w:r>
          </w:p>
        </w:tc>
        <w:tc>
          <w:tcPr>
            <w:tcW w:type="dxa" w:w="2880"/>
          </w:tcPr>
          <w:p>
            <w:r>
              <w:t>quantum-leap brand awareness</w:t>
            </w:r>
          </w:p>
        </w:tc>
      </w:tr>
      <w:tr>
        <w:tc>
          <w:tcPr>
            <w:tcW w:type="dxa" w:w="2880"/>
          </w:tcPr>
          <w:p>
            <w:r>
              <w:t>Speed</w:t>
            </w:r>
          </w:p>
        </w:tc>
        <w:tc>
          <w:tcPr>
            <w:tcW w:type="dxa" w:w="2880"/>
          </w:tcPr>
          <w:p>
            <w:r>
              <w:t>71</w:t>
            </w:r>
          </w:p>
        </w:tc>
        <w:tc>
          <w:tcPr>
            <w:tcW w:type="dxa" w:w="2880"/>
          </w:tcPr>
          <w:p>
            <w:r>
              <w:t>holistic consumer engagement</w:t>
            </w:r>
          </w:p>
        </w:tc>
      </w:tr>
      <w:tr>
        <w:tc>
          <w:tcPr>
            <w:tcW w:type="dxa" w:w="2880"/>
          </w:tcPr>
          <w:p>
            <w:r>
              <w:t>Compliance</w:t>
            </w:r>
          </w:p>
        </w:tc>
        <w:tc>
          <w:tcPr>
            <w:tcW w:type="dxa" w:w="2880"/>
          </w:tcPr>
          <w:p>
            <w:r>
              <w:t>91</w:t>
            </w:r>
          </w:p>
        </w:tc>
        <w:tc>
          <w:tcPr>
            <w:tcW w:type="dxa" w:w="2880"/>
          </w:tcPr>
          <w:p>
            <w:r>
              <w:t>paradigm-shifting ROI</w:t>
            </w:r>
          </w:p>
        </w:tc>
      </w:tr>
    </w:tbl>
    <w:p>
      <w:r>
        <w:br w:type="page"/>
      </w:r>
    </w:p>
    <w:p>
      <w:pPr>
        <w:pStyle w:val="Heading1"/>
      </w:pPr>
      <w:r>
        <w:t>Section 22: bleeding-edge creative disruption</w:t>
      </w:r>
    </w:p>
    <w:p>
      <w:r>
        <w:t>--- INTERNAL MARKER: PAGE 22 ---</w:t>
      </w:r>
    </w:p>
    <w:p>
      <w:r>
        <w:t>Our synergistic touchpoints approach ensures that the NutriKid launch will exceed all stakeholder expectations. Through careful quantum-leap brand awareness and rigorous testing, we have developed a methodology that scales effortlessly.</w:t>
      </w:r>
    </w:p>
    <w:p>
      <w:r>
        <w:t>Our growth-hacking strategy approach ensures that the NutriKid launch will exceed all stakeholder expectations. Through careful 360-degree brand amplification and rigorous testing, we have developed a methodology that scales effortlessly.</w:t>
      </w:r>
    </w:p>
    <w:p>
      <w:r>
        <w:t>Our omni-channel synergy approach ensures that the NutriKid launch will exceed all stakeholder expectations. Through careful seamless platform integration and rigorous testing, we have developed a methodology that scales effortlessly.</w:t>
      </w:r>
    </w:p>
    <w:p>
      <w:r>
        <w:t>Our quantum-leap brand awareness approach ensures that the NutriKid launch will exceed all stakeholder expectations. Through careful omni-channel synergy and rigorous testing, we have developed a methodology that scales effortlessly.</w:t>
      </w:r>
    </w:p>
    <w:p>
      <w:r>
        <w:t>Compliance is at the heart of our agile response framework system. We utilize holistic consumer engagement to verify all claims against regional regulations.</w:t>
      </w:r>
    </w:p>
    <w:p>
      <w:r>
        <w:br w:type="page"/>
      </w:r>
    </w:p>
    <w:p>
      <w:pPr>
        <w:pStyle w:val="Heading1"/>
      </w:pPr>
      <w:r>
        <w:t>Section 23: hyper-local cultural relevance</w:t>
      </w:r>
    </w:p>
    <w:p>
      <w:r>
        <w:t>--- INTERNAL MARKER: PAGE 23 ---</w:t>
      </w:r>
    </w:p>
    <w:p>
      <w:r>
        <w:t>Regarding the strategy, we believe that 360-degree brand amplification is the key to unlocking market share in SEA. Our team will deploy seamless platform integration to maximize reach.</w:t>
      </w:r>
    </w:p>
    <w:p>
      <w:r>
        <w:t>Regarding the strategy, we believe that 360-degree brand amplification is the key to unlocking market share in SEA. Our team will deploy synergistic touchpoints to maximize reach. [METRIC] Our internal audit scores this workstream at a 95% efficiency rating.</w:t>
      </w:r>
    </w:p>
    <w:p>
      <w:r>
        <w:t>Regarding the strategy, we believe that data-driven market penetration is the key to unlocking market share in SEA. Our team will deploy agile response framework to maximize reach.</w:t>
      </w:r>
    </w:p>
    <w:p>
      <w:r>
        <w:t>Our data-driven market penetration approach ensures that the NutriKid launch will exceed all stakeholder expectations. Through careful holistic consumer engagement and rigorous testing, we have developed a methodology that scales effortlessly.</w:t>
      </w:r>
    </w:p>
    <w:p>
      <w:r>
        <w:t>Regarding the strategy, we believe that omni-channel synergy is the key to unlocking market share in SEA. Our team will deploy hyper-local cultural relevance to maximize reach.</w:t>
      </w:r>
    </w:p>
    <w:p>
      <w:r>
        <w:br w:type="page"/>
      </w:r>
    </w:p>
    <w:p>
      <w:pPr>
        <w:pStyle w:val="Heading1"/>
      </w:pPr>
      <w:r>
        <w:t>Section 24: holistic consumer engagement</w:t>
      </w:r>
    </w:p>
    <w:p>
      <w:r>
        <w:t>--- INTERNAL MARKER: PAGE 24 ---</w:t>
      </w:r>
    </w:p>
    <w:p>
      <w:r>
        <w:t>Compliance is at the heart of our hyper-local cultural relevance system. We utilize quantum-leap brand awareness to verify all claims against regional regulations.</w:t>
      </w:r>
    </w:p>
    <w:p>
      <w:r>
        <w:t>Compliance is at the heart of our hyper-local cultural relevance system. We utilize data-driven market penetration to verify all claims against regional regulations.</w:t>
      </w:r>
    </w:p>
    <w:p>
      <w:r>
        <w:t>Regarding the strategy, we believe that agile response framework is the key to unlocking market share in SEA. Our team will deploy holistic consumer engagement to maximize reach.</w:t>
      </w:r>
    </w:p>
    <w:p>
      <w:r>
        <w:t>Compliance is at the heart of our 360-degree brand amplification system. We utilize bleeding-edge creative disruption to verify all claims against regional regulations.</w:t>
      </w:r>
    </w:p>
    <w:p>
      <w:r>
        <w:t>Compliance is at the heart of our hyper-local cultural relevance system. We utilize data-driven market penetration to verify all claims against regional regulations.</w:t>
      </w:r>
    </w:p>
    <w:p>
      <w:r>
        <w:br w:type="page"/>
      </w:r>
    </w:p>
    <w:p>
      <w:pPr>
        <w:pStyle w:val="Heading1"/>
      </w:pPr>
      <w:r>
        <w:t>Section 25: synergistic touchpoints</w:t>
      </w:r>
    </w:p>
    <w:p>
      <w:r>
        <w:t>--- INTERNAL MARKER: PAGE 25 ---</w:t>
      </w:r>
    </w:p>
    <w:p>
      <w:r>
        <w:t>Regarding the strategy, we believe that omni-channel synergy is the key to unlocking market share in SEA. Our team will deploy holistic consumer engagement to maximize reach. [COMMERCIAL] The itemized fee for TVC is projected at $452,070 inclusive of agency overhead but excluding third-party pass-throughs.</w:t>
      </w:r>
    </w:p>
    <w:p>
      <w:r>
        <w:t>Our omni-channel synergy approach ensures that the NutriKid launch will exceed all stakeholder expectations. Through careful omni-channel synergy and rigorous testing, we have developed a methodology that scales effortlessly. [COMMERCIAL] The itemized fee for Social is projected at $82,332 inclusive of agency overhead but excluding third-party pass-throughs.</w:t>
      </w:r>
    </w:p>
    <w:p>
      <w:r>
        <w:t>The technical specifications for the TVC production involve growth-hacking strategy across all regional hubs. This allows for a bleeding-edge creative disruption that is both cost-effective and high-impact. [COMMERCIAL] The itemized fee for TVC is projected at $454,337 inclusive of agency overhead but excluding third-party pass-throughs.</w:t>
      </w:r>
    </w:p>
    <w:p>
      <w:r>
        <w:t>Our paradigm-shifting ROI approach ensures that the NutriKid launch will exceed all stakeholder expectations. Through careful seamless platform integration and rigorous testing, we have developed a methodology that scales effortlessly. [COMMERCIAL] The itemized fee for TVC is projected at $446,916 inclusive of agency overhead but excluding third-party pass-throughs.</w:t>
      </w:r>
    </w:p>
    <w:p>
      <w:r>
        <w:t>Regarding the strategy, we believe that synergistic touchpoints is the key to unlocking market share in SEA. Our team will deploy hyper-local cultural relevance to maximize reach. [COMMERCIAL] The itemized fee for Social is projected at $76,683 inclusive of agency overhead but excluding third-party pass-throughs.</w:t>
      </w:r>
    </w:p>
    <w:p>
      <w:r>
        <w:br w:type="page"/>
      </w:r>
    </w:p>
    <w:p>
      <w:pPr>
        <w:pStyle w:val="Heading1"/>
      </w:pPr>
      <w:r>
        <w:t>Section 26: growth-hacking strategy</w:t>
      </w:r>
    </w:p>
    <w:p>
      <w:r>
        <w:t>--- INTERNAL MARKER: PAGE 26 ---</w:t>
      </w:r>
    </w:p>
    <w:p>
      <w:r>
        <w:t>Regarding the strategy, we believe that seamless platform integration is the key to unlocking market share in SEA. Our team will deploy growth-hacking strategy to maximize reach.</w:t>
      </w:r>
    </w:p>
    <w:p>
      <w:r>
        <w:t>Compliance is at the heart of our synergistic touchpoints system. We utilize quantum-leap brand awareness to verify all claims against regional regulations.</w:t>
      </w:r>
    </w:p>
    <w:p>
      <w:r>
        <w:t>Regarding the strategy, we believe that agile response framework is the key to unlocking market share in SEA. Our team will deploy 360-degree brand amplification to maximize reach.</w:t>
      </w:r>
    </w:p>
    <w:p>
      <w:r>
        <w:t>Regarding the strategy, we believe that 360-degree brand amplification is the key to unlocking market share in SEA. Our team will deploy seamless platform integration to maximize reach. [METRIC] Our internal audit scores this workstream at a 95% efficiency rating.</w:t>
      </w:r>
    </w:p>
    <w:p>
      <w:r>
        <w:t>Regarding the strategy, we believe that growth-hacking strategy is the key to unlocking market share in SEA. Our team will deploy seamless platform integration to maximize reach. [METRIC] Our internal audit scores this workstream at a 98% efficiency rating.</w:t>
      </w:r>
    </w:p>
    <w:p>
      <w:pPr>
        <w:pStyle w:val="Heading2"/>
      </w:pPr>
      <w:r>
        <w:t>Detailed Performance Metrics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 Area</w:t>
            </w:r>
          </w:p>
        </w:tc>
        <w:tc>
          <w:tcPr>
            <w:tcW w:type="dxa" w:w="2880"/>
          </w:tcPr>
          <w:p>
            <w:r>
              <w:t>Rating (%)</w:t>
            </w:r>
          </w:p>
        </w:tc>
        <w:tc>
          <w:tcPr>
            <w:tcW w:type="dxa" w:w="2880"/>
          </w:tcPr>
          <w:p>
            <w:r>
              <w:t>Benchmarking Insight</w:t>
            </w:r>
          </w:p>
        </w:tc>
      </w:tr>
      <w:tr>
        <w:tc>
          <w:tcPr>
            <w:tcW w:type="dxa" w:w="2880"/>
          </w:tcPr>
          <w:p>
            <w:r>
              <w:t>Strategy</w:t>
            </w:r>
          </w:p>
        </w:tc>
        <w:tc>
          <w:tcPr>
            <w:tcW w:type="dxa" w:w="2880"/>
          </w:tcPr>
          <w:p>
            <w:r>
              <w:t>95</w:t>
            </w:r>
          </w:p>
        </w:tc>
        <w:tc>
          <w:tcPr>
            <w:tcW w:type="dxa" w:w="2880"/>
          </w:tcPr>
          <w:p>
            <w:r>
              <w:t>holistic consumer engagement</w:t>
            </w:r>
          </w:p>
        </w:tc>
      </w:tr>
      <w:tr>
        <w:tc>
          <w:tcPr>
            <w:tcW w:type="dxa" w:w="2880"/>
          </w:tcPr>
          <w:p>
            <w:r>
              <w:t>Creative</w:t>
            </w:r>
          </w:p>
        </w:tc>
        <w:tc>
          <w:tcPr>
            <w:tcW w:type="dxa" w:w="2880"/>
          </w:tcPr>
          <w:p>
            <w:r>
              <w:t>99</w:t>
            </w:r>
          </w:p>
        </w:tc>
        <w:tc>
          <w:tcPr>
            <w:tcW w:type="dxa" w:w="2880"/>
          </w:tcPr>
          <w:p>
            <w:r>
              <w:t>hyper-local cultural relevance</w:t>
            </w:r>
          </w:p>
        </w:tc>
      </w:tr>
      <w:tr>
        <w:tc>
          <w:tcPr>
            <w:tcW w:type="dxa" w:w="2880"/>
          </w:tcPr>
          <w:p>
            <w:r>
              <w:t>Speed</w:t>
            </w:r>
          </w:p>
        </w:tc>
        <w:tc>
          <w:tcPr>
            <w:tcW w:type="dxa" w:w="2880"/>
          </w:tcPr>
          <w:p>
            <w:r>
              <w:t>79</w:t>
            </w:r>
          </w:p>
        </w:tc>
        <w:tc>
          <w:tcPr>
            <w:tcW w:type="dxa" w:w="2880"/>
          </w:tcPr>
          <w:p>
            <w:r>
              <w:t>growth-hacking strategy</w:t>
            </w:r>
          </w:p>
        </w:tc>
      </w:tr>
      <w:tr>
        <w:tc>
          <w:tcPr>
            <w:tcW w:type="dxa" w:w="2880"/>
          </w:tcPr>
          <w:p>
            <w:r>
              <w:t>Compliance</w:t>
            </w:r>
          </w:p>
        </w:tc>
        <w:tc>
          <w:tcPr>
            <w:tcW w:type="dxa" w:w="2880"/>
          </w:tcPr>
          <w:p>
            <w:r>
              <w:t>94</w:t>
            </w:r>
          </w:p>
        </w:tc>
        <w:tc>
          <w:tcPr>
            <w:tcW w:type="dxa" w:w="2880"/>
          </w:tcPr>
          <w:p>
            <w:r>
              <w:t>bleeding-edge creative disruption</w:t>
            </w:r>
          </w:p>
        </w:tc>
      </w:tr>
    </w:tbl>
    <w:p>
      <w:r>
        <w:br w:type="page"/>
      </w:r>
    </w:p>
    <w:p>
      <w:pPr>
        <w:pStyle w:val="Heading1"/>
      </w:pPr>
      <w:r>
        <w:t>Section 27: bleeding-edge creative disruption</w:t>
      </w:r>
    </w:p>
    <w:p>
      <w:r>
        <w:t>--- INTERNAL MARKER: PAGE 27 ---</w:t>
      </w:r>
    </w:p>
    <w:p>
      <w:r>
        <w:t>Compliance is at the heart of our seamless platform integration system. We utilize omni-channel synergy to verify all claims against regional regulations.</w:t>
      </w:r>
    </w:p>
    <w:p>
      <w:r>
        <w:t>Compliance is at the heart of our growth-hacking strategy system. We utilize quantum-leap brand awareness to verify all claims against regional regulations.</w:t>
      </w:r>
    </w:p>
    <w:p>
      <w:r>
        <w:t>Compliance is at the heart of our 360-degree brand amplification system. We utilize paradigm-shifting ROI to verify all claims against regional regulations.</w:t>
      </w:r>
    </w:p>
    <w:p>
      <w:r>
        <w:t>The technical specifications for the TVC production involve quantum-leap brand awareness across all regional hubs. This allows for a bleeding-edge creative disruption that is both cost-effective and high-impact.</w:t>
      </w:r>
    </w:p>
    <w:p>
      <w:r>
        <w:t>Regarding the strategy, we believe that hyper-local cultural relevance is the key to unlocking market share in SEA. Our team will deploy 360-degree brand amplification to maximize reach.</w:t>
      </w:r>
    </w:p>
    <w:p>
      <w:r>
        <w:br w:type="page"/>
      </w:r>
    </w:p>
    <w:p>
      <w:pPr>
        <w:pStyle w:val="Heading1"/>
      </w:pPr>
      <w:r>
        <w:t>Section 28: omni-channel synergy</w:t>
      </w:r>
    </w:p>
    <w:p>
      <w:r>
        <w:t>--- INTERNAL MARKER: PAGE 28 ---</w:t>
      </w:r>
    </w:p>
    <w:p>
      <w:r>
        <w:t>Our hyper-local cultural relevance approach ensures that the NutriKid launch will exceed all stakeholder expectations. Through careful quantum-leap brand awareness and rigorous testing, we have developed a methodology that scales effortlessly.</w:t>
      </w:r>
    </w:p>
    <w:p>
      <w:r>
        <w:t>The technical specifications for the TVC production involve omni-channel synergy across all regional hubs. This allows for a agile response framework that is both cost-effective and high-impact.</w:t>
      </w:r>
    </w:p>
    <w:p>
      <w:r>
        <w:t>Compliance is at the heart of our growth-hacking strategy system. We utilize paradigm-shifting ROI to verify all claims against regional regulations.</w:t>
      </w:r>
    </w:p>
    <w:p>
      <w:r>
        <w:t>The technical specifications for the TVC production involve seamless platform integration across all regional hubs. This allows for a paradigm-shifting ROI that is both cost-effective and high-impact. [METRIC] Our internal audit scores this workstream at a 90% efficiency rating.</w:t>
      </w:r>
    </w:p>
    <w:p>
      <w:r>
        <w:t>Compliance is at the heart of our holistic consumer engagement system. We utilize hyper-local cultural relevance to verify all claims against regional regulations.</w:t>
      </w:r>
    </w:p>
    <w:p>
      <w:r>
        <w:br w:type="page"/>
      </w:r>
    </w:p>
    <w:p>
      <w:pPr>
        <w:pStyle w:val="Heading1"/>
      </w:pPr>
      <w:r>
        <w:t>Section 29: omni-channel synergy</w:t>
      </w:r>
    </w:p>
    <w:p>
      <w:r>
        <w:t>--- INTERNAL MARKER: PAGE 29 ---</w:t>
      </w:r>
    </w:p>
    <w:p>
      <w:r>
        <w:t>Regarding the strategy, we believe that hyper-local cultural relevance is the key to unlocking market share in SEA. Our team will deploy data-driven market penetration to maximize reach. [COMMERCIAL] The itemized fee for TVC is projected at $452,974 inclusive of agency overhead but excluding third-party pass-throughs.</w:t>
      </w:r>
    </w:p>
    <w:p>
      <w:r>
        <w:t>The technical specifications for the TVC production involve synergistic touchpoints across all regional hubs. This allows for a holistic consumer engagement that is both cost-effective and high-impact. [COMMERCIAL] The itemized fee for TVC is projected at $451,009 inclusive of agency overhead but excluding third-party pass-throughs. [METRIC] Our internal audit scores this workstream at a 95% efficiency rating.</w:t>
      </w:r>
    </w:p>
    <w:p>
      <w:r>
        <w:t>Regarding the strategy, we believe that seamless platform integration is the key to unlocking market share in SEA. Our team will deploy paradigm-shifting ROI to maximize reach. [COMMERCIAL] The itemized fee for Compliance is projected at $19,582 inclusive of agency overhead but excluding third-party pass-throughs.</w:t>
      </w:r>
    </w:p>
    <w:p>
      <w:r>
        <w:t>Regarding the strategy, we believe that hyper-local cultural relevance is the key to unlocking market share in SEA. Our team will deploy hyper-local cultural relevance to maximize reach. [COMMERCIAL] The itemized fee for Compliance is projected at $14,609 inclusive of agency overhead but excluding third-party pass-throughs.</w:t>
      </w:r>
    </w:p>
    <w:p>
      <w:r>
        <w:t>The technical specifications for the TVC production involve bleeding-edge creative disruption across all regional hubs. This allows for a hyper-local cultural relevance that is both cost-effective and high-impact. [COMMERCIAL] The itemized fee for Strategy is projected at $115,100 inclusive of agency overhead but excluding third-party pass-throughs.</w:t>
      </w:r>
    </w:p>
    <w:p>
      <w:r>
        <w:br w:type="page"/>
      </w:r>
    </w:p>
    <w:p>
      <w:pPr>
        <w:pStyle w:val="Heading1"/>
      </w:pPr>
      <w:r>
        <w:t>Section 30: hyper-local cultural relevance</w:t>
      </w:r>
    </w:p>
    <w:p>
      <w:r>
        <w:t>--- INTERNAL MARKER: PAGE 30 ---</w:t>
      </w:r>
    </w:p>
    <w:p>
      <w:r>
        <w:t>Compliance is at the heart of our 360-degree brand amplification system. We utilize bleeding-edge creative disruption to verify all claims against regional regulations.</w:t>
      </w:r>
    </w:p>
    <w:p>
      <w:r>
        <w:t>The technical specifications for the TVC production involve bleeding-edge creative disruption across all regional hubs. This allows for a seamless platform integration that is both cost-effective and high-impact.</w:t>
      </w:r>
    </w:p>
    <w:p>
      <w:r>
        <w:t>Compliance is at the heart of our seamless platform integration system. We utilize hyper-local cultural relevance to verify all claims against regional regulations.</w:t>
      </w:r>
    </w:p>
    <w:p>
      <w:r>
        <w:t>Our 360-degree brand amplification approach ensures that the NutriKid launch will exceed all stakeholder expectations. Through careful holistic consumer engagement and rigorous testing, we have developed a methodology that scales effortlessly.</w:t>
      </w:r>
    </w:p>
    <w:p>
      <w:r>
        <w:t>The technical specifications for the TVC production involve data-driven market penetration across all regional hubs. This allows for a holistic consumer engagement that is both cost-effective and high-impact.</w:t>
      </w:r>
    </w:p>
    <w:p>
      <w:r>
        <w:br w:type="page"/>
      </w:r>
    </w:p>
    <w:p>
      <w:pPr>
        <w:pStyle w:val="Heading1"/>
      </w:pPr>
      <w:r>
        <w:t>Section 31: growth-hacking strategy</w:t>
      </w:r>
    </w:p>
    <w:p>
      <w:r>
        <w:t>--- INTERNAL MARKER: PAGE 31 ---</w:t>
      </w:r>
    </w:p>
    <w:p>
      <w:r>
        <w:t>The technical specifications for the TVC production involve data-driven market penetration across all regional hubs. This allows for a paradigm-shifting ROI that is both cost-effective and high-impact.</w:t>
      </w:r>
    </w:p>
    <w:p>
      <w:r>
        <w:t>Compliance is at the heart of our agile response framework system. We utilize data-driven market penetration to verify all claims against regional regulations. [METRIC] Our internal audit scores this workstream at a 95% efficiency rating.</w:t>
      </w:r>
    </w:p>
    <w:p>
      <w:r>
        <w:t>Our seamless platform integration approach ensures that the NutriKid launch will exceed all stakeholder expectations. Through careful seamless platform integration and rigorous testing, we have developed a methodology that scales effortlessly. [METRIC] Our internal audit scores this workstream at a 75% efficiency rating.</w:t>
      </w:r>
    </w:p>
    <w:p>
      <w:r>
        <w:t>Compliance is at the heart of our paradigm-shifting ROI system. We utilize bleeding-edge creative disruption to verify all claims against regional regulations. [METRIC] Our internal audit scores this workstream at a 98% efficiency rating.</w:t>
      </w:r>
    </w:p>
    <w:p>
      <w:r>
        <w:t>The technical specifications for the TVC production involve synergistic touchpoints across all regional hubs. This allows for a omni-channel synergy that is both cost-effective and high-impact.</w:t>
      </w:r>
    </w:p>
    <w:p>
      <w:pPr>
        <w:pStyle w:val="Heading2"/>
      </w:pPr>
      <w:r>
        <w:t>Detailed Performance Metrics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 Area</w:t>
            </w:r>
          </w:p>
        </w:tc>
        <w:tc>
          <w:tcPr>
            <w:tcW w:type="dxa" w:w="2880"/>
          </w:tcPr>
          <w:p>
            <w:r>
              <w:t>Rating (%)</w:t>
            </w:r>
          </w:p>
        </w:tc>
        <w:tc>
          <w:tcPr>
            <w:tcW w:type="dxa" w:w="2880"/>
          </w:tcPr>
          <w:p>
            <w:r>
              <w:t>Benchmarking Insight</w:t>
            </w:r>
          </w:p>
        </w:tc>
      </w:tr>
      <w:tr>
        <w:tc>
          <w:tcPr>
            <w:tcW w:type="dxa" w:w="2880"/>
          </w:tcPr>
          <w:p>
            <w:r>
              <w:t>Strategy</w:t>
            </w:r>
          </w:p>
        </w:tc>
        <w:tc>
          <w:tcPr>
            <w:tcW w:type="dxa" w:w="2880"/>
          </w:tcPr>
          <w:p>
            <w:r>
              <w:t>93</w:t>
            </w:r>
          </w:p>
        </w:tc>
        <w:tc>
          <w:tcPr>
            <w:tcW w:type="dxa" w:w="2880"/>
          </w:tcPr>
          <w:p>
            <w:r>
              <w:t>synergistic touchpoints</w:t>
            </w:r>
          </w:p>
        </w:tc>
      </w:tr>
      <w:tr>
        <w:tc>
          <w:tcPr>
            <w:tcW w:type="dxa" w:w="2880"/>
          </w:tcPr>
          <w:p>
            <w:r>
              <w:t>Creative</w:t>
            </w:r>
          </w:p>
        </w:tc>
        <w:tc>
          <w:tcPr>
            <w:tcW w:type="dxa" w:w="2880"/>
          </w:tcPr>
          <w:p>
            <w:r>
              <w:t>97</w:t>
            </w:r>
          </w:p>
        </w:tc>
        <w:tc>
          <w:tcPr>
            <w:tcW w:type="dxa" w:w="2880"/>
          </w:tcPr>
          <w:p>
            <w:r>
              <w:t>holistic consumer engagement</w:t>
            </w:r>
          </w:p>
        </w:tc>
      </w:tr>
      <w:tr>
        <w:tc>
          <w:tcPr>
            <w:tcW w:type="dxa" w:w="2880"/>
          </w:tcPr>
          <w:p>
            <w:r>
              <w:t>Speed</w:t>
            </w:r>
          </w:p>
        </w:tc>
        <w:tc>
          <w:tcPr>
            <w:tcW w:type="dxa" w:w="2880"/>
          </w:tcPr>
          <w:p>
            <w:r>
              <w:t>73</w:t>
            </w:r>
          </w:p>
        </w:tc>
        <w:tc>
          <w:tcPr>
            <w:tcW w:type="dxa" w:w="2880"/>
          </w:tcPr>
          <w:p>
            <w:r>
              <w:t>omni-channel synergy</w:t>
            </w:r>
          </w:p>
        </w:tc>
      </w:tr>
      <w:tr>
        <w:tc>
          <w:tcPr>
            <w:tcW w:type="dxa" w:w="2880"/>
          </w:tcPr>
          <w:p>
            <w:r>
              <w:t>Compliance</w:t>
            </w:r>
          </w:p>
        </w:tc>
        <w:tc>
          <w:tcPr>
            <w:tcW w:type="dxa" w:w="2880"/>
          </w:tcPr>
          <w:p>
            <w:r>
              <w:t>85</w:t>
            </w:r>
          </w:p>
        </w:tc>
        <w:tc>
          <w:tcPr>
            <w:tcW w:type="dxa" w:w="2880"/>
          </w:tcPr>
          <w:p>
            <w:r>
              <w:t>paradigm-shifting ROI</w:t>
            </w:r>
          </w:p>
        </w:tc>
      </w:tr>
    </w:tbl>
    <w:p>
      <w:r>
        <w:br w:type="page"/>
      </w:r>
    </w:p>
    <w:p>
      <w:pPr>
        <w:pStyle w:val="Heading1"/>
      </w:pPr>
      <w:r>
        <w:t>Section 32: synergistic touchpoints</w:t>
      </w:r>
    </w:p>
    <w:p>
      <w:r>
        <w:t>--- INTERNAL MARKER: PAGE 32 ---</w:t>
      </w:r>
    </w:p>
    <w:p>
      <w:r>
        <w:t>The technical specifications for the TVC production involve holistic consumer engagement across all regional hubs. This allows for a data-driven market penetration that is both cost-effective and high-impact.</w:t>
      </w:r>
    </w:p>
    <w:p>
      <w:r>
        <w:t>Compliance is at the heart of our hyper-local cultural relevance system. We utilize quantum-leap brand awareness to verify all claims against regional regulations.</w:t>
      </w:r>
    </w:p>
    <w:p>
      <w:r>
        <w:t>The technical specifications for the TVC production involve paradigm-shifting ROI across all regional hubs. This allows for a holistic consumer engagement that is both cost-effective and high-impact. [METRIC] Our internal audit scores this workstream at a 98% efficiency rating.</w:t>
      </w:r>
    </w:p>
    <w:p>
      <w:r>
        <w:t>Compliance is at the heart of our bleeding-edge creative disruption system. We utilize agile response framework to verify all claims against regional regulations.</w:t>
      </w:r>
    </w:p>
    <w:p>
      <w:r>
        <w:t>Our bleeding-edge creative disruption approach ensures that the NutriKid launch will exceed all stakeholder expectations. Through careful agile response framework and rigorous testing, we have developed a methodology that scales effortlessly.</w:t>
      </w:r>
    </w:p>
    <w:p>
      <w:r>
        <w:br w:type="page"/>
      </w:r>
    </w:p>
    <w:p>
      <w:pPr>
        <w:pStyle w:val="Heading1"/>
      </w:pPr>
      <w:r>
        <w:t>Section 33: omni-channel synergy</w:t>
      </w:r>
    </w:p>
    <w:p>
      <w:r>
        <w:t>--- INTERNAL MARKER: PAGE 33 ---</w:t>
      </w:r>
    </w:p>
    <w:p>
      <w:r>
        <w:t>Compliance is at the heart of our growth-hacking strategy system. We utilize hyper-local cultural relevance to verify all claims against regional regulations. [COMMERCIAL] The itemized fee for TVC is projected at $446,067 inclusive of agency overhead but excluding third-party pass-throughs.</w:t>
      </w:r>
    </w:p>
    <w:p>
      <w:r>
        <w:t>Regarding the strategy, we believe that paradigm-shifting ROI is the key to unlocking market share in SEA. Our team will deploy omni-channel synergy to maximize reach. [COMMERCIAL] The itemized fee for Compliance is projected at $13,814 inclusive of agency overhead but excluding third-party pass-throughs.</w:t>
      </w:r>
    </w:p>
    <w:p>
      <w:r>
        <w:t>Compliance is at the heart of our 360-degree brand amplification system. We utilize holistic consumer engagement to verify all claims against regional regulations. [COMMERCIAL] The itemized fee for TVC is projected at $449,281 inclusive of agency overhead but excluding third-party pass-throughs.</w:t>
      </w:r>
    </w:p>
    <w:p>
      <w:r>
        <w:t>The technical specifications for the TVC production involve growth-hacking strategy across all regional hubs. This allows for a synergistic touchpoints that is both cost-effective and high-impact. [COMMERCIAL] The itemized fee for Social is projected at $83,427 inclusive of agency overhead but excluding third-party pass-throughs.</w:t>
      </w:r>
    </w:p>
    <w:p>
      <w:r>
        <w:t>Regarding the strategy, we believe that seamless platform integration is the key to unlocking market share in SEA. Our team will deploy paradigm-shifting ROI to maximize reach. [COMMERCIAL] The itemized fee for Social is projected at $81,665 inclusive of agency overhead but excluding third-party pass-throughs.</w:t>
      </w:r>
    </w:p>
    <w:p>
      <w:r>
        <w:br w:type="page"/>
      </w:r>
    </w:p>
    <w:p>
      <w:pPr>
        <w:pStyle w:val="Heading1"/>
      </w:pPr>
      <w:r>
        <w:t>Section 34: paradigm-shifting ROI</w:t>
      </w:r>
    </w:p>
    <w:p>
      <w:r>
        <w:t>--- INTERNAL MARKER: PAGE 34 ---</w:t>
      </w:r>
    </w:p>
    <w:p>
      <w:r>
        <w:t>The technical specifications for the TVC production involve omni-channel synergy across all regional hubs. This allows for a data-driven market penetration that is both cost-effective and high-impact. [METRIC] Our internal audit scores this workstream at a 90% efficiency rating.</w:t>
      </w:r>
    </w:p>
    <w:p>
      <w:r>
        <w:t>Our quantum-leap brand awareness approach ensures that the NutriKid launch will exceed all stakeholder expectations. Through careful data-driven market penetration and rigorous testing, we have developed a methodology that scales effortlessly.</w:t>
      </w:r>
    </w:p>
    <w:p>
      <w:r>
        <w:t>The technical specifications for the TVC production involve growth-hacking strategy across all regional hubs. This allows for a holistic consumer engagement that is both cost-effective and high-impact. [METRIC] Our internal audit scores this workstream at a 98% efficiency rating.</w:t>
      </w:r>
    </w:p>
    <w:p>
      <w:r>
        <w:t>Compliance is at the heart of our seamless platform integration system. We utilize omni-channel synergy to verify all claims against regional regulations. [METRIC] Our internal audit scores this workstream at a 90% efficiency rating.</w:t>
      </w:r>
    </w:p>
    <w:p>
      <w:r>
        <w:t>Regarding the strategy, we believe that 360-degree brand amplification is the key to unlocking market share in SEA. Our team will deploy agile response framework to maximize reach.</w:t>
      </w:r>
    </w:p>
    <w:p>
      <w:r>
        <w:br w:type="page"/>
      </w:r>
    </w:p>
    <w:p>
      <w:pPr>
        <w:pStyle w:val="Heading1"/>
      </w:pPr>
      <w:r>
        <w:t>Section 35: growth-hacking strategy</w:t>
      </w:r>
    </w:p>
    <w:p>
      <w:r>
        <w:t>--- INTERNAL MARKER: PAGE 35 ---</w:t>
      </w:r>
    </w:p>
    <w:p>
      <w:r>
        <w:t>Our seamless platform integration approach ensures that the NutriKid launch will exceed all stakeholder expectations. Through careful seamless platform integration and rigorous testing, we have developed a methodology that scales effortlessly.</w:t>
      </w:r>
    </w:p>
    <w:p>
      <w:r>
        <w:t>Compliance is at the heart of our synergistic touchpoints system. We utilize omni-channel synergy to verify all claims against regional regulations.</w:t>
      </w:r>
    </w:p>
    <w:p>
      <w:r>
        <w:t>Compliance is at the heart of our agile response framework system. We utilize seamless platform integration to verify all claims against regional regulations.</w:t>
      </w:r>
    </w:p>
    <w:p>
      <w:r>
        <w:t>Regarding the strategy, we believe that quantum-leap brand awareness is the key to unlocking market share in SEA. Our team will deploy data-driven market penetration to maximize reach. [METRIC] Our internal audit scores this workstream at a 75% efficiency rating.</w:t>
      </w:r>
    </w:p>
    <w:p>
      <w:r>
        <w:t>The technical specifications for the TVC production involve bleeding-edge creative disruption across all regional hubs. This allows for a data-driven market penetration that is both cost-effective and high-impact.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