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b/>
          <w:i w:val="0"/>
          <w:color w:val="0FB5A9"/>
          <w:sz w:val="44"/>
        </w:rPr>
        <w:t>Course Context</w:t>
      </w:r>
    </w:p>
    <w:p>
      <w:pPr>
        <w:spacing w:after="120"/>
      </w:pPr>
      <w:r>
        <w:rPr>
          <w:b/>
          <w:i w:val="0"/>
          <w:sz w:val="22"/>
        </w:rPr>
        <w:t>Module:</w:t>
      </w:r>
      <w:r>
        <w:rPr>
          <w:b w:val="0"/>
          <w:i w:val="0"/>
          <w:sz w:val="22"/>
        </w:rPr>
        <w:t xml:space="preserve"> Software Architecture &amp; Design (SAD) </w:t>
      </w:r>
      <w:r>
        <w:rPr>
          <w:b/>
          <w:i w:val="0"/>
          <w:sz w:val="22"/>
        </w:rPr>
        <w:t>Programme:</w:t>
      </w:r>
      <w:r>
        <w:rPr>
          <w:b w:val="0"/>
          <w:i w:val="0"/>
          <w:sz w:val="22"/>
        </w:rPr>
        <w:t xml:space="preserve"> M.Sc. Applied Computer Science, SRH University Stuttgart </w:t>
      </w:r>
      <w:r>
        <w:rPr>
          <w:b/>
          <w:i w:val="0"/>
          <w:sz w:val="22"/>
        </w:rPr>
        <w:t>Supervisor:</w:t>
      </w:r>
      <w:r>
        <w:rPr>
          <w:b w:val="0"/>
          <w:i w:val="0"/>
          <w:sz w:val="22"/>
        </w:rPr>
        <w:t xml:space="preserve"> the course supervisor </w:t>
      </w:r>
      <w:r>
        <w:rPr>
          <w:b/>
          <w:i w:val="0"/>
          <w:sz w:val="22"/>
        </w:rPr>
        <w:t>Cohort:</w:t>
      </w:r>
      <w:r>
        <w:rPr>
          <w:b w:val="0"/>
          <w:i w:val="0"/>
          <w:sz w:val="22"/>
        </w:rPr>
        <w:t xml:space="preserve"> Summer term 2026 </w:t>
      </w:r>
      <w:r>
        <w:rPr>
          <w:b/>
          <w:i w:val="0"/>
          <w:sz w:val="22"/>
        </w:rPr>
        <w:t>Team:</w:t>
      </w:r>
      <w:r>
        <w:rPr>
          <w:b w:val="0"/>
          <w:i w:val="0"/>
          <w:sz w:val="22"/>
        </w:rPr>
        <w:t xml:space="preserve"> Abhilash Anuku (AA), Simranjot Kaur (SK), Jithendra Chittomothu (JC) </w:t>
      </w:r>
      <w:r>
        <w:rPr>
          <w:b/>
          <w:i w:val="0"/>
          <w:sz w:val="22"/>
        </w:rPr>
        <w:t>Date:</w:t>
      </w:r>
      <w:r>
        <w:rPr>
          <w:b w:val="0"/>
          <w:i w:val="0"/>
          <w:sz w:val="22"/>
        </w:rPr>
        <w:t xml:space="preserve"> 29 May 2026 — Week 8 of 8</w:t>
      </w:r>
    </w:p>
    <w:p>
      <w:pPr>
        <w:spacing w:before="240" w:after="80"/>
      </w:pPr>
      <w:r>
        <w:rPr>
          <w:b/>
          <w:i w:val="0"/>
          <w:color w:val="0FB5A9"/>
          <w:sz w:val="32"/>
        </w:rPr>
        <w:t>What the prototype is, in the language of the module</w:t>
      </w:r>
    </w:p>
    <w:p>
      <w:pPr>
        <w:spacing w:after="120"/>
      </w:pPr>
      <w:r>
        <w:rPr>
          <w:b w:val="0"/>
          <w:i w:val="0"/>
          <w:sz w:val="22"/>
        </w:rPr>
        <w:t>In the course supervisor's module the word "prototype" has a precise meaning. It is not a sketch and it is not a finished product. It is an executable artefact that demonstrates the soundness of an architecture by realising the architecturally significant requirements end-to-end, while leaving non-significant requirements deliberately incomplete. The prototype proves that the chosen building blocks, the chosen communication style, the chosen quality-attribute tactics, and the chosen deployment shape compose into a working whole. It does not prove that every feature on the backlog is implemented.</w:t>
      </w:r>
    </w:p>
    <w:p>
      <w:pPr>
        <w:spacing w:after="120"/>
      </w:pPr>
      <w:r>
        <w:rPr>
          <w:b w:val="0"/>
          <w:i w:val="0"/>
          <w:sz w:val="22"/>
        </w:rPr>
        <w:t>BomberMen-X satisfies this definition by realising the full vertical slice from input capture through server-authoritative simulation to client rendering, for the central gameplay use cases: authenticate, join lobby, start match, place bomb, collect power-up, score, end match. The bot AI, the moderation pipeline, the haptics service, and the metrics endpoint are present because each of them exercises a quality-attribute tactic that the module asks us to defend. Voice chat, animation rigging, and stat-tracking dashboards are deliberately left as stubs because they would inflate the deliverable without exercising any architectural concept that we have not already demonstrated elsewhere.</w:t>
      </w:r>
    </w:p>
    <w:p>
      <w:pPr>
        <w:spacing w:before="240" w:after="80"/>
      </w:pPr>
      <w:r>
        <w:rPr>
          <w:b/>
          <w:i w:val="0"/>
          <w:color w:val="0FB5A9"/>
          <w:sz w:val="32"/>
        </w:rPr>
        <w:t>Learning outcomes the module declares</w:t>
      </w:r>
    </w:p>
    <w:p>
      <w:pPr>
        <w:spacing w:after="120"/>
      </w:pPr>
      <w:r>
        <w:rPr>
          <w:b w:val="0"/>
          <w:i w:val="0"/>
          <w:sz w:val="22"/>
        </w:rPr>
        <w:t>The module's learning outcomes are taken verbatim from the programme handbook and from the slide decks distributed in weeks one through six. They are:</w:t>
      </w:r>
    </w:p>
    <w:p>
      <w:pPr>
        <w:pStyle w:val="ListNumber"/>
        <w:ind w:left="360"/>
      </w:pPr>
      <w:r>
        <w:rPr>
          <w:b/>
          <w:i w:val="0"/>
          <w:sz w:val="22"/>
        </w:rPr>
        <w:t>LO-1.</w:t>
      </w:r>
      <w:r>
        <w:rPr>
          <w:b w:val="0"/>
          <w:i w:val="0"/>
          <w:sz w:val="22"/>
        </w:rPr>
        <w:t xml:space="preserve"> Students can describe a software architecture in terms of building blocks, runtime interactions, and deployment shape, and can choose among reference architectures with documented reasoning.</w:t>
      </w:r>
    </w:p>
    <w:p>
      <w:pPr>
        <w:pStyle w:val="ListNumber"/>
        <w:ind w:left="360"/>
      </w:pPr>
      <w:r>
        <w:rPr>
          <w:b/>
          <w:i w:val="0"/>
          <w:sz w:val="22"/>
        </w:rPr>
        <w:t>LO-2.</w:t>
      </w:r>
      <w:r>
        <w:rPr>
          <w:b w:val="0"/>
          <w:i w:val="0"/>
          <w:sz w:val="22"/>
        </w:rPr>
        <w:t xml:space="preserve"> Students can articulate quality attributes (performance, availability, security, maintainability, modifiability, usability) and can map architectural tactics onto them.</w:t>
      </w:r>
    </w:p>
    <w:p>
      <w:pPr>
        <w:pStyle w:val="ListNumber"/>
        <w:ind w:left="360"/>
      </w:pPr>
      <w:r>
        <w:rPr>
          <w:b/>
          <w:i w:val="0"/>
          <w:sz w:val="22"/>
        </w:rPr>
        <w:t>LO-3.</w:t>
      </w:r>
      <w:r>
        <w:rPr>
          <w:b w:val="0"/>
          <w:i w:val="0"/>
          <w:sz w:val="22"/>
        </w:rPr>
        <w:t xml:space="preserve"> Students can capture architecturally significant decisions in ADR form, with context, decision, and consequences.</w:t>
      </w:r>
    </w:p>
    <w:p>
      <w:pPr>
        <w:pStyle w:val="ListNumber"/>
        <w:ind w:left="360"/>
      </w:pPr>
      <w:r>
        <w:rPr>
          <w:b/>
          <w:i w:val="0"/>
          <w:sz w:val="22"/>
        </w:rPr>
        <w:t>LO-4.</w:t>
      </w:r>
      <w:r>
        <w:rPr>
          <w:b w:val="0"/>
          <w:i w:val="0"/>
          <w:sz w:val="22"/>
        </w:rPr>
        <w:t xml:space="preserve"> Students can apply a systematic documentation template (arc42) to a real system without producing irrelevant boilerplate.</w:t>
      </w:r>
    </w:p>
    <w:p>
      <w:pPr>
        <w:pStyle w:val="ListNumber"/>
        <w:ind w:left="360"/>
      </w:pPr>
      <w:r>
        <w:rPr>
          <w:b/>
          <w:i w:val="0"/>
          <w:sz w:val="22"/>
        </w:rPr>
        <w:t>LO-5.</w:t>
      </w:r>
      <w:r>
        <w:rPr>
          <w:b w:val="0"/>
          <w:i w:val="0"/>
          <w:sz w:val="22"/>
        </w:rPr>
        <w:t xml:space="preserve"> Students can demonstrate traceability from requirements to implementation, and can defend gaps where they exist.</w:t>
      </w:r>
    </w:p>
    <w:p>
      <w:pPr>
        <w:pStyle w:val="ListNumber"/>
        <w:ind w:left="360"/>
      </w:pPr>
      <w:r>
        <w:rPr>
          <w:b/>
          <w:i w:val="0"/>
          <w:sz w:val="22"/>
        </w:rPr>
        <w:t>LO-6.</w:t>
      </w:r>
      <w:r>
        <w:rPr>
          <w:b w:val="0"/>
          <w:i w:val="0"/>
          <w:sz w:val="22"/>
        </w:rPr>
        <w:t xml:space="preserve"> Students can implement a non-trivial system in a team of three, with explicit ownership and a working build/deploy pipeline.</w:t>
      </w:r>
    </w:p>
    <w:p>
      <w:pPr>
        <w:spacing w:before="240" w:after="80"/>
      </w:pPr>
      <w:r>
        <w:rPr>
          <w:b/>
          <w:i w:val="0"/>
          <w:color w:val="0FB5A9"/>
          <w:sz w:val="32"/>
        </w:rPr>
        <w:t>How this submission satisfies the outcomes</w:t>
      </w:r>
    </w:p>
    <w:p>
      <w:pPr>
        <w:spacing w:after="120"/>
      </w:pPr>
      <w:r>
        <w:rPr>
          <w:b/>
          <w:i w:val="0"/>
          <w:sz w:val="22"/>
        </w:rPr>
        <w:t>LO-1 is satisfied</w:t>
      </w:r>
      <w:r>
        <w:rPr>
          <w:b w:val="0"/>
          <w:i w:val="0"/>
          <w:sz w:val="22"/>
        </w:rPr>
        <w:t xml:space="preserve"> by the explicit reference-architecture choice documented in </w:t>
      </w:r>
      <w:r>
        <w:rPr>
          <w:rFonts w:ascii="Consolas" w:hAnsi="Consolas"/>
          <w:b w:val="0"/>
          <w:i w:val="0"/>
          <w:sz w:val="20"/>
        </w:rPr>
        <w:t>architecture-spec-arc42.md</w:t>
      </w:r>
      <w:r>
        <w:rPr>
          <w:b w:val="0"/>
          <w:i w:val="0"/>
          <w:sz w:val="22"/>
        </w:rPr>
        <w:t xml:space="preserve"> section 4 (Solution Strategy) and in </w:t>
      </w:r>
      <w:r>
        <w:rPr>
          <w:rFonts w:ascii="Consolas" w:hAnsi="Consolas"/>
          <w:b w:val="0"/>
          <w:i w:val="0"/>
          <w:sz w:val="20"/>
        </w:rPr>
        <w:t>systems-architecture.md</w:t>
      </w:r>
      <w:r>
        <w:rPr>
          <w:b w:val="0"/>
          <w:i w:val="0"/>
          <w:sz w:val="22"/>
        </w:rPr>
        <w:t>. We chose a client-server architecture with an event-driven core, layered within each module. The reasoning is recorded in ADR-002 (server-authoritative simulation) and ADR-003 (JavaFX desktop client). Alternatives — peer-to-peer with deterministic lock-step, web client, hybrid relay — are documented as rejected with stated reasons.</w:t>
      </w:r>
    </w:p>
    <w:p>
      <w:pPr>
        <w:spacing w:after="120"/>
      </w:pPr>
      <w:r>
        <w:rPr>
          <w:b/>
          <w:i w:val="0"/>
          <w:sz w:val="22"/>
        </w:rPr>
        <w:t>LO-2 is satisfied</w:t>
      </w:r>
      <w:r>
        <w:rPr>
          <w:b w:val="0"/>
          <w:i w:val="0"/>
          <w:sz w:val="22"/>
        </w:rPr>
        <w:t xml:space="preserve"> by the Quality Requirements section of the arc42 spec and by the dedicated </w:t>
      </w:r>
      <w:r>
        <w:rPr>
          <w:rFonts w:ascii="Consolas" w:hAnsi="Consolas"/>
          <w:b w:val="0"/>
          <w:i w:val="0"/>
          <w:sz w:val="20"/>
        </w:rPr>
        <w:t>sad-theory-and-roles.md</w:t>
      </w:r>
      <w:r>
        <w:rPr>
          <w:b w:val="0"/>
          <w:i w:val="0"/>
          <w:sz w:val="22"/>
        </w:rPr>
        <w:t xml:space="preserve"> document. We name three primary quality attributes (performance, security, maintainability) and the tactics that realise each. Performance is realised by the 60 Hz fixed-tick simulation with a hard budget of 16.67 ms per tick, and by client-side interpolation. Security is realised by server-side validation of every gameplay envelope. Maintainability is realised by the strict three-module dependency DAG.</w:t>
      </w:r>
    </w:p>
    <w:p>
      <w:pPr>
        <w:spacing w:after="120"/>
      </w:pPr>
      <w:r>
        <w:rPr>
          <w:b/>
          <w:i w:val="0"/>
          <w:sz w:val="22"/>
        </w:rPr>
        <w:t>LO-3 is satisfied</w:t>
      </w:r>
      <w:r>
        <w:rPr>
          <w:b w:val="0"/>
          <w:i w:val="0"/>
          <w:sz w:val="22"/>
        </w:rPr>
        <w:t xml:space="preserve"> by the three ADRs embedded in the arc42 spec and by the supporting discussion in </w:t>
      </w:r>
      <w:r>
        <w:rPr>
          <w:rFonts w:ascii="Consolas" w:hAnsi="Consolas"/>
          <w:b w:val="0"/>
          <w:i w:val="0"/>
          <w:sz w:val="20"/>
        </w:rPr>
        <w:t>code-walkthrough.md</w:t>
      </w:r>
      <w:r>
        <w:rPr>
          <w:b w:val="0"/>
          <w:i w:val="0"/>
          <w:sz w:val="22"/>
        </w:rPr>
        <w:t>. The ADRs have explicit context, decision, and consequences sections, and they are referenced from the source code where they apply.</w:t>
      </w:r>
    </w:p>
    <w:p>
      <w:pPr>
        <w:spacing w:after="120"/>
      </w:pPr>
      <w:r>
        <w:rPr>
          <w:b/>
          <w:i w:val="0"/>
          <w:sz w:val="22"/>
        </w:rPr>
        <w:t>LO-4 is satisfied</w:t>
      </w:r>
      <w:r>
        <w:rPr>
          <w:b w:val="0"/>
          <w:i w:val="0"/>
          <w:sz w:val="22"/>
        </w:rPr>
        <w:t xml:space="preserve"> by the arc42 document itself, which follows the canonical section ordering and omits sections that would be empty rather than padding them with filler.</w:t>
      </w:r>
    </w:p>
    <w:p>
      <w:pPr>
        <w:spacing w:after="120"/>
      </w:pPr>
      <w:r>
        <w:rPr>
          <w:b/>
          <w:i w:val="0"/>
          <w:sz w:val="22"/>
        </w:rPr>
        <w:t>LO-5 is satisfied</w:t>
      </w:r>
      <w:r>
        <w:rPr>
          <w:b w:val="0"/>
          <w:i w:val="0"/>
          <w:sz w:val="22"/>
        </w:rPr>
        <w:t xml:space="preserve"> by the requirements traceability matrix in </w:t>
      </w:r>
      <w:r>
        <w:rPr>
          <w:rFonts w:ascii="Consolas" w:hAnsi="Consolas"/>
          <w:b w:val="0"/>
          <w:i w:val="0"/>
          <w:sz w:val="20"/>
        </w:rPr>
        <w:t>requirements-traceability.md</w:t>
      </w:r>
      <w:r>
        <w:rPr>
          <w:b w:val="0"/>
          <w:i w:val="0"/>
          <w:sz w:val="22"/>
        </w:rPr>
        <w:t>. Every functional, non-functional, use-case, and business-rule requirement has a row binding it to a Java class and a source file path.</w:t>
      </w:r>
    </w:p>
    <w:p>
      <w:pPr>
        <w:spacing w:after="120"/>
      </w:pPr>
      <w:r>
        <w:rPr>
          <w:b/>
          <w:i w:val="0"/>
          <w:sz w:val="22"/>
        </w:rPr>
        <w:t>LO-6 is satisfied</w:t>
      </w:r>
      <w:r>
        <w:rPr>
          <w:b w:val="0"/>
          <w:i w:val="0"/>
          <w:sz w:val="22"/>
        </w:rPr>
        <w:t xml:space="preserve"> by the existence of the three-module Maven reactor, the docker-compose deployment, the run scripts under </w:t>
      </w:r>
      <w:r>
        <w:rPr>
          <w:rFonts w:ascii="Consolas" w:hAnsi="Consolas"/>
          <w:b w:val="0"/>
          <w:i w:val="0"/>
          <w:sz w:val="20"/>
        </w:rPr>
        <w:t>infra/scripts</w:t>
      </w:r>
      <w:r>
        <w:rPr>
          <w:b w:val="0"/>
          <w:i w:val="0"/>
          <w:sz w:val="22"/>
        </w:rPr>
        <w:t xml:space="preserve">, and the ownership matrix in </w:t>
      </w:r>
      <w:r>
        <w:rPr>
          <w:rFonts w:ascii="Consolas" w:hAnsi="Consolas"/>
          <w:b w:val="0"/>
          <w:i w:val="0"/>
          <w:sz w:val="20"/>
        </w:rPr>
        <w:t>systems-architecture.md</w:t>
      </w:r>
      <w:r>
        <w:rPr>
          <w:b w:val="0"/>
          <w:i w:val="0"/>
          <w:sz w:val="22"/>
        </w:rPr>
        <w:t>.</w:t>
      </w:r>
    </w:p>
    <w:p>
      <w:pPr>
        <w:spacing w:before="240" w:after="80"/>
      </w:pPr>
      <w:r>
        <w:rPr>
          <w:b/>
          <w:i w:val="0"/>
          <w:color w:val="0FB5A9"/>
          <w:sz w:val="32"/>
        </w:rPr>
        <w:t>Mapping to the lecture weeks</w:t>
      </w:r>
    </w:p>
    <w:p>
      <w:pPr>
        <w:spacing w:after="120"/>
      </w:pPr>
      <w:r>
        <w:rPr>
          <w:b w:val="0"/>
          <w:i w:val="0"/>
          <w:sz w:val="22"/>
        </w:rPr>
        <w:t>The module ran weekly from mid-March to mid-May 2026. The mapping below identifies the lecture material that each deliverable artefact draws from.</w:t>
      </w:r>
    </w:p>
    <w:p>
      <w:pPr>
        <w:spacing w:after="120"/>
      </w:pPr>
      <w:r>
        <w:rPr>
          <w:b/>
          <w:i w:val="0"/>
          <w:sz w:val="22"/>
        </w:rPr>
        <w:t>Week 1 — Course introduction; what architecture is and is not.</w:t>
      </w:r>
      <w:r>
        <w:rPr>
          <w:b w:val="0"/>
          <w:i w:val="0"/>
          <w:sz w:val="22"/>
        </w:rPr>
        <w:t xml:space="preserve"> The introduction to the arc42 spec, especially the framing in §1, draws on this lecture's distinction between architecture and design.</w:t>
      </w:r>
    </w:p>
    <w:p>
      <w:pPr>
        <w:spacing w:after="120"/>
      </w:pPr>
      <w:r>
        <w:rPr>
          <w:b/>
          <w:i w:val="0"/>
          <w:sz w:val="22"/>
        </w:rPr>
        <w:t>Week 2 — Stakeholders, drivers, constraints.</w:t>
      </w:r>
      <w:r>
        <w:rPr>
          <w:b w:val="0"/>
          <w:i w:val="0"/>
          <w:sz w:val="22"/>
        </w:rPr>
        <w:t xml:space="preserve"> The Constraints section of the arc42 spec (§2) and the Risks section (§11) draw on the stakeholder mapping exercise from this lecture.</w:t>
      </w:r>
    </w:p>
    <w:p>
      <w:pPr>
        <w:spacing w:after="120"/>
      </w:pPr>
      <w:r>
        <w:rPr>
          <w:b/>
          <w:i w:val="0"/>
          <w:sz w:val="22"/>
        </w:rPr>
        <w:t>Week 3 — Reference architectures.</w:t>
      </w:r>
      <w:r>
        <w:rPr>
          <w:b w:val="0"/>
          <w:i w:val="0"/>
          <w:sz w:val="22"/>
        </w:rPr>
        <w:t xml:space="preserve"> This week's content is the most heavily cited. the course supervisor introduced client-server, peer-to-peer, pipe-and-filter, layered, event-driven, and microkernel as canonical reference architectures, and walked through how to choose among them based on dominant quality drivers. The choice of client-server with an event-driven core was made in week three and is recorded in ADR-002. Every section of </w:t>
      </w:r>
      <w:r>
        <w:rPr>
          <w:rFonts w:ascii="Consolas" w:hAnsi="Consolas"/>
          <w:b w:val="0"/>
          <w:i w:val="0"/>
          <w:sz w:val="20"/>
        </w:rPr>
        <w:t>systems-architecture.md</w:t>
      </w:r>
      <w:r>
        <w:rPr>
          <w:b w:val="0"/>
          <w:i w:val="0"/>
          <w:sz w:val="22"/>
        </w:rPr>
        <w:t xml:space="preserve"> that names a subsystem boundary leans on the dependency-direction discipline taught in this week.</w:t>
      </w:r>
    </w:p>
    <w:p>
      <w:pPr>
        <w:spacing w:after="120"/>
      </w:pPr>
      <w:r>
        <w:rPr>
          <w:b/>
          <w:i w:val="0"/>
          <w:sz w:val="22"/>
        </w:rPr>
        <w:t>Week 4 — Quality attributes and tactics.</w:t>
      </w:r>
      <w:r>
        <w:rPr>
          <w:b w:val="0"/>
          <w:i w:val="0"/>
          <w:sz w:val="22"/>
        </w:rPr>
        <w:t xml:space="preserve"> This is the second heavily-cited week. The performance, security, and maintainability tactics named in §10 of the arc42 spec and in </w:t>
      </w:r>
      <w:r>
        <w:rPr>
          <w:rFonts w:ascii="Consolas" w:hAnsi="Consolas"/>
          <w:b w:val="0"/>
          <w:i w:val="0"/>
          <w:sz w:val="20"/>
        </w:rPr>
        <w:t>sad-theory-and-roles.md</w:t>
      </w:r>
      <w:r>
        <w:rPr>
          <w:b w:val="0"/>
          <w:i w:val="0"/>
          <w:sz w:val="22"/>
        </w:rPr>
        <w:t xml:space="preserve"> come directly from the Bass/Clements/Kazman tactic catalogue introduced in this lecture.</w:t>
      </w:r>
    </w:p>
    <w:p>
      <w:pPr>
        <w:spacing w:after="120"/>
      </w:pPr>
      <w:r>
        <w:rPr>
          <w:b/>
          <w:i w:val="0"/>
          <w:sz w:val="22"/>
        </w:rPr>
        <w:t>Week 5 — Documentation styles; arc42 walkthrough.</w:t>
      </w:r>
      <w:r>
        <w:rPr>
          <w:b w:val="0"/>
          <w:i w:val="0"/>
          <w:sz w:val="22"/>
        </w:rPr>
        <w:t xml:space="preserve"> The arc42 deliverable is the direct response to this week.</w:t>
      </w:r>
    </w:p>
    <w:p>
      <w:pPr>
        <w:spacing w:after="120"/>
      </w:pPr>
      <w:r>
        <w:rPr>
          <w:b/>
          <w:i w:val="0"/>
          <w:sz w:val="22"/>
        </w:rPr>
        <w:t>Week 6 — ADRs and architectural significance.</w:t>
      </w:r>
      <w:r>
        <w:rPr>
          <w:b w:val="0"/>
          <w:i w:val="0"/>
          <w:sz w:val="22"/>
        </w:rPr>
        <w:t xml:space="preserve"> The three ADRs in the arc42 spec respond to this week, and the framing of "architecturally significant requirement" used in this very document comes from week six.</w:t>
      </w:r>
    </w:p>
    <w:p>
      <w:pPr>
        <w:spacing w:after="120"/>
      </w:pPr>
      <w:r>
        <w:rPr>
          <w:b/>
          <w:i w:val="0"/>
          <w:sz w:val="22"/>
        </w:rPr>
        <w:t>Week 7 — Prototype demos and dry runs.</w:t>
      </w:r>
      <w:r>
        <w:rPr>
          <w:b w:val="0"/>
          <w:i w:val="0"/>
          <w:sz w:val="22"/>
        </w:rPr>
        <w:t xml:space="preserve"> The deliverables portal, the run guide, and the learning guide were produced this week to support the demo. </w:t>
      </w:r>
      <w:r>
        <w:rPr>
          <w:b/>
          <w:i w:val="0"/>
          <w:sz w:val="22"/>
        </w:rPr>
        <w:t>Week 8 (current) — Final report, defence rehearsal, viva.</w:t>
      </w:r>
    </w:p>
    <w:p>
      <w:pPr>
        <w:spacing w:after="120"/>
      </w:pPr>
      <w:r>
        <w:rPr>
          <w:b/>
          <w:i w:val="0"/>
          <w:sz w:val="22"/>
        </w:rPr>
        <w:t>Week 8 — Final report, presentation deck, defence.</w:t>
      </w:r>
      <w:r>
        <w:rPr>
          <w:b w:val="0"/>
          <w:i w:val="0"/>
          <w:sz w:val="22"/>
        </w:rPr>
        <w:t xml:space="preserve"> The presentation deck (separate deliverable) and the defence Q&amp;A preparation (</w:t>
      </w:r>
      <w:r>
        <w:rPr>
          <w:rFonts w:ascii="Consolas" w:hAnsi="Consolas"/>
          <w:b w:val="0"/>
          <w:i w:val="0"/>
          <w:sz w:val="20"/>
        </w:rPr>
        <w:t>LEARNING_GUIDE.md</w:t>
      </w:r>
      <w:r>
        <w:rPr>
          <w:b w:val="0"/>
          <w:i w:val="0"/>
          <w:sz w:val="22"/>
        </w:rPr>
        <w:t>) are produced in this week.</w:t>
      </w:r>
    </w:p>
    <w:p>
      <w:pPr>
        <w:spacing w:before="240" w:after="80"/>
      </w:pPr>
      <w:r>
        <w:rPr>
          <w:b/>
          <w:i w:val="0"/>
          <w:color w:val="0FB5A9"/>
          <w:sz w:val="32"/>
        </w:rPr>
        <w:t>What the prototype does not claim</w:t>
      </w:r>
    </w:p>
    <w:p>
      <w:pPr>
        <w:spacing w:after="120"/>
      </w:pPr>
      <w:r>
        <w:rPr>
          <w:b w:val="0"/>
          <w:i w:val="0"/>
          <w:sz w:val="22"/>
        </w:rPr>
        <w:t>A prototype claims less than a finished system. We name the claims we are not making, so that the examiner can place the work correctly.</w:t>
      </w:r>
    </w:p>
    <w:p>
      <w:pPr>
        <w:spacing w:after="120"/>
      </w:pPr>
      <w:r>
        <w:rPr>
          <w:b w:val="0"/>
          <w:i w:val="0"/>
          <w:sz w:val="22"/>
        </w:rPr>
        <w:t>We do not claim production-grade observability. The metrics endpoint emits enough counters to discuss in the defence; it is not connected to a Grafana stack.</w:t>
      </w:r>
    </w:p>
    <w:p>
      <w:pPr>
        <w:spacing w:after="120"/>
      </w:pPr>
      <w:r>
        <w:rPr>
          <w:b w:val="0"/>
          <w:i w:val="0"/>
          <w:sz w:val="22"/>
        </w:rPr>
        <w:t>We do not claim production-grade security. The auth path uses Google OAuth in the production-mode configuration, but the development provider is also present and is selected by environment variable; a real deployment would remove the development provider from the artefact.</w:t>
      </w:r>
    </w:p>
    <w:p>
      <w:pPr>
        <w:spacing w:after="120"/>
      </w:pPr>
      <w:r>
        <w:rPr>
          <w:b w:val="0"/>
          <w:i w:val="0"/>
          <w:sz w:val="22"/>
        </w:rPr>
        <w:t>We do not claim feature completeness. Several wire envelopes (</w:t>
      </w:r>
      <w:r>
        <w:rPr>
          <w:rFonts w:ascii="Consolas" w:hAnsi="Consolas"/>
          <w:b w:val="0"/>
          <w:i w:val="0"/>
          <w:sz w:val="20"/>
        </w:rPr>
        <w:t>VoiceFrame</w:t>
      </w:r>
      <w:r>
        <w:rPr>
          <w:b w:val="0"/>
          <w:i w:val="0"/>
          <w:sz w:val="22"/>
        </w:rPr>
        <w:t>, parts of the lobby state model) are defined but unused; their existence documents the planned extension surface, not work that we have done.</w:t>
      </w:r>
    </w:p>
    <w:p>
      <w:pPr>
        <w:spacing w:after="120"/>
      </w:pPr>
      <w:r>
        <w:rPr>
          <w:b w:val="0"/>
          <w:i w:val="0"/>
          <w:sz w:val="22"/>
        </w:rPr>
        <w:t>We do not claim test coverage parity across modules. The core module has two tests, the server one, and the client zero. The asymmetry reflects priority during the prototype window: the simulation and the wire are the highest-risk surfaces and so are the only ones covered.</w:t>
      </w:r>
    </w:p>
    <w:p>
      <w:pPr>
        <w:spacing w:before="240" w:after="80"/>
      </w:pPr>
      <w:r>
        <w:rPr>
          <w:b/>
          <w:i w:val="0"/>
          <w:color w:val="0FB5A9"/>
          <w:sz w:val="32"/>
        </w:rPr>
        <w:t>Closing remark</w:t>
      </w:r>
    </w:p>
    <w:p>
      <w:pPr>
        <w:spacing w:after="120"/>
      </w:pPr>
      <w:r>
        <w:rPr>
          <w:b w:val="0"/>
          <w:i w:val="0"/>
          <w:sz w:val="22"/>
        </w:rPr>
        <w:t xml:space="preserve">The course context places the prototype within the course supervisor's pedagogy. The deliverable is not a game we built and then dressed in documentation; it is a documentation programme that happens to compile and run. Every document in the </w:t>
      </w:r>
      <w:r>
        <w:rPr>
          <w:rFonts w:ascii="Consolas" w:hAnsi="Consolas"/>
          <w:b w:val="0"/>
          <w:i w:val="0"/>
          <w:sz w:val="20"/>
        </w:rPr>
        <w:t>deliverables/code-explanation</w:t>
      </w:r>
      <w:r>
        <w:rPr>
          <w:b w:val="0"/>
          <w:i w:val="0"/>
          <w:sz w:val="22"/>
        </w:rPr>
        <w:t xml:space="preserve"> directory exists because the module's learning outcomes demand it, and every Java class in </w:t>
      </w:r>
      <w:r>
        <w:rPr>
          <w:rFonts w:ascii="Consolas" w:hAnsi="Consolas"/>
          <w:b w:val="0"/>
          <w:i w:val="0"/>
          <w:sz w:val="20"/>
        </w:rPr>
        <w:t>src</w:t>
      </w:r>
      <w:r>
        <w:rPr>
          <w:b w:val="0"/>
          <w:i w:val="0"/>
          <w:sz w:val="22"/>
        </w:rPr>
        <w:t xml:space="preserve"> exists because some document references it as the implementing artefact of a named requirement. The bidirectional traceability is the point.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