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5811" w14:textId="2968CA26" w:rsidR="008F0656" w:rsidRPr="008F0656" w:rsidRDefault="008F0656">
      <w:pPr>
        <w:pStyle w:val="Heading1"/>
        <w:pBdr>
          <w:bottom w:val="single" w:sz="8" w:space="4" w:color="2563EB"/>
        </w:pBdr>
        <w:rPr>
          <w:u w:val="single"/>
        </w:rPr>
      </w:pPr>
      <w:r w:rsidRPr="008F0656">
        <w:rPr>
          <w:u w:val="single"/>
        </w:rPr>
        <w:t>REPORT</w:t>
      </w:r>
    </w:p>
    <w:p w14:paraId="65AB2E8C" w14:textId="4F6969D8" w:rsidR="000F6B17" w:rsidRDefault="00000000">
      <w:pPr>
        <w:pStyle w:val="Heading1"/>
        <w:pBdr>
          <w:bottom w:val="single" w:sz="8" w:space="4" w:color="2563EB"/>
        </w:pBdr>
      </w:pPr>
      <w:r>
        <w:t>1. Executive Summary</w:t>
      </w:r>
    </w:p>
    <w:p w14:paraId="7325AFB6" w14:textId="77777777" w:rsidR="000F6B17" w:rsidRPr="008F0656" w:rsidRDefault="00000000">
      <w:pPr>
        <w:spacing w:before="80" w:after="120"/>
        <w:rPr>
          <w:sz w:val="28"/>
          <w:szCs w:val="28"/>
        </w:rPr>
      </w:pPr>
      <w:r w:rsidRPr="008F0656">
        <w:rPr>
          <w:color w:val="000000"/>
          <w:sz w:val="28"/>
          <w:szCs w:val="28"/>
        </w:rPr>
        <w:t xml:space="preserve">This report presents a comprehensive risk assessment of the digital lending portfolio covering FY2022–FY2025. The analysis encompasses 6,089 active, closed, and defaulted loans totalling ₹82.3 Cr in Assets Under Management (AUM), built on end-to-end customer, repayment, and </w:t>
      </w:r>
      <w:proofErr w:type="spellStart"/>
      <w:r w:rsidRPr="008F0656">
        <w:rPr>
          <w:color w:val="000000"/>
          <w:sz w:val="28"/>
          <w:szCs w:val="28"/>
        </w:rPr>
        <w:t>behavioral</w:t>
      </w:r>
      <w:proofErr w:type="spellEnd"/>
      <w:r w:rsidRPr="008F0656">
        <w:rPr>
          <w:color w:val="000000"/>
          <w:sz w:val="28"/>
          <w:szCs w:val="28"/>
        </w:rPr>
        <w:t xml:space="preserve"> data.</w:t>
      </w:r>
    </w:p>
    <w:p w14:paraId="07D2C6D1" w14:textId="5DBCC4B3" w:rsidR="000F6B17" w:rsidRDefault="00000000">
      <w:pPr>
        <w:pStyle w:val="Heading2"/>
      </w:pPr>
      <w:r>
        <w:t xml:space="preserve">Portfolio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F6B17" w14:paraId="006242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1F068" w14:textId="77777777" w:rsidR="000F6B17" w:rsidRDefault="00000000"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>6,089</w:t>
            </w:r>
          </w:p>
          <w:p w14:paraId="7D108D42" w14:textId="77777777" w:rsidR="000F6B17" w:rsidRDefault="00000000">
            <w:pPr>
              <w:spacing w:before="40"/>
              <w:jc w:val="center"/>
            </w:pPr>
            <w:r>
              <w:rPr>
                <w:color w:val="475569"/>
                <w:sz w:val="18"/>
                <w:szCs w:val="18"/>
              </w:rPr>
              <w:t>Total Loans</w:t>
            </w:r>
          </w:p>
        </w:tc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08281D" w14:textId="77777777" w:rsidR="000F6B17" w:rsidRDefault="00000000"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>₹82.3 Cr</w:t>
            </w:r>
          </w:p>
          <w:p w14:paraId="76F7EC93" w14:textId="77777777" w:rsidR="000F6B17" w:rsidRDefault="00000000">
            <w:pPr>
              <w:spacing w:before="40"/>
              <w:jc w:val="center"/>
            </w:pPr>
            <w:r>
              <w:rPr>
                <w:color w:val="475569"/>
                <w:sz w:val="18"/>
                <w:szCs w:val="18"/>
              </w:rPr>
              <w:t>Total AUM</w:t>
            </w:r>
          </w:p>
        </w:tc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3BAFFA" w14:textId="77777777" w:rsidR="000F6B17" w:rsidRDefault="00000000"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>12.4%</w:t>
            </w:r>
          </w:p>
          <w:p w14:paraId="2CDAC4F1" w14:textId="77777777" w:rsidR="000F6B17" w:rsidRDefault="00000000">
            <w:pPr>
              <w:spacing w:before="40"/>
              <w:jc w:val="center"/>
            </w:pPr>
            <w:r>
              <w:rPr>
                <w:color w:val="475569"/>
                <w:sz w:val="18"/>
                <w:szCs w:val="18"/>
              </w:rPr>
              <w:t>Overall Default Rate</w:t>
            </w:r>
          </w:p>
        </w:tc>
        <w:tc>
          <w:tcPr>
            <w:tcW w:w="23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C21117" w14:textId="77777777" w:rsidR="000F6B17" w:rsidRDefault="00000000"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>₹12.0 Cr</w:t>
            </w:r>
          </w:p>
          <w:p w14:paraId="33167A65" w14:textId="77777777" w:rsidR="000F6B17" w:rsidRDefault="00000000">
            <w:pPr>
              <w:spacing w:before="40"/>
              <w:jc w:val="center"/>
            </w:pPr>
            <w:r>
              <w:rPr>
                <w:color w:val="475569"/>
                <w:sz w:val="18"/>
                <w:szCs w:val="18"/>
              </w:rPr>
              <w:t>NPA at Risk</w:t>
            </w:r>
          </w:p>
        </w:tc>
      </w:tr>
    </w:tbl>
    <w:p w14:paraId="54A83D62" w14:textId="77777777" w:rsidR="000F6B17" w:rsidRDefault="00000000">
      <w:r>
        <w:t xml:space="preserve"> </w:t>
      </w:r>
    </w:p>
    <w:p w14:paraId="5547ACD2" w14:textId="77777777" w:rsidR="000F6B17" w:rsidRDefault="00000000">
      <w:pPr>
        <w:pStyle w:val="Heading2"/>
      </w:pPr>
      <w:r>
        <w:t>Three Critical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0656" w14:paraId="6BA8535D" w14:textId="77777777" w:rsidTr="00CA4FC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E1E239" w14:textId="77777777" w:rsidR="008F0656" w:rsidRPr="008F0656" w:rsidRDefault="008F0656" w:rsidP="00CA4FC7">
            <w:pPr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</w:rPr>
              <w:t>Severe Grade D Concentration Risk</w:t>
            </w:r>
          </w:p>
          <w:p w14:paraId="17B0909B" w14:textId="77777777" w:rsidR="008F0656" w:rsidRDefault="008F0656" w:rsidP="00CA4FC7">
            <w:pPr>
              <w:spacing w:before="40"/>
            </w:pPr>
            <w:r>
              <w:rPr>
                <w:sz w:val="21"/>
                <w:szCs w:val="21"/>
              </w:rPr>
              <w:t>40.5% of all loans are Grade D — defaulting at 19.3%, nearly 15x higher than Grade A (1.3%). This single concentration accounts for the majority of the portfolio's ₹12.0 Cr NPA exposure.</w:t>
            </w:r>
          </w:p>
        </w:tc>
      </w:tr>
      <w:tr w:rsidR="008F0656" w14:paraId="6F4672A9" w14:textId="77777777" w:rsidTr="00CA4FC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92F472" w14:textId="77777777" w:rsidR="008F0656" w:rsidRPr="008F0656" w:rsidRDefault="008F0656" w:rsidP="00CA4FC7">
            <w:pPr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</w:rPr>
              <w:t>Gig Worker &amp; Self-Employed Segments Structurally Underpriced</w:t>
            </w:r>
          </w:p>
          <w:p w14:paraId="27B8955A" w14:textId="77777777" w:rsidR="008F0656" w:rsidRDefault="008F0656" w:rsidP="00CA4FC7">
            <w:pPr>
              <w:spacing w:before="40"/>
            </w:pPr>
            <w:r>
              <w:rPr>
                <w:sz w:val="21"/>
                <w:szCs w:val="21"/>
              </w:rPr>
              <w:t>Gig Workers default at 23.0% and Self-Employed at 16.6%, yet both segments are being approved at similar rates to Salaried borrowers (6.7%). Current pricing does not adequately compensate for this risk differential.</w:t>
            </w:r>
          </w:p>
        </w:tc>
      </w:tr>
      <w:tr w:rsidR="008F0656" w14:paraId="2B7E1C0B" w14:textId="77777777" w:rsidTr="00CA4FC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A9BCD8" w14:textId="77777777" w:rsidR="008F0656" w:rsidRPr="008F0656" w:rsidRDefault="008F0656" w:rsidP="00CA4FC7">
            <w:pPr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</w:rPr>
              <w:t>Early Warning System Can Detect 60%+ of Defaults 3 Months Early</w:t>
            </w:r>
          </w:p>
          <w:p w14:paraId="16BEA9A0" w14:textId="77777777" w:rsidR="008F0656" w:rsidRDefault="008F0656" w:rsidP="00CA4FC7">
            <w:pPr>
              <w:spacing w:before="40"/>
            </w:pPr>
            <w:proofErr w:type="spellStart"/>
            <w:r>
              <w:rPr>
                <w:sz w:val="21"/>
                <w:szCs w:val="21"/>
              </w:rPr>
              <w:t>Behavioral</w:t>
            </w:r>
            <w:proofErr w:type="spellEnd"/>
            <w:r>
              <w:rPr>
                <w:sz w:val="21"/>
                <w:szCs w:val="21"/>
              </w:rPr>
              <w:t xml:space="preserve"> signals — balance volatility spikes, spending shocks, and partial payments in months 1–3 — reliably precede formal delinquency. A proactive collections trigger at first 30 DPD event can reduce loss severity materially.</w:t>
            </w:r>
          </w:p>
        </w:tc>
      </w:tr>
    </w:tbl>
    <w:p w14:paraId="4F07FA11" w14:textId="77777777" w:rsidR="000F6B17" w:rsidRDefault="00000000">
      <w:r>
        <w:t xml:space="preserve"> </w:t>
      </w:r>
    </w:p>
    <w:p w14:paraId="001130E7" w14:textId="77777777" w:rsidR="000F6B17" w:rsidRPr="008F0656" w:rsidRDefault="00000000">
      <w:pPr>
        <w:pStyle w:val="Heading2"/>
        <w:rPr>
          <w:color w:val="000000" w:themeColor="text1"/>
        </w:rPr>
      </w:pPr>
      <w:r w:rsidRPr="008F0656">
        <w:rPr>
          <w:color w:val="000000" w:themeColor="text1"/>
        </w:rPr>
        <w:t>Headline Recommendation</w:t>
      </w:r>
    </w:p>
    <w:p w14:paraId="3A94C03A" w14:textId="77777777" w:rsidR="008F0656" w:rsidRPr="008F0656" w:rsidRDefault="008F0656" w:rsidP="008F0656">
      <w:pPr>
        <w:rPr>
          <w:color w:val="000000" w:themeColor="text1"/>
        </w:rPr>
      </w:pPr>
      <w:r w:rsidRPr="008F0656">
        <w:rPr>
          <w:color w:val="000000" w:themeColor="text1"/>
        </w:rPr>
        <w:t xml:space="preserve">Implement a three-pronged risk intervention: </w:t>
      </w:r>
    </w:p>
    <w:p w14:paraId="729818AE" w14:textId="77777777" w:rsidR="008F0656" w:rsidRPr="008F0656" w:rsidRDefault="008F0656" w:rsidP="008F0656">
      <w:pPr>
        <w:rPr>
          <w:color w:val="000000" w:themeColor="text1"/>
        </w:rPr>
      </w:pPr>
    </w:p>
    <w:p w14:paraId="34F85F18" w14:textId="10A5A66B" w:rsidR="008F0656" w:rsidRDefault="008F0656" w:rsidP="008F0656">
      <w:pPr>
        <w:rPr>
          <w:color w:val="000000" w:themeColor="text1"/>
        </w:rPr>
      </w:pPr>
      <w:r w:rsidRPr="008F0656">
        <w:rPr>
          <w:color w:val="000000" w:themeColor="text1"/>
        </w:rPr>
        <w:t>(</w:t>
      </w:r>
      <w:proofErr w:type="gramStart"/>
      <w:r w:rsidRPr="008F0656">
        <w:rPr>
          <w:color w:val="000000" w:themeColor="text1"/>
        </w:rPr>
        <w:t>1)</w:t>
      </w:r>
      <w:r w:rsidRPr="008F0656">
        <w:rPr>
          <w:color w:val="000000" w:themeColor="text1"/>
        </w:rPr>
        <w:t>Cap</w:t>
      </w:r>
      <w:proofErr w:type="gramEnd"/>
      <w:r w:rsidRPr="008F0656">
        <w:rPr>
          <w:color w:val="000000" w:themeColor="text1"/>
        </w:rPr>
        <w:t xml:space="preserve"> Grade D approvals at 25% of monthly originations</w:t>
      </w:r>
    </w:p>
    <w:p w14:paraId="0FA17317" w14:textId="77777777" w:rsidR="008F0656" w:rsidRPr="008F0656" w:rsidRDefault="008F0656" w:rsidP="008F0656">
      <w:pPr>
        <w:rPr>
          <w:color w:val="000000" w:themeColor="text1"/>
        </w:rPr>
      </w:pPr>
    </w:p>
    <w:p w14:paraId="3510D8EF" w14:textId="0A45BF5C" w:rsidR="008F0656" w:rsidRDefault="008F0656" w:rsidP="008F0656">
      <w:pPr>
        <w:rPr>
          <w:color w:val="000000" w:themeColor="text1"/>
        </w:rPr>
      </w:pPr>
      <w:r w:rsidRPr="008F0656">
        <w:rPr>
          <w:color w:val="000000" w:themeColor="text1"/>
        </w:rPr>
        <w:t xml:space="preserve"> (2) Apply stricter income verification for Gig Workers and Self-Employed borrowers</w:t>
      </w:r>
    </w:p>
    <w:p w14:paraId="1CD5FAA9" w14:textId="77777777" w:rsidR="008F0656" w:rsidRPr="008F0656" w:rsidRDefault="008F0656" w:rsidP="008F0656">
      <w:pPr>
        <w:rPr>
          <w:color w:val="000000" w:themeColor="text1"/>
        </w:rPr>
      </w:pPr>
    </w:p>
    <w:p w14:paraId="2D44935B" w14:textId="3764E779" w:rsidR="008F0656" w:rsidRPr="008F0656" w:rsidRDefault="008F0656" w:rsidP="008F0656">
      <w:pPr>
        <w:rPr>
          <w:color w:val="000000" w:themeColor="text1"/>
        </w:rPr>
      </w:pPr>
      <w:r w:rsidRPr="008F0656">
        <w:rPr>
          <w:color w:val="000000" w:themeColor="text1"/>
        </w:rPr>
        <w:t xml:space="preserve">(3) Deploy </w:t>
      </w:r>
      <w:proofErr w:type="spellStart"/>
      <w:r w:rsidRPr="008F0656">
        <w:rPr>
          <w:color w:val="000000" w:themeColor="text1"/>
        </w:rPr>
        <w:t>behavioral</w:t>
      </w:r>
      <w:proofErr w:type="spellEnd"/>
      <w:r w:rsidRPr="008F0656">
        <w:rPr>
          <w:color w:val="000000" w:themeColor="text1"/>
        </w:rPr>
        <w:t xml:space="preserve"> early warning triggers at first 30 DPD event. Projected impact: 1.8–2.2% reduction in portfolio NPA rate within 2 quarters.</w:t>
      </w:r>
    </w:p>
    <w:p w14:paraId="6C40BE0D" w14:textId="77777777" w:rsidR="000F6B17" w:rsidRDefault="00000000">
      <w:r>
        <w:br w:type="page"/>
      </w:r>
    </w:p>
    <w:p w14:paraId="0AC7E260" w14:textId="77777777" w:rsidR="000F6B17" w:rsidRPr="008F0656" w:rsidRDefault="00000000">
      <w:pPr>
        <w:pStyle w:val="Heading1"/>
        <w:pBdr>
          <w:bottom w:val="single" w:sz="8" w:space="4" w:color="2563EB"/>
        </w:pBdr>
        <w:rPr>
          <w:color w:val="000000" w:themeColor="text1"/>
        </w:rPr>
      </w:pPr>
      <w:r w:rsidRPr="008F0656">
        <w:rPr>
          <w:color w:val="000000" w:themeColor="text1"/>
        </w:rPr>
        <w:lastRenderedPageBreak/>
        <w:t>2. Risk Segmentation Findings</w:t>
      </w:r>
    </w:p>
    <w:p w14:paraId="314434D9" w14:textId="77777777" w:rsidR="000F6B17" w:rsidRPr="008F0656" w:rsidRDefault="00000000">
      <w:pPr>
        <w:pStyle w:val="Heading2"/>
        <w:rPr>
          <w:color w:val="000000" w:themeColor="text1"/>
        </w:rPr>
      </w:pPr>
      <w:r w:rsidRPr="008F0656">
        <w:rPr>
          <w:color w:val="000000" w:themeColor="text1"/>
        </w:rPr>
        <w:t>2.1 Risk Grade Analysis</w:t>
      </w:r>
    </w:p>
    <w:p w14:paraId="20AC369C" w14:textId="77777777" w:rsidR="000F6B17" w:rsidRDefault="00000000">
      <w:pPr>
        <w:spacing w:before="80" w:after="120"/>
        <w:rPr>
          <w:color w:val="000000"/>
          <w:sz w:val="28"/>
          <w:szCs w:val="28"/>
        </w:rPr>
      </w:pPr>
      <w:r w:rsidRPr="008F0656">
        <w:rPr>
          <w:color w:val="000000"/>
          <w:sz w:val="28"/>
          <w:szCs w:val="28"/>
        </w:rPr>
        <w:t>The portfolio's risk grading system demonstrates strong discriminatory power — default rates increase monotonically from Grade A to Grade D. However, the concentration of 40.5% of loans in Grade D represents a structural vulnerability.</w:t>
      </w:r>
    </w:p>
    <w:p w14:paraId="04CD8E0C" w14:textId="77777777" w:rsidR="008F0656" w:rsidRPr="008F0656" w:rsidRDefault="008F0656">
      <w:pPr>
        <w:spacing w:before="80" w:after="12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800"/>
        <w:gridCol w:w="1800"/>
        <w:gridCol w:w="2000"/>
        <w:gridCol w:w="2200"/>
      </w:tblGrid>
      <w:tr w:rsidR="000F6B17" w:rsidRPr="008F0656" w14:paraId="7F452C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5CCAD" w14:textId="77777777" w:rsidR="000F6B17" w:rsidRPr="008F0656" w:rsidRDefault="00000000">
            <w:pPr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  <w:sz w:val="20"/>
                <w:szCs w:val="20"/>
              </w:rPr>
              <w:t>Grade 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9ED8E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302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B18DC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5.0%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57335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  <w:sz w:val="20"/>
                <w:szCs w:val="20"/>
              </w:rPr>
              <w:t>1.3%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19671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₹5.3 Cr</w:t>
            </w:r>
          </w:p>
        </w:tc>
      </w:tr>
      <w:tr w:rsidR="000F6B17" w:rsidRPr="008F0656" w14:paraId="192496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7F761" w14:textId="77777777" w:rsidR="000F6B17" w:rsidRPr="008F0656" w:rsidRDefault="00000000">
            <w:pPr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  <w:sz w:val="20"/>
                <w:szCs w:val="20"/>
              </w:rPr>
              <w:t>Grade 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A01E7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1,756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7E791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28.8%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B67B1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  <w:sz w:val="20"/>
                <w:szCs w:val="20"/>
              </w:rPr>
              <w:t>5.4%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5A5C1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₹25.7 Cr</w:t>
            </w:r>
          </w:p>
        </w:tc>
      </w:tr>
      <w:tr w:rsidR="000F6B17" w:rsidRPr="008F0656" w14:paraId="527BE2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638B3" w14:textId="77777777" w:rsidR="000F6B17" w:rsidRPr="008F0656" w:rsidRDefault="00000000">
            <w:pPr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  <w:sz w:val="20"/>
                <w:szCs w:val="20"/>
              </w:rPr>
              <w:t>Grade C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9FE20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1,567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6D5F6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25.7%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B0B04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  <w:sz w:val="20"/>
                <w:szCs w:val="20"/>
              </w:rPr>
              <w:t>11.7%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291B1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₹21.6 Cr</w:t>
            </w:r>
          </w:p>
        </w:tc>
      </w:tr>
      <w:tr w:rsidR="000F6B17" w:rsidRPr="008F0656" w14:paraId="6BBD098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5F8F2" w14:textId="77777777" w:rsidR="000F6B17" w:rsidRPr="008F0656" w:rsidRDefault="00000000">
            <w:pPr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  <w:sz w:val="20"/>
                <w:szCs w:val="20"/>
              </w:rPr>
              <w:t>Grade 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C5406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2,464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04A9E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  <w:sz w:val="20"/>
                <w:szCs w:val="20"/>
              </w:rPr>
              <w:t>40.5%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B3A1B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b/>
                <w:bCs/>
                <w:color w:val="000000" w:themeColor="text1"/>
                <w:sz w:val="20"/>
                <w:szCs w:val="20"/>
              </w:rPr>
              <w:t>19.3%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10C2E" w14:textId="77777777" w:rsidR="000F6B17" w:rsidRPr="008F0656" w:rsidRDefault="00000000">
            <w:pPr>
              <w:jc w:val="center"/>
              <w:rPr>
                <w:color w:val="000000" w:themeColor="text1"/>
              </w:rPr>
            </w:pPr>
            <w:r w:rsidRPr="008F0656">
              <w:rPr>
                <w:color w:val="000000" w:themeColor="text1"/>
                <w:sz w:val="20"/>
                <w:szCs w:val="20"/>
              </w:rPr>
              <w:t>₹29.8 Cr</w:t>
            </w:r>
          </w:p>
        </w:tc>
      </w:tr>
    </w:tbl>
    <w:p w14:paraId="4E23E240" w14:textId="77777777" w:rsidR="000F6B17" w:rsidRDefault="00000000">
      <w:r>
        <w:t xml:space="preserve"> </w:t>
      </w:r>
    </w:p>
    <w:p w14:paraId="5AAD9992" w14:textId="77777777" w:rsidR="00421FCA" w:rsidRDefault="00421FCA">
      <w:pPr>
        <w:pStyle w:val="Heading2"/>
      </w:pPr>
    </w:p>
    <w:p w14:paraId="51AB9979" w14:textId="516CEC2F" w:rsidR="000F6B17" w:rsidRPr="00421FCA" w:rsidRDefault="00000000">
      <w:pPr>
        <w:pStyle w:val="Heading2"/>
        <w:rPr>
          <w:color w:val="000000" w:themeColor="text1"/>
        </w:rPr>
      </w:pPr>
      <w:r w:rsidRPr="00421FCA">
        <w:rPr>
          <w:color w:val="000000" w:themeColor="text1"/>
        </w:rPr>
        <w:t>2.2 Customer Segments</w:t>
      </w:r>
    </w:p>
    <w:p w14:paraId="3F2BAA32" w14:textId="77777777" w:rsidR="000F6B17" w:rsidRDefault="00000000">
      <w:pPr>
        <w:spacing w:before="80" w:after="100"/>
        <w:rPr>
          <w:color w:val="000000" w:themeColor="text1"/>
          <w:sz w:val="32"/>
          <w:szCs w:val="32"/>
        </w:rPr>
      </w:pPr>
      <w:r w:rsidRPr="00421FCA">
        <w:rPr>
          <w:color w:val="000000" w:themeColor="text1"/>
          <w:sz w:val="32"/>
          <w:szCs w:val="32"/>
        </w:rPr>
        <w:t xml:space="preserve">K-Means clustering on risk, </w:t>
      </w:r>
      <w:proofErr w:type="spellStart"/>
      <w:r w:rsidRPr="00421FCA">
        <w:rPr>
          <w:color w:val="000000" w:themeColor="text1"/>
          <w:sz w:val="32"/>
          <w:szCs w:val="32"/>
        </w:rPr>
        <w:t>behavioral</w:t>
      </w:r>
      <w:proofErr w:type="spellEnd"/>
      <w:r w:rsidRPr="00421FCA">
        <w:rPr>
          <w:color w:val="000000" w:themeColor="text1"/>
          <w:sz w:val="32"/>
          <w:szCs w:val="32"/>
        </w:rPr>
        <w:t>, and affordability dimensions identified four distinct borrower profiles:</w:t>
      </w:r>
    </w:p>
    <w:p w14:paraId="709BA2CA" w14:textId="77777777" w:rsidR="00421FCA" w:rsidRPr="00421FCA" w:rsidRDefault="00421FCA">
      <w:pPr>
        <w:spacing w:before="80" w:after="100"/>
        <w:rPr>
          <w:color w:val="000000" w:themeColor="text1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600"/>
        <w:gridCol w:w="1800"/>
        <w:gridCol w:w="2360"/>
      </w:tblGrid>
      <w:tr w:rsidR="000F6B17" w:rsidRPr="00421FCA" w14:paraId="45CBA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3FF12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Prime Borrowers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D4230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1,456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10488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0.0%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787C2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741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FF9B7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High score, stable income, low stress</w:t>
            </w:r>
          </w:p>
        </w:tc>
      </w:tr>
      <w:tr w:rsidR="000F6B17" w:rsidRPr="00421FCA" w14:paraId="1EECD3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0C4F9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Emerging Borrowers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15EAC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2,460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9BAA2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6.8%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9C401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665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10440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Mid-range, building credit history</w:t>
            </w:r>
          </w:p>
        </w:tc>
      </w:tr>
      <w:tr w:rsidR="000F6B17" w:rsidRPr="00421FCA" w14:paraId="11D53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433AD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Stressed Borrowers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F5ED8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2,146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66CFE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26.7%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03505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597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EFE78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Below 620, high volatility, DPD trend rising</w:t>
            </w:r>
          </w:p>
        </w:tc>
      </w:tr>
      <w:tr w:rsidR="000F6B17" w:rsidRPr="00421FCA" w14:paraId="40F6D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DFA85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High Risk Borrowers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081CE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08C3D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63.0%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0AFD1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612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5AC7C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Chronic stress, multiple shocks, missed EMIs</w:t>
            </w:r>
          </w:p>
        </w:tc>
      </w:tr>
    </w:tbl>
    <w:p w14:paraId="588D1B71" w14:textId="77777777" w:rsidR="000F6B17" w:rsidRDefault="00000000">
      <w:r>
        <w:t xml:space="preserve"> </w:t>
      </w:r>
    </w:p>
    <w:p w14:paraId="14B79150" w14:textId="77777777" w:rsidR="00421FCA" w:rsidRDefault="00421FCA">
      <w:pPr>
        <w:pStyle w:val="Heading2"/>
      </w:pPr>
    </w:p>
    <w:p w14:paraId="3862A3F4" w14:textId="1DC11E64" w:rsidR="000F6B17" w:rsidRPr="00421FCA" w:rsidRDefault="00000000">
      <w:pPr>
        <w:pStyle w:val="Heading2"/>
        <w:rPr>
          <w:color w:val="000000" w:themeColor="text1"/>
        </w:rPr>
      </w:pPr>
      <w:r w:rsidRPr="00421FCA">
        <w:rPr>
          <w:color w:val="000000" w:themeColor="text1"/>
        </w:rPr>
        <w:t>2.3 Employment &amp; Product Risk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6B17" w14:paraId="65EBFD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8A2AE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</w:rPr>
              <w:t>Default Rate by Employment Type</w:t>
            </w:r>
          </w:p>
          <w:p w14:paraId="06C5BB4A" w14:textId="77777777" w:rsidR="000F6B17" w:rsidRPr="00421FCA" w:rsidRDefault="00000000">
            <w:pPr>
              <w:spacing w:before="60" w:after="60"/>
              <w:rPr>
                <w:color w:val="000000" w:themeColor="text1"/>
              </w:rPr>
            </w:pPr>
            <w:r w:rsidRPr="00421FCA">
              <w:rPr>
                <w:rFonts w:ascii="Courier New" w:eastAsia="Courier New" w:hAnsi="Courier New" w:cs="Courier New"/>
                <w:color w:val="000000" w:themeColor="text1"/>
              </w:rPr>
              <w:t xml:space="preserve">Gig Worker          </w:t>
            </w:r>
            <w:r w:rsidRPr="00421FCA">
              <w:rPr>
                <w:b/>
                <w:bCs/>
                <w:color w:val="000000" w:themeColor="text1"/>
              </w:rPr>
              <w:t>23.0%</w:t>
            </w:r>
          </w:p>
          <w:p w14:paraId="6AAEC3B2" w14:textId="77777777" w:rsidR="000F6B17" w:rsidRPr="00421FCA" w:rsidRDefault="00000000">
            <w:pPr>
              <w:spacing w:before="60" w:after="60"/>
              <w:rPr>
                <w:color w:val="000000" w:themeColor="text1"/>
              </w:rPr>
            </w:pPr>
            <w:r w:rsidRPr="00421FCA">
              <w:rPr>
                <w:rFonts w:ascii="Courier New" w:eastAsia="Courier New" w:hAnsi="Courier New" w:cs="Courier New"/>
                <w:color w:val="000000" w:themeColor="text1"/>
              </w:rPr>
              <w:t xml:space="preserve">Self-Employed       </w:t>
            </w:r>
            <w:r w:rsidRPr="00421FCA">
              <w:rPr>
                <w:b/>
                <w:bCs/>
                <w:color w:val="000000" w:themeColor="text1"/>
              </w:rPr>
              <w:t>16.6%</w:t>
            </w:r>
          </w:p>
          <w:p w14:paraId="4D967E3F" w14:textId="77777777" w:rsidR="000F6B17" w:rsidRPr="00421FCA" w:rsidRDefault="00000000">
            <w:pPr>
              <w:spacing w:before="60" w:after="60"/>
              <w:rPr>
                <w:color w:val="000000" w:themeColor="text1"/>
              </w:rPr>
            </w:pPr>
            <w:r w:rsidRPr="00421FCA">
              <w:rPr>
                <w:rFonts w:ascii="Courier New" w:eastAsia="Courier New" w:hAnsi="Courier New" w:cs="Courier New"/>
                <w:color w:val="000000" w:themeColor="text1"/>
              </w:rPr>
              <w:t xml:space="preserve">SME Owner           </w:t>
            </w:r>
            <w:r w:rsidRPr="00421FCA">
              <w:rPr>
                <w:b/>
                <w:bCs/>
                <w:color w:val="000000" w:themeColor="text1"/>
              </w:rPr>
              <w:t>11.6%</w:t>
            </w:r>
          </w:p>
          <w:p w14:paraId="21761706" w14:textId="77777777" w:rsidR="000F6B17" w:rsidRPr="00421FCA" w:rsidRDefault="00000000">
            <w:pPr>
              <w:spacing w:before="60" w:after="60"/>
              <w:rPr>
                <w:color w:val="000000" w:themeColor="text1"/>
              </w:rPr>
            </w:pPr>
            <w:r w:rsidRPr="00421FCA">
              <w:rPr>
                <w:rFonts w:ascii="Courier New" w:eastAsia="Courier New" w:hAnsi="Courier New" w:cs="Courier New"/>
                <w:color w:val="000000" w:themeColor="text1"/>
              </w:rPr>
              <w:t xml:space="preserve">Salaried            </w:t>
            </w:r>
            <w:r w:rsidRPr="00421FCA">
              <w:rPr>
                <w:b/>
                <w:bCs/>
                <w:color w:val="000000" w:themeColor="text1"/>
              </w:rPr>
              <w:t>6.7%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DF661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</w:rPr>
              <w:t>Default Rate by Product Type</w:t>
            </w:r>
          </w:p>
          <w:p w14:paraId="11C1BFBB" w14:textId="77777777" w:rsidR="000F6B17" w:rsidRPr="00421FCA" w:rsidRDefault="00000000">
            <w:pPr>
              <w:spacing w:before="60" w:after="60"/>
              <w:rPr>
                <w:color w:val="000000" w:themeColor="text1"/>
              </w:rPr>
            </w:pPr>
            <w:r w:rsidRPr="00421FCA">
              <w:rPr>
                <w:rFonts w:ascii="Courier New" w:eastAsia="Courier New" w:hAnsi="Courier New" w:cs="Courier New"/>
                <w:color w:val="000000" w:themeColor="text1"/>
              </w:rPr>
              <w:t xml:space="preserve">Personal Loan         </w:t>
            </w:r>
            <w:r w:rsidRPr="00421FCA">
              <w:rPr>
                <w:b/>
                <w:bCs/>
                <w:color w:val="000000" w:themeColor="text1"/>
              </w:rPr>
              <w:t>18.8%</w:t>
            </w:r>
          </w:p>
          <w:p w14:paraId="50E53044" w14:textId="77777777" w:rsidR="000F6B17" w:rsidRPr="00421FCA" w:rsidRDefault="00000000">
            <w:pPr>
              <w:spacing w:before="60" w:after="60"/>
              <w:rPr>
                <w:color w:val="000000" w:themeColor="text1"/>
              </w:rPr>
            </w:pPr>
            <w:r w:rsidRPr="00421FCA">
              <w:rPr>
                <w:rFonts w:ascii="Courier New" w:eastAsia="Courier New" w:hAnsi="Courier New" w:cs="Courier New"/>
                <w:color w:val="000000" w:themeColor="text1"/>
              </w:rPr>
              <w:t xml:space="preserve">SME Working Capital   </w:t>
            </w:r>
            <w:r w:rsidRPr="00421FCA">
              <w:rPr>
                <w:b/>
                <w:bCs/>
                <w:color w:val="000000" w:themeColor="text1"/>
              </w:rPr>
              <w:t>13.3%</w:t>
            </w:r>
          </w:p>
          <w:p w14:paraId="0379778D" w14:textId="77777777" w:rsidR="000F6B17" w:rsidRPr="00421FCA" w:rsidRDefault="00000000">
            <w:pPr>
              <w:spacing w:before="60" w:after="60"/>
              <w:rPr>
                <w:color w:val="000000" w:themeColor="text1"/>
              </w:rPr>
            </w:pPr>
            <w:r w:rsidRPr="00421FCA">
              <w:rPr>
                <w:rFonts w:ascii="Courier New" w:eastAsia="Courier New" w:hAnsi="Courier New" w:cs="Courier New"/>
                <w:color w:val="000000" w:themeColor="text1"/>
              </w:rPr>
              <w:t xml:space="preserve">BNPL                  </w:t>
            </w:r>
            <w:r w:rsidRPr="00421FCA">
              <w:rPr>
                <w:b/>
                <w:bCs/>
                <w:color w:val="000000" w:themeColor="text1"/>
              </w:rPr>
              <w:t>0.7%</w:t>
            </w:r>
          </w:p>
        </w:tc>
      </w:tr>
    </w:tbl>
    <w:p w14:paraId="4FEDB034" w14:textId="119A1E5C" w:rsidR="000F6B17" w:rsidRDefault="00000000" w:rsidP="00421FCA">
      <w:r>
        <w:br w:type="page"/>
      </w:r>
      <w:r w:rsidRPr="00421FCA">
        <w:rPr>
          <w:b/>
          <w:bCs/>
          <w:color w:val="000000" w:themeColor="text1"/>
          <w:sz w:val="32"/>
          <w:szCs w:val="32"/>
        </w:rPr>
        <w:lastRenderedPageBreak/>
        <w:t>3. Early Warning Signal Logic</w:t>
      </w:r>
    </w:p>
    <w:p w14:paraId="6C8DA06B" w14:textId="77777777" w:rsidR="000F6B17" w:rsidRPr="00421FCA" w:rsidRDefault="00000000">
      <w:pPr>
        <w:spacing w:before="80" w:after="120"/>
        <w:rPr>
          <w:sz w:val="32"/>
          <w:szCs w:val="32"/>
        </w:rPr>
      </w:pPr>
      <w:r w:rsidRPr="00421FCA">
        <w:rPr>
          <w:color w:val="000000"/>
          <w:sz w:val="32"/>
          <w:szCs w:val="32"/>
        </w:rPr>
        <w:t>The Early Warning System (EWS) is designed to identify loans at risk of default 2–3 months before formal delinquency materialises. It operates on three signal tiers:</w:t>
      </w:r>
    </w:p>
    <w:p w14:paraId="1050076F" w14:textId="77777777" w:rsidR="000F6B17" w:rsidRDefault="00000000">
      <w:pPr>
        <w:pStyle w:val="Heading2"/>
        <w:rPr>
          <w:color w:val="000000" w:themeColor="text1"/>
        </w:rPr>
      </w:pPr>
      <w:r w:rsidRPr="00421FCA">
        <w:rPr>
          <w:color w:val="000000" w:themeColor="text1"/>
        </w:rPr>
        <w:t>3.1 Signal Tiers</w:t>
      </w:r>
    </w:p>
    <w:p w14:paraId="6FC46D70" w14:textId="77777777" w:rsidR="00421FCA" w:rsidRPr="00421FCA" w:rsidRDefault="00421FCA">
      <w:pPr>
        <w:pStyle w:val="Heading2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560"/>
        <w:gridCol w:w="2600"/>
      </w:tblGrid>
      <w:tr w:rsidR="000F6B17" w:rsidRPr="00421FCA" w14:paraId="7B133D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36573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Tier 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7EF00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Repayment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8C783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DPD &gt; 0 in EMI month 1 or 2, OR partial payment in first 3 EMIs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AD7BD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Automated SMS + relationship manager outreach</w:t>
            </w:r>
          </w:p>
        </w:tc>
      </w:tr>
      <w:tr w:rsidR="000F6B17" w:rsidRPr="00421FCA" w14:paraId="4BC92C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51BFC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Tier 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F6A97" w14:textId="77777777" w:rsidR="000F6B17" w:rsidRPr="00421FCA" w:rsidRDefault="00000000">
            <w:pPr>
              <w:rPr>
                <w:color w:val="000000" w:themeColor="text1"/>
              </w:rPr>
            </w:pPr>
            <w:proofErr w:type="spellStart"/>
            <w:r w:rsidRPr="00421FCA">
              <w:rPr>
                <w:color w:val="000000" w:themeColor="text1"/>
                <w:sz w:val="20"/>
                <w:szCs w:val="20"/>
              </w:rPr>
              <w:t>Behavioral</w:t>
            </w:r>
            <w:proofErr w:type="spellEnd"/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8E6BE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Balance volatility &gt; 2x baseline OR spending shocks &gt; 3 in 6 months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8D03B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Collections team flag + payment plan offer</w:t>
            </w:r>
          </w:p>
        </w:tc>
      </w:tr>
      <w:tr w:rsidR="000F6B17" w:rsidRPr="00421FCA" w14:paraId="0CE3BF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36FAA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Tier 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FBAE8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Critical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20A5C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DPD &gt;= 30 in any month OR missed EMI OR stress score &gt; 0.6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4281D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Immediate collections escalation + restructuring review</w:t>
            </w:r>
          </w:p>
        </w:tc>
      </w:tr>
    </w:tbl>
    <w:p w14:paraId="182F7E04" w14:textId="77777777" w:rsidR="000F6B17" w:rsidRPr="00421FCA" w:rsidRDefault="00000000">
      <w:pPr>
        <w:rPr>
          <w:color w:val="000000" w:themeColor="text1"/>
        </w:rPr>
      </w:pPr>
      <w:r w:rsidRPr="00421FCA">
        <w:rPr>
          <w:color w:val="000000" w:themeColor="text1"/>
        </w:rPr>
        <w:t xml:space="preserve"> </w:t>
      </w:r>
    </w:p>
    <w:p w14:paraId="78AB41D9" w14:textId="5D0A23C2" w:rsidR="00421FCA" w:rsidRPr="00421FCA" w:rsidRDefault="00000000">
      <w:pPr>
        <w:pStyle w:val="Heading2"/>
        <w:rPr>
          <w:color w:val="000000" w:themeColor="text1"/>
        </w:rPr>
      </w:pPr>
      <w:r w:rsidRPr="00421FCA">
        <w:rPr>
          <w:color w:val="000000" w:themeColor="text1"/>
        </w:rPr>
        <w:t>3.2 Model Performance</w:t>
      </w:r>
    </w:p>
    <w:p w14:paraId="77078CDB" w14:textId="77777777" w:rsidR="000F6B17" w:rsidRDefault="00000000">
      <w:pPr>
        <w:spacing w:before="80" w:after="100"/>
        <w:rPr>
          <w:color w:val="000000" w:themeColor="text1"/>
          <w:sz w:val="32"/>
          <w:szCs w:val="32"/>
        </w:rPr>
      </w:pPr>
      <w:r w:rsidRPr="00421FCA">
        <w:rPr>
          <w:color w:val="000000" w:themeColor="text1"/>
          <w:sz w:val="32"/>
          <w:szCs w:val="32"/>
        </w:rPr>
        <w:t xml:space="preserve">The </w:t>
      </w:r>
      <w:proofErr w:type="spellStart"/>
      <w:r w:rsidRPr="00421FCA">
        <w:rPr>
          <w:color w:val="000000" w:themeColor="text1"/>
          <w:sz w:val="32"/>
          <w:szCs w:val="32"/>
        </w:rPr>
        <w:t>XGBoost</w:t>
      </w:r>
      <w:proofErr w:type="spellEnd"/>
      <w:r w:rsidRPr="00421FCA">
        <w:rPr>
          <w:color w:val="000000" w:themeColor="text1"/>
          <w:sz w:val="32"/>
          <w:szCs w:val="32"/>
        </w:rPr>
        <w:t>-based default prediction model achieved strong discriminatory performance across both full-feature and early-feature configurations:</w:t>
      </w:r>
    </w:p>
    <w:p w14:paraId="393988F0" w14:textId="77777777" w:rsidR="00421FCA" w:rsidRPr="00421FCA" w:rsidRDefault="00421FCA">
      <w:pPr>
        <w:spacing w:before="80" w:after="100"/>
        <w:rPr>
          <w:color w:val="000000" w:themeColor="text1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2000"/>
        <w:gridCol w:w="1860"/>
      </w:tblGrid>
      <w:tr w:rsidR="000F6B17" w:rsidRPr="00421FCA" w14:paraId="26A4C0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DBA50" w14:textId="77777777" w:rsidR="000F6B17" w:rsidRPr="00421FC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Logistic Regression (Baseline)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16933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~0.82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DB713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All features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51CF6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Benchmark</w:t>
            </w:r>
          </w:p>
        </w:tc>
      </w:tr>
      <w:tr w:rsidR="000F6B17" w:rsidRPr="00421FCA" w14:paraId="3DBCBD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0158C" w14:textId="77777777" w:rsidR="000F6B17" w:rsidRPr="00421FCA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Random Forest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762E4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~0.89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9A629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All features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84ADD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Scoring</w:t>
            </w:r>
          </w:p>
        </w:tc>
      </w:tr>
      <w:tr w:rsidR="000F6B17" w:rsidRPr="00421FCA" w14:paraId="6CF082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34138" w14:textId="77777777" w:rsidR="000F6B17" w:rsidRPr="00421FCA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21FCA">
              <w:rPr>
                <w:color w:val="000000" w:themeColor="text1"/>
                <w:sz w:val="24"/>
                <w:szCs w:val="24"/>
              </w:rPr>
              <w:t>XGBoost</w:t>
            </w:r>
            <w:proofErr w:type="spellEnd"/>
            <w:r w:rsidRPr="00421FCA">
              <w:rPr>
                <w:color w:val="000000" w:themeColor="text1"/>
                <w:sz w:val="24"/>
                <w:szCs w:val="24"/>
              </w:rPr>
              <w:t xml:space="preserve"> (Full)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9C634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~0.92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58FF5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All features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08664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Primary model</w:t>
            </w:r>
          </w:p>
        </w:tc>
      </w:tr>
      <w:tr w:rsidR="000F6B17" w:rsidRPr="00421FCA" w14:paraId="3D053D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499C0" w14:textId="77777777" w:rsidR="000F6B17" w:rsidRPr="00421FCA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21FCA">
              <w:rPr>
                <w:color w:val="000000" w:themeColor="text1"/>
                <w:sz w:val="24"/>
                <w:szCs w:val="24"/>
              </w:rPr>
              <w:t>XGBoost</w:t>
            </w:r>
            <w:proofErr w:type="spellEnd"/>
            <w:r w:rsidRPr="00421FCA">
              <w:rPr>
                <w:color w:val="000000" w:themeColor="text1"/>
                <w:sz w:val="24"/>
                <w:szCs w:val="24"/>
              </w:rPr>
              <w:t xml:space="preserve"> (Early Warning)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B35CA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~0.87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B5476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Months 1-3 only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3F0AE" w14:textId="77777777" w:rsidR="000F6B17" w:rsidRPr="00421FCA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21FCA">
              <w:rPr>
                <w:color w:val="000000" w:themeColor="text1"/>
                <w:sz w:val="24"/>
                <w:szCs w:val="24"/>
              </w:rPr>
              <w:t>3-month early alert</w:t>
            </w:r>
          </w:p>
        </w:tc>
      </w:tr>
    </w:tbl>
    <w:p w14:paraId="0D2074E2" w14:textId="77777777" w:rsidR="000F6B17" w:rsidRPr="00421FCA" w:rsidRDefault="00000000">
      <w:pPr>
        <w:rPr>
          <w:sz w:val="24"/>
          <w:szCs w:val="24"/>
        </w:rPr>
      </w:pPr>
      <w:r w:rsidRPr="00421FCA">
        <w:rPr>
          <w:sz w:val="24"/>
          <w:szCs w:val="24"/>
        </w:rPr>
        <w:t xml:space="preserve"> </w:t>
      </w:r>
    </w:p>
    <w:p w14:paraId="3130B74D" w14:textId="77777777" w:rsidR="000F6B17" w:rsidRPr="00421FCA" w:rsidRDefault="00000000">
      <w:pPr>
        <w:pStyle w:val="Heading2"/>
        <w:rPr>
          <w:color w:val="000000" w:themeColor="text1"/>
        </w:rPr>
      </w:pPr>
      <w:r w:rsidRPr="00421FCA">
        <w:rPr>
          <w:color w:val="000000" w:themeColor="text1"/>
        </w:rPr>
        <w:t>3.3 Top Default Predictors</w:t>
      </w:r>
    </w:p>
    <w:p w14:paraId="08D953D1" w14:textId="77777777" w:rsidR="00421FCA" w:rsidRPr="00421FCA" w:rsidRDefault="00421FCA">
      <w:pPr>
        <w:spacing w:before="80" w:after="100"/>
        <w:rPr>
          <w:color w:val="000000" w:themeColor="text1"/>
          <w:sz w:val="32"/>
          <w:szCs w:val="32"/>
        </w:rPr>
      </w:pPr>
    </w:p>
    <w:p w14:paraId="30E0E590" w14:textId="77777777" w:rsidR="000F6B17" w:rsidRPr="00421FCA" w:rsidRDefault="00000000">
      <w:pPr>
        <w:pStyle w:val="ListParagraph"/>
        <w:numPr>
          <w:ilvl w:val="0"/>
          <w:numId w:val="2"/>
        </w:numPr>
        <w:spacing w:before="80" w:after="80"/>
        <w:rPr>
          <w:color w:val="000000" w:themeColor="text1"/>
          <w:sz w:val="28"/>
          <w:szCs w:val="28"/>
        </w:rPr>
      </w:pPr>
      <w:r w:rsidRPr="00421FCA">
        <w:rPr>
          <w:b/>
          <w:bCs/>
          <w:color w:val="000000" w:themeColor="text1"/>
          <w:sz w:val="28"/>
          <w:szCs w:val="28"/>
        </w:rPr>
        <w:t xml:space="preserve">Stress Score: </w:t>
      </w:r>
      <w:r w:rsidRPr="00421FCA">
        <w:rPr>
          <w:color w:val="000000" w:themeColor="text1"/>
          <w:sz w:val="28"/>
          <w:szCs w:val="28"/>
        </w:rPr>
        <w:t xml:space="preserve">Composite signal — strongest single predictor combining DPD, payment ratio, and </w:t>
      </w:r>
      <w:proofErr w:type="spellStart"/>
      <w:r w:rsidRPr="00421FCA">
        <w:rPr>
          <w:color w:val="000000" w:themeColor="text1"/>
          <w:sz w:val="28"/>
          <w:szCs w:val="28"/>
        </w:rPr>
        <w:t>behavioral</w:t>
      </w:r>
      <w:proofErr w:type="spellEnd"/>
      <w:r w:rsidRPr="00421FCA">
        <w:rPr>
          <w:color w:val="000000" w:themeColor="text1"/>
          <w:sz w:val="28"/>
          <w:szCs w:val="28"/>
        </w:rPr>
        <w:t xml:space="preserve"> flags</w:t>
      </w:r>
    </w:p>
    <w:p w14:paraId="3ED39C28" w14:textId="77777777" w:rsidR="000F6B17" w:rsidRPr="00421FCA" w:rsidRDefault="00000000">
      <w:pPr>
        <w:pStyle w:val="ListParagraph"/>
        <w:numPr>
          <w:ilvl w:val="0"/>
          <w:numId w:val="2"/>
        </w:numPr>
        <w:spacing w:before="80" w:after="80"/>
        <w:rPr>
          <w:color w:val="000000" w:themeColor="text1"/>
          <w:sz w:val="28"/>
          <w:szCs w:val="28"/>
        </w:rPr>
      </w:pPr>
      <w:r w:rsidRPr="00421FCA">
        <w:rPr>
          <w:b/>
          <w:bCs/>
          <w:color w:val="000000" w:themeColor="text1"/>
          <w:sz w:val="28"/>
          <w:szCs w:val="28"/>
        </w:rPr>
        <w:t xml:space="preserve">Days Past Due (Max): </w:t>
      </w:r>
      <w:r w:rsidRPr="00421FCA">
        <w:rPr>
          <w:color w:val="000000" w:themeColor="text1"/>
          <w:sz w:val="28"/>
          <w:szCs w:val="28"/>
        </w:rPr>
        <w:t>Historical worst delinquency — even one 90+ DPD event is highly predictive</w:t>
      </w:r>
    </w:p>
    <w:p w14:paraId="571A7203" w14:textId="77777777" w:rsidR="000F6B17" w:rsidRPr="00421FCA" w:rsidRDefault="00000000">
      <w:pPr>
        <w:pStyle w:val="ListParagraph"/>
        <w:numPr>
          <w:ilvl w:val="0"/>
          <w:numId w:val="2"/>
        </w:numPr>
        <w:spacing w:before="80" w:after="80"/>
        <w:rPr>
          <w:color w:val="000000" w:themeColor="text1"/>
          <w:sz w:val="28"/>
          <w:szCs w:val="28"/>
        </w:rPr>
      </w:pPr>
      <w:r w:rsidRPr="00421FCA">
        <w:rPr>
          <w:b/>
          <w:bCs/>
          <w:color w:val="000000" w:themeColor="text1"/>
          <w:sz w:val="28"/>
          <w:szCs w:val="28"/>
        </w:rPr>
        <w:lastRenderedPageBreak/>
        <w:t xml:space="preserve">Credit Bureau Score: </w:t>
      </w:r>
      <w:r w:rsidRPr="00421FCA">
        <w:rPr>
          <w:color w:val="000000" w:themeColor="text1"/>
          <w:sz w:val="28"/>
          <w:szCs w:val="28"/>
        </w:rPr>
        <w:t>Below 620 borrowers show 2–3x higher default rates</w:t>
      </w:r>
    </w:p>
    <w:p w14:paraId="2C94C1DF" w14:textId="77777777" w:rsidR="000F6B17" w:rsidRPr="00421FCA" w:rsidRDefault="00000000">
      <w:pPr>
        <w:pStyle w:val="ListParagraph"/>
        <w:numPr>
          <w:ilvl w:val="0"/>
          <w:numId w:val="2"/>
        </w:numPr>
        <w:spacing w:before="80" w:after="80"/>
        <w:rPr>
          <w:color w:val="000000" w:themeColor="text1"/>
          <w:sz w:val="28"/>
          <w:szCs w:val="28"/>
        </w:rPr>
      </w:pPr>
      <w:r w:rsidRPr="00421FCA">
        <w:rPr>
          <w:b/>
          <w:bCs/>
          <w:color w:val="000000" w:themeColor="text1"/>
          <w:sz w:val="28"/>
          <w:szCs w:val="28"/>
        </w:rPr>
        <w:t xml:space="preserve">Income-to-EMI Ratio: </w:t>
      </w:r>
      <w:r w:rsidRPr="00421FCA">
        <w:rPr>
          <w:color w:val="000000" w:themeColor="text1"/>
          <w:sz w:val="28"/>
          <w:szCs w:val="28"/>
        </w:rPr>
        <w:t>Ratios below 1.5x indicate EMI consuming &gt;66% of income — severe stress</w:t>
      </w:r>
    </w:p>
    <w:p w14:paraId="61DE4740" w14:textId="77777777" w:rsidR="000F6B17" w:rsidRPr="00421FCA" w:rsidRDefault="00000000">
      <w:pPr>
        <w:pStyle w:val="ListParagraph"/>
        <w:numPr>
          <w:ilvl w:val="0"/>
          <w:numId w:val="2"/>
        </w:numPr>
        <w:spacing w:before="80" w:after="80"/>
        <w:rPr>
          <w:color w:val="000000" w:themeColor="text1"/>
          <w:sz w:val="28"/>
          <w:szCs w:val="28"/>
        </w:rPr>
      </w:pPr>
      <w:r w:rsidRPr="00421FCA">
        <w:rPr>
          <w:b/>
          <w:bCs/>
          <w:color w:val="000000" w:themeColor="text1"/>
          <w:sz w:val="28"/>
          <w:szCs w:val="28"/>
        </w:rPr>
        <w:t xml:space="preserve">Balance Volatility: </w:t>
      </w:r>
      <w:r w:rsidRPr="00421FCA">
        <w:rPr>
          <w:color w:val="000000" w:themeColor="text1"/>
          <w:sz w:val="28"/>
          <w:szCs w:val="28"/>
        </w:rPr>
        <w:t>High account volatility precedes repayment deterioration by 1–3 months</w:t>
      </w:r>
    </w:p>
    <w:p w14:paraId="276047C8" w14:textId="77777777" w:rsidR="000F6B17" w:rsidRPr="00421FCA" w:rsidRDefault="00000000">
      <w:pPr>
        <w:pStyle w:val="ListParagraph"/>
        <w:numPr>
          <w:ilvl w:val="0"/>
          <w:numId w:val="2"/>
        </w:numPr>
        <w:spacing w:before="80" w:after="80"/>
        <w:rPr>
          <w:color w:val="000000" w:themeColor="text1"/>
          <w:sz w:val="28"/>
          <w:szCs w:val="28"/>
        </w:rPr>
      </w:pPr>
      <w:r w:rsidRPr="00421FCA">
        <w:rPr>
          <w:b/>
          <w:bCs/>
          <w:color w:val="000000" w:themeColor="text1"/>
          <w:sz w:val="28"/>
          <w:szCs w:val="28"/>
        </w:rPr>
        <w:t xml:space="preserve">Early Stress Flag: </w:t>
      </w:r>
      <w:r w:rsidRPr="00421FCA">
        <w:rPr>
          <w:color w:val="000000" w:themeColor="text1"/>
          <w:sz w:val="28"/>
          <w:szCs w:val="28"/>
        </w:rPr>
        <w:t>Partial payments or DPD in first 3 EMIs — strongest early signal</w:t>
      </w:r>
    </w:p>
    <w:p w14:paraId="33AE7BDB" w14:textId="77777777" w:rsidR="000F6B17" w:rsidRDefault="00000000">
      <w:pPr>
        <w:pStyle w:val="ListParagraph"/>
        <w:numPr>
          <w:ilvl w:val="0"/>
          <w:numId w:val="2"/>
        </w:numPr>
        <w:spacing w:before="80" w:after="80"/>
        <w:rPr>
          <w:color w:val="000000" w:themeColor="text1"/>
          <w:sz w:val="28"/>
          <w:szCs w:val="28"/>
        </w:rPr>
      </w:pPr>
      <w:r w:rsidRPr="00421FCA">
        <w:rPr>
          <w:b/>
          <w:bCs/>
          <w:color w:val="000000" w:themeColor="text1"/>
          <w:sz w:val="28"/>
          <w:szCs w:val="28"/>
        </w:rPr>
        <w:t xml:space="preserve">Risk Grade (Numeric): </w:t>
      </w:r>
      <w:r w:rsidRPr="00421FCA">
        <w:rPr>
          <w:color w:val="000000" w:themeColor="text1"/>
          <w:sz w:val="28"/>
          <w:szCs w:val="28"/>
        </w:rPr>
        <w:t>Lender's own grade captures multivariate risk effectively</w:t>
      </w:r>
    </w:p>
    <w:p w14:paraId="66F82AD7" w14:textId="77777777" w:rsidR="00421FCA" w:rsidRPr="00421FCA" w:rsidRDefault="00421FCA" w:rsidP="00421FCA">
      <w:pPr>
        <w:pStyle w:val="ListParagraph"/>
        <w:spacing w:before="80" w:after="80"/>
        <w:ind w:left="600"/>
        <w:rPr>
          <w:color w:val="000000" w:themeColor="text1"/>
          <w:sz w:val="28"/>
          <w:szCs w:val="28"/>
        </w:rPr>
      </w:pPr>
    </w:p>
    <w:p w14:paraId="67763FAE" w14:textId="527C8A81" w:rsidR="000F6B17" w:rsidRDefault="00000000" w:rsidP="00421FCA">
      <w:pPr>
        <w:rPr>
          <w:b/>
          <w:bCs/>
          <w:color w:val="000000" w:themeColor="text1"/>
          <w:sz w:val="32"/>
          <w:szCs w:val="32"/>
        </w:rPr>
      </w:pPr>
      <w:r w:rsidRPr="00421FCA">
        <w:rPr>
          <w:b/>
          <w:bCs/>
          <w:color w:val="000000" w:themeColor="text1"/>
          <w:sz w:val="32"/>
          <w:szCs w:val="32"/>
        </w:rPr>
        <w:t>4. Policy Recommendations</w:t>
      </w:r>
    </w:p>
    <w:p w14:paraId="2F054C66" w14:textId="77777777" w:rsidR="00421FCA" w:rsidRPr="00421FCA" w:rsidRDefault="00421FCA" w:rsidP="00421FCA">
      <w:pPr>
        <w:rPr>
          <w:color w:val="000000" w:themeColor="text1"/>
        </w:rPr>
      </w:pPr>
    </w:p>
    <w:p w14:paraId="3E75DC0A" w14:textId="77777777" w:rsidR="000F6B17" w:rsidRPr="00421FCA" w:rsidRDefault="00000000">
      <w:pPr>
        <w:spacing w:before="80" w:after="140"/>
        <w:rPr>
          <w:sz w:val="32"/>
          <w:szCs w:val="32"/>
        </w:rPr>
      </w:pPr>
      <w:r w:rsidRPr="00421FCA">
        <w:rPr>
          <w:color w:val="000000"/>
          <w:sz w:val="32"/>
          <w:szCs w:val="32"/>
        </w:rPr>
        <w:t>The following four policy changes are recommended for immediate implementation. Each recommendation includes a specific trigger, rollout timeline, and success metric.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1FCA" w14:paraId="147C14BB" w14:textId="77777777" w:rsidTr="00CA4FC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5AAFC1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4"/>
                <w:szCs w:val="24"/>
              </w:rPr>
              <w:t>POLICY 1 — Cap Grade D Monthly Originations at 25%</w:t>
            </w:r>
          </w:p>
          <w:p w14:paraId="6D157C04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</w:rPr>
              <w:t xml:space="preserve"> </w:t>
            </w:r>
          </w:p>
          <w:p w14:paraId="6C439DDC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Segment Targeted: </w:t>
            </w:r>
            <w:r w:rsidRPr="00421FCA">
              <w:rPr>
                <w:color w:val="000000" w:themeColor="text1"/>
                <w:sz w:val="21"/>
                <w:szCs w:val="21"/>
              </w:rPr>
              <w:t>Grade D borrowers (currently 40.5% of portfolio)</w:t>
            </w:r>
          </w:p>
          <w:p w14:paraId="790BFD3A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Trigger: </w:t>
            </w:r>
            <w:r w:rsidRPr="00421FCA">
              <w:rPr>
                <w:color w:val="000000" w:themeColor="text1"/>
                <w:sz w:val="21"/>
                <w:szCs w:val="21"/>
              </w:rPr>
              <w:t>When Grade D share exceeds 25% of monthly origination volume, auto-decline marginal Grade D applications</w:t>
            </w:r>
          </w:p>
          <w:p w14:paraId="5BFE8118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Timeline: </w:t>
            </w:r>
            <w:r w:rsidRPr="00421FCA">
              <w:rPr>
                <w:color w:val="000000" w:themeColor="text1"/>
                <w:sz w:val="21"/>
                <w:szCs w:val="21"/>
              </w:rPr>
              <w:t>Implement in Month 1 — no system changes required, approval policy update only</w:t>
            </w:r>
          </w:p>
          <w:p w14:paraId="4DAB6CA1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Success Metric: </w:t>
            </w:r>
            <w:r w:rsidRPr="00421FCA">
              <w:rPr>
                <w:color w:val="000000" w:themeColor="text1"/>
                <w:sz w:val="21"/>
                <w:szCs w:val="21"/>
              </w:rPr>
              <w:t>Grade D share below 28% within 2 quarters; portfolio NPA rate declining</w:t>
            </w:r>
          </w:p>
          <w:p w14:paraId="44734071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Risk: </w:t>
            </w:r>
            <w:r w:rsidRPr="00421FCA">
              <w:rPr>
                <w:color w:val="000000" w:themeColor="text1"/>
                <w:sz w:val="21"/>
                <w:szCs w:val="21"/>
              </w:rPr>
              <w:t>Short-term volume decline of 8–12%. Acceptable given NPA reduction benefit.</w:t>
            </w:r>
          </w:p>
        </w:tc>
      </w:tr>
    </w:tbl>
    <w:p w14:paraId="77341010" w14:textId="77777777" w:rsidR="00421FCA" w:rsidRDefault="00421FCA" w:rsidP="00421FCA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1FCA" w14:paraId="592A3E19" w14:textId="77777777" w:rsidTr="00CA4FC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F31903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4"/>
                <w:szCs w:val="24"/>
              </w:rPr>
              <w:t>POLICY 2 — Mandatory Income Verification for Non-Salaried Borrowers</w:t>
            </w:r>
          </w:p>
          <w:p w14:paraId="77135530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</w:rPr>
              <w:t xml:space="preserve"> </w:t>
            </w:r>
          </w:p>
          <w:p w14:paraId="3BB80F1E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Segment Targeted: </w:t>
            </w:r>
            <w:r w:rsidRPr="00421FCA">
              <w:rPr>
                <w:color w:val="000000" w:themeColor="text1"/>
                <w:sz w:val="21"/>
                <w:szCs w:val="21"/>
              </w:rPr>
              <w:t>Gig Workers (23.0% default) and Self-Employed (16.6% default)</w:t>
            </w:r>
          </w:p>
          <w:p w14:paraId="1F28D555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Trigger: </w:t>
            </w:r>
            <w:r w:rsidRPr="00421FCA">
              <w:rPr>
                <w:color w:val="000000" w:themeColor="text1"/>
                <w:sz w:val="21"/>
                <w:szCs w:val="21"/>
              </w:rPr>
              <w:t>Any Gig Worker or Self-Employed application above ₹50,000 — require 6-month bank statement and income proof before approval</w:t>
            </w:r>
          </w:p>
          <w:p w14:paraId="7C8CD2C6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Timeline: </w:t>
            </w:r>
            <w:r w:rsidRPr="00421FCA">
              <w:rPr>
                <w:color w:val="000000" w:themeColor="text1"/>
                <w:sz w:val="21"/>
                <w:szCs w:val="21"/>
              </w:rPr>
              <w:t>Pilot on new applications in Month 2; full rollout by Month 3</w:t>
            </w:r>
          </w:p>
          <w:p w14:paraId="417EFF46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Success Metric: </w:t>
            </w:r>
            <w:r w:rsidRPr="00421FCA">
              <w:rPr>
                <w:color w:val="000000" w:themeColor="text1"/>
                <w:sz w:val="21"/>
                <w:szCs w:val="21"/>
              </w:rPr>
              <w:t>Gig Worker default rate below 18% within 3 cohorts; income-to-EMI ratio average above 2.5x for new approvals</w:t>
            </w:r>
          </w:p>
          <w:p w14:paraId="4013F852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Risk: </w:t>
            </w:r>
            <w:r w:rsidRPr="00421FCA">
              <w:rPr>
                <w:color w:val="000000" w:themeColor="text1"/>
                <w:sz w:val="21"/>
                <w:szCs w:val="21"/>
              </w:rPr>
              <w:t>Approval turnaround time increases by 1–2 days. Mitigation: digital document submission via app.</w:t>
            </w:r>
          </w:p>
        </w:tc>
      </w:tr>
    </w:tbl>
    <w:p w14:paraId="449D3CE4" w14:textId="77777777" w:rsidR="00421FCA" w:rsidRDefault="00421FCA" w:rsidP="00421FCA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1FCA" w14:paraId="75CA2715" w14:textId="77777777" w:rsidTr="00CA4FC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288751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4"/>
                <w:szCs w:val="24"/>
              </w:rPr>
              <w:t>POLICY 3 — Trigger Collections at First 30 DPD Event</w:t>
            </w:r>
          </w:p>
          <w:p w14:paraId="2ADC04F8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</w:rPr>
              <w:t xml:space="preserve"> </w:t>
            </w:r>
          </w:p>
          <w:p w14:paraId="55B77010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Segment Targeted: </w:t>
            </w:r>
            <w:r w:rsidRPr="00421FCA">
              <w:rPr>
                <w:color w:val="000000" w:themeColor="text1"/>
                <w:sz w:val="21"/>
                <w:szCs w:val="21"/>
              </w:rPr>
              <w:t xml:space="preserve">All active loans — Stressed Borrowers and </w:t>
            </w:r>
            <w:proofErr w:type="gramStart"/>
            <w:r w:rsidRPr="00421FCA">
              <w:rPr>
                <w:color w:val="000000" w:themeColor="text1"/>
                <w:sz w:val="21"/>
                <w:szCs w:val="21"/>
              </w:rPr>
              <w:t>High Risk</w:t>
            </w:r>
            <w:proofErr w:type="gramEnd"/>
            <w:r w:rsidRPr="00421FCA">
              <w:rPr>
                <w:color w:val="000000" w:themeColor="text1"/>
                <w:sz w:val="21"/>
                <w:szCs w:val="21"/>
              </w:rPr>
              <w:t xml:space="preserve"> Borrowers prioritised</w:t>
            </w:r>
          </w:p>
          <w:p w14:paraId="79530B12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Trigger: </w:t>
            </w:r>
            <w:r w:rsidRPr="00421FCA">
              <w:rPr>
                <w:color w:val="000000" w:themeColor="text1"/>
                <w:sz w:val="21"/>
                <w:szCs w:val="21"/>
              </w:rPr>
              <w:t>Any loan crossing 30 DPD — automated outreach within 24 hours, not the current 60 DPD standard</w:t>
            </w:r>
          </w:p>
          <w:p w14:paraId="01DCBC03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Timeline: </w:t>
            </w:r>
            <w:r w:rsidRPr="00421FCA">
              <w:rPr>
                <w:color w:val="000000" w:themeColor="text1"/>
                <w:sz w:val="21"/>
                <w:szCs w:val="21"/>
              </w:rPr>
              <w:t>System rule change — implement in Month 1</w:t>
            </w:r>
          </w:p>
          <w:p w14:paraId="0C2565FB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lastRenderedPageBreak/>
              <w:t xml:space="preserve">Success Metric: </w:t>
            </w:r>
            <w:r w:rsidRPr="00421FCA">
              <w:rPr>
                <w:color w:val="000000" w:themeColor="text1"/>
                <w:sz w:val="21"/>
                <w:szCs w:val="21"/>
              </w:rPr>
              <w:t>30-to-90 DPD roll rate reduces by 15% within 2 quarters</w:t>
            </w:r>
          </w:p>
          <w:p w14:paraId="11C60C14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Risk: </w:t>
            </w:r>
            <w:r w:rsidRPr="00421FCA">
              <w:rPr>
                <w:color w:val="000000" w:themeColor="text1"/>
                <w:sz w:val="21"/>
                <w:szCs w:val="21"/>
              </w:rPr>
              <w:t>Higher collections volume. Mitigation: automate Tier 1 outreach via SMS — human follow-up only at 45 DPD.</w:t>
            </w:r>
          </w:p>
        </w:tc>
      </w:tr>
    </w:tbl>
    <w:p w14:paraId="674A3AB0" w14:textId="77777777" w:rsidR="00421FCA" w:rsidRDefault="00421FCA" w:rsidP="00421FCA"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1FCA" w14:paraId="20CFB904" w14:textId="77777777" w:rsidTr="00CA4FC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E2D8CA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4"/>
                <w:szCs w:val="24"/>
              </w:rPr>
              <w:t>POLICY 4 — Shift Acquisition Mix Towards Organic Channel</w:t>
            </w:r>
          </w:p>
          <w:p w14:paraId="72A38E3A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</w:rPr>
              <w:t xml:space="preserve"> </w:t>
            </w:r>
          </w:p>
          <w:p w14:paraId="079446E7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Segment Targeted: </w:t>
            </w:r>
            <w:r w:rsidRPr="00421FCA">
              <w:rPr>
                <w:color w:val="000000" w:themeColor="text1"/>
                <w:sz w:val="21"/>
                <w:szCs w:val="21"/>
              </w:rPr>
              <w:t xml:space="preserve">DSA Agent channel — ₹1,297 </w:t>
            </w:r>
            <w:proofErr w:type="spellStart"/>
            <w:r w:rsidRPr="00421FCA">
              <w:rPr>
                <w:color w:val="000000" w:themeColor="text1"/>
                <w:sz w:val="21"/>
                <w:szCs w:val="21"/>
              </w:rPr>
              <w:t>avg</w:t>
            </w:r>
            <w:proofErr w:type="spellEnd"/>
            <w:r w:rsidRPr="00421FCA">
              <w:rPr>
                <w:color w:val="000000" w:themeColor="text1"/>
                <w:sz w:val="21"/>
                <w:szCs w:val="21"/>
              </w:rPr>
              <w:t xml:space="preserve"> CAC vs ₹124 for Organic, with 12.9% vs 11.8% default rate</w:t>
            </w:r>
          </w:p>
          <w:p w14:paraId="5E70BAE5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Trigger: </w:t>
            </w:r>
            <w:r w:rsidRPr="00421FCA">
              <w:rPr>
                <w:color w:val="000000" w:themeColor="text1"/>
                <w:sz w:val="21"/>
                <w:szCs w:val="21"/>
              </w:rPr>
              <w:t>Cap DSA channel at 20% of monthly originations; redirect marketing budget to organic app acquisition</w:t>
            </w:r>
          </w:p>
          <w:p w14:paraId="25BEDF20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Timeline: </w:t>
            </w:r>
            <w:r w:rsidRPr="00421FCA">
              <w:rPr>
                <w:color w:val="000000" w:themeColor="text1"/>
                <w:sz w:val="21"/>
                <w:szCs w:val="21"/>
              </w:rPr>
              <w:t>Quarter 2 — DSA contracts renegotiation cycle</w:t>
            </w:r>
          </w:p>
          <w:p w14:paraId="268292BD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Success Metric: </w:t>
            </w:r>
            <w:r w:rsidRPr="00421FCA">
              <w:rPr>
                <w:color w:val="000000" w:themeColor="text1"/>
                <w:sz w:val="21"/>
                <w:szCs w:val="21"/>
              </w:rPr>
              <w:t>Blended CAC below ₹500 within 2 quarters; organic share above 40% of originations</w:t>
            </w:r>
          </w:p>
          <w:p w14:paraId="7A441467" w14:textId="77777777" w:rsidR="00421FCA" w:rsidRPr="00421FCA" w:rsidRDefault="00421FCA" w:rsidP="00CA4FC7">
            <w:pPr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1"/>
                <w:szCs w:val="21"/>
              </w:rPr>
              <w:t xml:space="preserve">Risk: </w:t>
            </w:r>
            <w:r w:rsidRPr="00421FCA">
              <w:rPr>
                <w:color w:val="000000" w:themeColor="text1"/>
                <w:sz w:val="21"/>
                <w:szCs w:val="21"/>
              </w:rPr>
              <w:t>DSA channel delivers volume quickly. Mitigation: phase the reduction over 2 quarters, not overnight.</w:t>
            </w:r>
          </w:p>
        </w:tc>
      </w:tr>
    </w:tbl>
    <w:p w14:paraId="00D544F1" w14:textId="77777777" w:rsidR="00421FCA" w:rsidRDefault="00421FCA" w:rsidP="00421FCA">
      <w:pPr>
        <w:rPr>
          <w:b/>
          <w:bCs/>
          <w:color w:val="000000" w:themeColor="text1"/>
          <w:sz w:val="32"/>
          <w:szCs w:val="32"/>
        </w:rPr>
      </w:pPr>
    </w:p>
    <w:p w14:paraId="10651B81" w14:textId="77777777" w:rsidR="00421FCA" w:rsidRDefault="00421FCA" w:rsidP="00421FCA">
      <w:pPr>
        <w:rPr>
          <w:b/>
          <w:bCs/>
          <w:color w:val="000000" w:themeColor="text1"/>
          <w:sz w:val="32"/>
          <w:szCs w:val="32"/>
        </w:rPr>
      </w:pPr>
    </w:p>
    <w:p w14:paraId="6313C59F" w14:textId="77777777" w:rsidR="00421FCA" w:rsidRDefault="00421FCA" w:rsidP="00421FCA">
      <w:pPr>
        <w:rPr>
          <w:b/>
          <w:bCs/>
          <w:color w:val="000000" w:themeColor="text1"/>
          <w:sz w:val="32"/>
          <w:szCs w:val="32"/>
        </w:rPr>
      </w:pPr>
    </w:p>
    <w:p w14:paraId="393FF584" w14:textId="11DCEA43" w:rsidR="000F6B17" w:rsidRPr="00421FCA" w:rsidRDefault="00000000" w:rsidP="00421FCA">
      <w:pPr>
        <w:rPr>
          <w:color w:val="000000" w:themeColor="text1"/>
        </w:rPr>
      </w:pPr>
      <w:r w:rsidRPr="00421FCA">
        <w:rPr>
          <w:b/>
          <w:bCs/>
          <w:color w:val="000000" w:themeColor="text1"/>
          <w:sz w:val="32"/>
          <w:szCs w:val="32"/>
        </w:rPr>
        <w:t>5. Projected Impact Assessment</w:t>
      </w:r>
    </w:p>
    <w:p w14:paraId="65BAA0FE" w14:textId="77777777" w:rsidR="000F6B17" w:rsidRPr="00421FCA" w:rsidRDefault="00000000">
      <w:pPr>
        <w:pStyle w:val="Heading2"/>
        <w:rPr>
          <w:color w:val="000000" w:themeColor="text1"/>
        </w:rPr>
      </w:pPr>
      <w:r w:rsidRPr="00421FCA">
        <w:rPr>
          <w:color w:val="000000" w:themeColor="text1"/>
        </w:rPr>
        <w:t>5.1 Before vs After — Portfolio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80"/>
        <w:gridCol w:w="2080"/>
        <w:gridCol w:w="2000"/>
      </w:tblGrid>
      <w:tr w:rsidR="000F6B17" w:rsidRPr="00421FCA" w14:paraId="1558A2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6DA84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Overall Default Rate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9B6A6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12.4%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0CDB9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10.2–10.6%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0EB1E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▼ ~1.8–2.2%</w:t>
            </w:r>
          </w:p>
        </w:tc>
      </w:tr>
      <w:tr w:rsidR="000F6B17" w:rsidRPr="00421FCA" w14:paraId="63A1A1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D135A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Grade D Portfolio Share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C26B7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40.5%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639D3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~25%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50EB3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▼ ~15.5%</w:t>
            </w:r>
          </w:p>
        </w:tc>
      </w:tr>
      <w:tr w:rsidR="000F6B17" w:rsidRPr="00421FCA" w14:paraId="24C05A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149BE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NPA AUM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6CBB9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₹12.0 Cr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25FE8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₹9.8–10.2 Cr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6301C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▼ ~₹2 Cr</w:t>
            </w:r>
          </w:p>
        </w:tc>
      </w:tr>
      <w:tr w:rsidR="000F6B17" w:rsidRPr="00421FCA" w14:paraId="7A8F4E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F0B39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Blended CAC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E2BA7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~₹644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D6402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~₹480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2965E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▼ ~25%</w:t>
            </w:r>
          </w:p>
        </w:tc>
      </w:tr>
      <w:tr w:rsidR="000F6B17" w:rsidRPr="00421FCA" w14:paraId="66B36F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40AE6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Gig Worker Default Rate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2F798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23.0%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1341F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~18%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9620D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▼ ~5%</w:t>
            </w:r>
          </w:p>
        </w:tc>
      </w:tr>
      <w:tr w:rsidR="000F6B17" w:rsidRPr="00421FCA" w14:paraId="509253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9C3D2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30-to-90 DPD Roll Rate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A1846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1E5C2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-15% (est.)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82362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▼ improvement</w:t>
            </w:r>
          </w:p>
        </w:tc>
      </w:tr>
      <w:tr w:rsidR="000F6B17" w:rsidRPr="00421FCA" w14:paraId="46C659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EDFB1" w14:textId="77777777" w:rsidR="000F6B17" w:rsidRPr="00421FCA" w:rsidRDefault="00000000">
            <w:pPr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Monthly Origination Volume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8567B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Baseline</w:t>
            </w:r>
          </w:p>
        </w:tc>
        <w:tc>
          <w:tcPr>
            <w:tcW w:w="20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A639B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color w:val="000000" w:themeColor="text1"/>
                <w:sz w:val="20"/>
                <w:szCs w:val="20"/>
              </w:rPr>
              <w:t>-8 to -12%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C109E" w14:textId="77777777" w:rsidR="000F6B17" w:rsidRPr="00421FCA" w:rsidRDefault="00000000">
            <w:pPr>
              <w:jc w:val="center"/>
              <w:rPr>
                <w:color w:val="000000" w:themeColor="text1"/>
              </w:rPr>
            </w:pPr>
            <w:r w:rsidRPr="00421FCA">
              <w:rPr>
                <w:b/>
                <w:bCs/>
                <w:color w:val="000000" w:themeColor="text1"/>
                <w:sz w:val="20"/>
                <w:szCs w:val="20"/>
              </w:rPr>
              <w:t>▼ short-term</w:t>
            </w:r>
          </w:p>
        </w:tc>
      </w:tr>
    </w:tbl>
    <w:p w14:paraId="42528DBA" w14:textId="77777777" w:rsidR="000F6B17" w:rsidRDefault="00000000">
      <w:r>
        <w:t xml:space="preserve"> </w:t>
      </w:r>
    </w:p>
    <w:p w14:paraId="2881DD23" w14:textId="0B7D03F3" w:rsidR="000F6B17" w:rsidRDefault="000F6B17" w:rsidP="00421FCA">
      <w:pPr>
        <w:pStyle w:val="Heading2"/>
      </w:pPr>
    </w:p>
    <w:sectPr w:rsidR="000F6B1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F85"/>
    <w:multiLevelType w:val="hybridMultilevel"/>
    <w:tmpl w:val="B4047776"/>
    <w:lvl w:ilvl="0" w:tplc="70FE64C2">
      <w:start w:val="1"/>
      <w:numFmt w:val="decimal"/>
      <w:lvlText w:val="%1."/>
      <w:lvlJc w:val="left"/>
      <w:pPr>
        <w:ind w:left="600" w:hanging="300"/>
      </w:pPr>
    </w:lvl>
    <w:lvl w:ilvl="1" w:tplc="BFA811C4">
      <w:numFmt w:val="decimal"/>
      <w:lvlText w:val=""/>
      <w:lvlJc w:val="left"/>
    </w:lvl>
    <w:lvl w:ilvl="2" w:tplc="EDD49C22">
      <w:numFmt w:val="decimal"/>
      <w:lvlText w:val=""/>
      <w:lvlJc w:val="left"/>
    </w:lvl>
    <w:lvl w:ilvl="3" w:tplc="534C235E">
      <w:numFmt w:val="decimal"/>
      <w:lvlText w:val=""/>
      <w:lvlJc w:val="left"/>
    </w:lvl>
    <w:lvl w:ilvl="4" w:tplc="598846E0">
      <w:numFmt w:val="decimal"/>
      <w:lvlText w:val=""/>
      <w:lvlJc w:val="left"/>
    </w:lvl>
    <w:lvl w:ilvl="5" w:tplc="90965504">
      <w:numFmt w:val="decimal"/>
      <w:lvlText w:val=""/>
      <w:lvlJc w:val="left"/>
    </w:lvl>
    <w:lvl w:ilvl="6" w:tplc="CFB87CEE">
      <w:numFmt w:val="decimal"/>
      <w:lvlText w:val=""/>
      <w:lvlJc w:val="left"/>
    </w:lvl>
    <w:lvl w:ilvl="7" w:tplc="237CC106">
      <w:numFmt w:val="decimal"/>
      <w:lvlText w:val=""/>
      <w:lvlJc w:val="left"/>
    </w:lvl>
    <w:lvl w:ilvl="8" w:tplc="95707482">
      <w:numFmt w:val="decimal"/>
      <w:lvlText w:val=""/>
      <w:lvlJc w:val="left"/>
    </w:lvl>
  </w:abstractNum>
  <w:abstractNum w:abstractNumId="1" w15:restartNumberingAfterBreak="0">
    <w:nsid w:val="38CC2C83"/>
    <w:multiLevelType w:val="hybridMultilevel"/>
    <w:tmpl w:val="A6440AA8"/>
    <w:lvl w:ilvl="0" w:tplc="2A0ED9A8">
      <w:start w:val="1"/>
      <w:numFmt w:val="bullet"/>
      <w:lvlText w:val="•"/>
      <w:lvlJc w:val="left"/>
      <w:pPr>
        <w:ind w:left="600" w:hanging="300"/>
      </w:pPr>
    </w:lvl>
    <w:lvl w:ilvl="1" w:tplc="928EDDB2">
      <w:numFmt w:val="decimal"/>
      <w:lvlText w:val=""/>
      <w:lvlJc w:val="left"/>
    </w:lvl>
    <w:lvl w:ilvl="2" w:tplc="792287BA">
      <w:numFmt w:val="decimal"/>
      <w:lvlText w:val=""/>
      <w:lvlJc w:val="left"/>
    </w:lvl>
    <w:lvl w:ilvl="3" w:tplc="54246A82">
      <w:numFmt w:val="decimal"/>
      <w:lvlText w:val=""/>
      <w:lvlJc w:val="left"/>
    </w:lvl>
    <w:lvl w:ilvl="4" w:tplc="67F6D54E">
      <w:numFmt w:val="decimal"/>
      <w:lvlText w:val=""/>
      <w:lvlJc w:val="left"/>
    </w:lvl>
    <w:lvl w:ilvl="5" w:tplc="9474A488">
      <w:numFmt w:val="decimal"/>
      <w:lvlText w:val=""/>
      <w:lvlJc w:val="left"/>
    </w:lvl>
    <w:lvl w:ilvl="6" w:tplc="8B62B6E4">
      <w:numFmt w:val="decimal"/>
      <w:lvlText w:val=""/>
      <w:lvlJc w:val="left"/>
    </w:lvl>
    <w:lvl w:ilvl="7" w:tplc="DCDC68F8">
      <w:numFmt w:val="decimal"/>
      <w:lvlText w:val=""/>
      <w:lvlJc w:val="left"/>
    </w:lvl>
    <w:lvl w:ilvl="8" w:tplc="671E5AB0">
      <w:numFmt w:val="decimal"/>
      <w:lvlText w:val=""/>
      <w:lvlJc w:val="left"/>
    </w:lvl>
  </w:abstractNum>
  <w:abstractNum w:abstractNumId="2" w15:restartNumberingAfterBreak="0">
    <w:nsid w:val="5BEF39F0"/>
    <w:multiLevelType w:val="hybridMultilevel"/>
    <w:tmpl w:val="27C8678A"/>
    <w:lvl w:ilvl="0" w:tplc="A524C798">
      <w:start w:val="1"/>
      <w:numFmt w:val="bullet"/>
      <w:lvlText w:val="●"/>
      <w:lvlJc w:val="left"/>
      <w:pPr>
        <w:ind w:left="720" w:hanging="360"/>
      </w:pPr>
    </w:lvl>
    <w:lvl w:ilvl="1" w:tplc="C39492C2">
      <w:start w:val="1"/>
      <w:numFmt w:val="bullet"/>
      <w:lvlText w:val="○"/>
      <w:lvlJc w:val="left"/>
      <w:pPr>
        <w:ind w:left="1440" w:hanging="360"/>
      </w:pPr>
    </w:lvl>
    <w:lvl w:ilvl="2" w:tplc="8AC65C5C">
      <w:start w:val="1"/>
      <w:numFmt w:val="bullet"/>
      <w:lvlText w:val="■"/>
      <w:lvlJc w:val="left"/>
      <w:pPr>
        <w:ind w:left="2160" w:hanging="360"/>
      </w:pPr>
    </w:lvl>
    <w:lvl w:ilvl="3" w:tplc="8B7A3A1A">
      <w:start w:val="1"/>
      <w:numFmt w:val="bullet"/>
      <w:lvlText w:val="●"/>
      <w:lvlJc w:val="left"/>
      <w:pPr>
        <w:ind w:left="2880" w:hanging="360"/>
      </w:pPr>
    </w:lvl>
    <w:lvl w:ilvl="4" w:tplc="57E42A50">
      <w:start w:val="1"/>
      <w:numFmt w:val="bullet"/>
      <w:lvlText w:val="○"/>
      <w:lvlJc w:val="left"/>
      <w:pPr>
        <w:ind w:left="3600" w:hanging="360"/>
      </w:pPr>
    </w:lvl>
    <w:lvl w:ilvl="5" w:tplc="C5B2C59E">
      <w:start w:val="1"/>
      <w:numFmt w:val="bullet"/>
      <w:lvlText w:val="■"/>
      <w:lvlJc w:val="left"/>
      <w:pPr>
        <w:ind w:left="4320" w:hanging="360"/>
      </w:pPr>
    </w:lvl>
    <w:lvl w:ilvl="6" w:tplc="DB0CF56A">
      <w:start w:val="1"/>
      <w:numFmt w:val="bullet"/>
      <w:lvlText w:val="●"/>
      <w:lvlJc w:val="left"/>
      <w:pPr>
        <w:ind w:left="5040" w:hanging="360"/>
      </w:pPr>
    </w:lvl>
    <w:lvl w:ilvl="7" w:tplc="A598412C">
      <w:start w:val="1"/>
      <w:numFmt w:val="bullet"/>
      <w:lvlText w:val="●"/>
      <w:lvlJc w:val="left"/>
      <w:pPr>
        <w:ind w:left="5760" w:hanging="360"/>
      </w:pPr>
    </w:lvl>
    <w:lvl w:ilvl="8" w:tplc="AD76060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A016D6"/>
    <w:multiLevelType w:val="hybridMultilevel"/>
    <w:tmpl w:val="422E5BEA"/>
    <w:lvl w:ilvl="0" w:tplc="F99A24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820188">
    <w:abstractNumId w:val="2"/>
    <w:lvlOverride w:ilvl="0">
      <w:startOverride w:val="1"/>
    </w:lvlOverride>
  </w:num>
  <w:num w:numId="2" w16cid:durableId="105009485">
    <w:abstractNumId w:val="0"/>
    <w:lvlOverride w:ilvl="0">
      <w:startOverride w:val="1"/>
    </w:lvlOverride>
  </w:num>
  <w:num w:numId="3" w16cid:durableId="1978141742">
    <w:abstractNumId w:val="1"/>
    <w:lvlOverride w:ilvl="0">
      <w:startOverride w:val="1"/>
    </w:lvlOverride>
  </w:num>
  <w:num w:numId="4" w16cid:durableId="1175419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B17"/>
    <w:rsid w:val="000F6B17"/>
    <w:rsid w:val="00421FCA"/>
    <w:rsid w:val="00621FC6"/>
    <w:rsid w:val="008F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F62C"/>
  <w15:docId w15:val="{B47064BC-148A-43EE-8C05-1BF00523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abhilashakhangar26@outlook.com</cp:lastModifiedBy>
  <cp:revision>2</cp:revision>
  <dcterms:created xsi:type="dcterms:W3CDTF">2026-06-12T10:47:00Z</dcterms:created>
  <dcterms:modified xsi:type="dcterms:W3CDTF">2026-06-12T05:47:00Z</dcterms:modified>
</cp:coreProperties>
</file>