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561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8D0226E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Duality of Job Creation in India's Big Cities</w:t>
      </w:r>
    </w:p>
    <w:p w14:paraId="53C5A7C8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0C28AFB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India’s million-plus cities are creating more regular jobs and a more productive urban economy, but the transformation is uneven especially when it comes to employment quality and participation.</w:t>
      </w:r>
    </w:p>
    <w:p w14:paraId="60959386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15A4B94" w14:textId="72AFE29D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By Abhimanyu Singh</w:t>
      </w:r>
    </w:p>
    <w:p w14:paraId="38CC72BD" w14:textId="6FF544F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September 20, 2026</w:t>
      </w:r>
    </w:p>
    <w:p w14:paraId="05B76CE9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8D9C942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When it comes to big city economies in India, there is no single “million-plus population city” model.</w:t>
      </w:r>
    </w:p>
    <w:p w14:paraId="060AE609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B27A0D0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New city-level data show that some of India’s largest urban centres combine high participation, regular employment and relatively productive business activity. Others have productive enterprises without broad labour-market participation. And in several cities, women remain far more likely to be outside the labour force.</w:t>
      </w:r>
    </w:p>
    <w:p w14:paraId="6A513895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8F4910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pattern emerges by putting two new government datasets together: the Periodic Labour Force Survey’s first dedicated report on 46 million-plus cities and the Annual Survey of Unincorporated Sector Enterprises, or ASUSE, which provides a city-level view of establishments, workers and productivity.</w:t>
      </w:r>
    </w:p>
    <w:p w14:paraId="31042165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C877CC7" w14:textId="4FEF790F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[DATA]</w:t>
      </w:r>
    </w:p>
    <w:p w14:paraId="696DB9A0" w14:textId="65496A7F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58.5% Regular wage/salary employment in million-plus cities vs 47.6% in urban India</w:t>
      </w:r>
    </w:p>
    <w:p w14:paraId="31770C69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21% Share of unincorporated-sector GVA from the 46 cities vs about 13% of establishments</w:t>
      </w:r>
    </w:p>
    <w:p w14:paraId="3F23F774" w14:textId="6EBCD68D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27.2% Female LFPR in million-plus cities vs 75.9% for men</w:t>
      </w:r>
    </w:p>
    <w:p w14:paraId="4960B278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58304C64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1D8F8C7" w14:textId="1DAB8594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Employment Quality - Productivity Link</w:t>
      </w:r>
    </w:p>
    <w:p w14:paraId="5BCCC9C0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More regular employment tends to coincide with higher business productivity</w:t>
      </w:r>
    </w:p>
    <w:p w14:paraId="5A64B453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61081A76" w14:textId="0681FD95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Interestingly, across the 46 million-plus population cities in India, the share of workers in regular wage or salary employment has a correlation of about 0.56 with ASUSE GVA per worker. The relationship is descriptive so we can't claim it to be causal, but it points to a common pattern.</w:t>
      </w:r>
    </w:p>
    <w:p w14:paraId="12DA6B6E" w14:textId="43E9E118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pattern is visible in cities such as Pimpri Chinchwad, Pune, Coimbatore and Bengaluru. Pimpri Chinchwad has 70.6% regular wage/salary employment and ASUSE GVA per worker of ₹2.90 lakh. Coimbatore combines 69.5% regular wage employment with ₹2.43 lakh GVA per worker. Pune records 72.0% regular wage employment and ₹2.28 lakh GVA per worker.</w:t>
      </w:r>
    </w:p>
    <w:p w14:paraId="605820A5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Chennai also has a relatively large regular-wage component, at 70.9%, although its ASUSE GVA per worker is lower at ₹1.95 lakh.</w:t>
      </w:r>
    </w:p>
    <w:p w14:paraId="2FE930E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007163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lastRenderedPageBreak/>
        <w:t>Cities where employment is more heavily concentrated in salary or regular wage work also tend to have a more productive unincorporated business economy.</w:t>
      </w:r>
    </w:p>
    <w:p w14:paraId="3573B5AD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6AB78AD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6B396CE" w14:textId="330D776E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QUESTION</w:t>
      </w:r>
    </w:p>
    <w:p w14:paraId="32AD14F5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Why do some cities combine regular employment, high participation and productive enterprises while others do not?</w:t>
      </w:r>
    </w:p>
    <w:p w14:paraId="3509D6B8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Productivity does not always mean broad participation</w:t>
      </w:r>
    </w:p>
    <w:p w14:paraId="06B879BD" w14:textId="3EF7B49A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Productive cities do not automatically have broad labour market participation</w:t>
      </w:r>
    </w:p>
    <w:p w14:paraId="4EB30344" w14:textId="56C42CCE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Delhi illustrates the disconnect. Its ASUSE economy produces ₹2.66 lakh of GVA per worker and 50.26% of its workers are hired workers. Yet its overall WPR is only 41.2%, while female LFPR is just 15.5%.</w:t>
      </w:r>
    </w:p>
    <w:p w14:paraId="0FF71534" w14:textId="3EDA4635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gender picture is particularly stark. Only 13.5% of workers in Delhi’s ASUSE enterprise economy are women.</w:t>
      </w:r>
    </w:p>
    <w:p w14:paraId="1CFA5137" w14:textId="3FD842A6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While Delhi has a highly productive business economy and a relatively large regular wage/salary component, it remains to have weaker labour utilisation and especially low female participation.</w:t>
      </w:r>
    </w:p>
    <w:p w14:paraId="4A0A7A08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High productivity does not by itself tell us how wide a city's labour market reach is.</w:t>
      </w:r>
    </w:p>
    <w:p w14:paraId="19759AC7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38D0243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EF85096" w14:textId="4FBF9391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Gender Divide</w:t>
      </w:r>
    </w:p>
    <w:p w14:paraId="764EC680" w14:textId="1B4143CA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gap between cities is especially large for women</w:t>
      </w:r>
    </w:p>
    <w:p w14:paraId="47221702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national urban average hides the difference between individual million-plus cities.</w:t>
      </w:r>
    </w:p>
    <w:p w14:paraId="07142A80" w14:textId="31D2660A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Across all million-plus cities, female LFPR stands at 27.2%, compared with 75.9% for men.</w:t>
      </w:r>
    </w:p>
    <w:p w14:paraId="79D0164F" w14:textId="6FA1565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But the city-level range is much wider. Female LFPR reaches 41.3% in Coimbatore, 40.6% in Surat, 35.9% in Pune and 34.6% in Greater Visakhapatnam.</w:t>
      </w:r>
    </w:p>
    <w:p w14:paraId="4DEC7DE1" w14:textId="1B791C3F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At the other end, the rate is only 9.3% in Prayagraj, 10.4% in Meerut, 11.4% in Agra and 10.8% in Ghaziabad.</w:t>
      </w:r>
    </w:p>
    <w:p w14:paraId="04A5FF01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Hence, “urban India” or "million-plus cities" is too broad a category for understanding women’s participation. The experience of women in a major industrial city can look very different from that of women in another million-plus city.</w:t>
      </w:r>
    </w:p>
    <w:p w14:paraId="3FD001A9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[DATA]</w:t>
      </w:r>
    </w:p>
    <w:p w14:paraId="6F3469CE" w14:textId="5154DDDB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68.7%</w:t>
      </w:r>
    </w:p>
    <w:p w14:paraId="48CBF6A0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Childcare and home-making dominate the reasons women remain outside the labour force</w:t>
      </w:r>
    </w:p>
    <w:p w14:paraId="3739104C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Among women outside the labour force in million-plus cities, 68.7% identify childcare, personal commitments or home-making as their main reason.</w:t>
      </w:r>
    </w:p>
    <w:p w14:paraId="0C53F59C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964C849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3330B81" w14:textId="3A6461E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 Counter - Example</w:t>
      </w:r>
    </w:p>
    <w:p w14:paraId="784D09C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Surat in Gujarat shows that participation and productivity are not the same thing</w:t>
      </w:r>
    </w:p>
    <w:p w14:paraId="3E7E4203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CB731A7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Surat does not fit neatly into a simple “higher productivity means better labour market” story.</w:t>
      </w:r>
    </w:p>
    <w:p w14:paraId="6AF88EDC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5C8D7ACB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Its LFPR is 66.7% and its WPR is 66.1%, both unusually high among the 46 cities. Female LFPR is 40.6%, while women account for 41.39% of workers in the ASUSE enterprise economy.</w:t>
      </w:r>
    </w:p>
    <w:p w14:paraId="3AAC94BD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9D2EC15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Yet its ASUSE GVA per worker is ₹2.01 lakh — well below the highest-productivity cities in the dataset.</w:t>
      </w:r>
    </w:p>
    <w:p w14:paraId="7BB797CC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D4779D3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Surat provides an important counter-example: a city can have high overall and female labour force participation without being at the top of the productivity distribution.</w:t>
      </w:r>
    </w:p>
    <w:p w14:paraId="2FBA6ACA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EFBE4C3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4A197249" w14:textId="1D9F9AA1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WHAT KIND OF JOBS?</w:t>
      </w:r>
    </w:p>
    <w:p w14:paraId="22E30939" w14:textId="7AE58CD8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jobs advantage that big cities hold is thanks in part how employment is structured</w:t>
      </w:r>
    </w:p>
    <w:p w14:paraId="245D9BBC" w14:textId="5359431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distinction between million-plus cities and urban India is about what kind of employment they have. We need to look beyond the total number of jobs represented as a percentage.</w:t>
      </w:r>
    </w:p>
    <w:p w14:paraId="5AF691FA" w14:textId="226E9BC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Regular wage or salary employment accounts for 58.5% of workers in million-plus cities, compared with 47.6% in urban India.</w:t>
      </w:r>
    </w:p>
    <w:p w14:paraId="18484A30" w14:textId="0859CD8D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Casual labour, by contrast, accounts for only 6.3% of employment in million-plus cities, against 12.0% in urban India.</w:t>
      </w:r>
    </w:p>
    <w:p w14:paraId="2852E449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difference in women's employment: regular wage or salary employment accounts for 65.1% of employed women in million-plus cities, compared with 50.9% in urban India.</w:t>
      </w:r>
    </w:p>
    <w:p w14:paraId="47F2F2A6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7C0BD73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F0C9DFD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CITY CONTRAST</w:t>
      </w:r>
    </w:p>
    <w:p w14:paraId="7215A1BD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 xml:space="preserve">There is no single million-plus city model. Across India's geography, the labour market looks very different from one city to another. However, four broad patterns emerge after </w:t>
      </w:r>
      <w:proofErr w:type="spellStart"/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analyzing</w:t>
      </w:r>
      <w:proofErr w:type="spellEnd"/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 xml:space="preserve"> the data.</w:t>
      </w:r>
    </w:p>
    <w:p w14:paraId="502A00F3" w14:textId="1CBE15E0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[GRID]</w:t>
      </w:r>
    </w:p>
    <w:p w14:paraId="42EABDA8" w14:textId="6D4D790E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01</w:t>
      </w:r>
    </w:p>
    <w:p w14:paraId="75B466F6" w14:textId="4359F7FC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High productivity and regular employment</w:t>
      </w:r>
    </w:p>
    <w:p w14:paraId="24DED1A5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Pimpri Chinchwad, Pune, Coimbatore, Bengaluru and Kalyan-Dombivli combine relatively high regular-wage shares with relatively high ASUSE GVA per worker. Pimpri Chinchwad is particularly striking, with 70.6% regular wage/salary employment and ₹2.90 lakh GVA per worker.</w:t>
      </w:r>
    </w:p>
    <w:p w14:paraId="131D7E89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02</w:t>
      </w:r>
    </w:p>
    <w:p w14:paraId="3109E930" w14:textId="6D8B4E91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High participation</w:t>
      </w:r>
    </w:p>
    <w:p w14:paraId="6443997F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Surat stands out for its high overall and female labour participation and its large female presence in the ASUSE workforce.</w:t>
      </w:r>
    </w:p>
    <w:p w14:paraId="10648CC8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03</w:t>
      </w:r>
    </w:p>
    <w:p w14:paraId="611CE758" w14:textId="14521095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lastRenderedPageBreak/>
        <w:t>Productive but less inclusive</w:t>
      </w:r>
    </w:p>
    <w:p w14:paraId="2CE4097D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Delhi and Greater Hyderabad have productive unincorporated economies and substantial hired-worker employment, but female representation remains much lower than the overall economic activity might suggest.</w:t>
      </w:r>
    </w:p>
    <w:p w14:paraId="434CD72D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04</w:t>
      </w:r>
    </w:p>
    <w:p w14:paraId="56C6339B" w14:textId="2B52DA01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Lower participation</w:t>
      </w:r>
    </w:p>
    <w:p w14:paraId="0CB6A68A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Prayagraj, Gwalior, Agra and several northern cities show substantially lower labour participation and greater reliance on self-employment. Prayagraj, for example, has a WPR of 32.1%, female LFPR of 9.3% and only 31.3% regular wage/salary employment.</w:t>
      </w:r>
    </w:p>
    <w:p w14:paraId="2F7F8113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70B09D0C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561FBED1" w14:textId="4987901E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BIGGER PICTURE</w:t>
      </w:r>
    </w:p>
    <w:p w14:paraId="5C959229" w14:textId="4285C082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real divide goes beyond the question of which cities have more jobs</w:t>
      </w:r>
    </w:p>
    <w:p w14:paraId="52E538F6" w14:textId="20370B7A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data points to different stories unfolding inside India's largest urban economies, i.e., cities with more than a million people.</w:t>
      </w:r>
    </w:p>
    <w:p w14:paraId="79200D93" w14:textId="7AC00F66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On the one hand, million-plus cities have a markedly more regular employment structure than urban India as a whole. Their unincorporated economies also account for a disproportionately large share of national GVA relative to their share of establishments.</w:t>
      </w:r>
    </w:p>
    <w:p w14:paraId="1DA2AEFA" w14:textId="351BB238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On the other, the people benefiting from that transformation differ sharply by city. Some cities combine participation, regular employment and productivity. Others have productive enterprises without broad labour-market inclusion. And in several cities, women remain largely outside the labour market.</w:t>
      </w:r>
    </w:p>
    <w:p w14:paraId="051F66F8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As a result, we see several different urban labour-market structures running across the country, and policy changes need to reflect the needs of individual cities. One model can't fit into all cities.</w:t>
      </w:r>
    </w:p>
    <w:p w14:paraId="08FD8938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9133A56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0BDE9C6" w14:textId="0185E79E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WHAT THE DATA SHOW</w:t>
      </w:r>
    </w:p>
    <w:p w14:paraId="07315F22" w14:textId="41B1A454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Patterns across cities</w:t>
      </w:r>
    </w:p>
    <w:p w14:paraId="0C1B6097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datasets show differences in labour-force participation, employment structure, earnings, working hours, women's participation, youth NEET and the scale and productivity of the unincorporated business economy across 46 million-plus cities.</w:t>
      </w:r>
    </w:p>
    <w:p w14:paraId="4E0319A9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53B6A745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11552E0A" w14:textId="67FC4381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WHAT THE DATA DO NOT PROVE</w:t>
      </w:r>
    </w:p>
    <w:p w14:paraId="5EADA5CB" w14:textId="213BE220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Causality of the relationships</w:t>
      </w:r>
    </w:p>
    <w:p w14:paraId="46BE583A" w14:textId="7777777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cross-city relationships are descriptive. They do not establish that regular employment causes higher productivity, that productivity causes women's participation, or why one city's labour market performs differently from another's.</w:t>
      </w:r>
    </w:p>
    <w:p w14:paraId="7A1AD2F4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2ED302CF" w14:textId="77777777" w:rsid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</w:p>
    <w:p w14:paraId="0F4B901A" w14:textId="721BC7F5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ABOUT THE DATA</w:t>
      </w:r>
    </w:p>
    <w:p w14:paraId="21042793" w14:textId="701F7BF7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lastRenderedPageBreak/>
        <w:t>Methodology and limitations</w:t>
      </w:r>
    </w:p>
    <w:p w14:paraId="36D9FEDD" w14:textId="02E3987D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analysis combines the first dedicated PLFS report on 46 million-plus cities, based on the 2025 survey cycle, with ASUSE 2025's city-level estimates for the unincorporated non-agricultural sector. The July 2026 PLFS monthly bulletin is used separately to show the recent urban labour-market pulse rather than being forced into the city-level cross-section.</w:t>
      </w:r>
    </w:p>
    <w:p w14:paraId="51E13C2F" w14:textId="705D9A4C" w:rsidR="006A378B" w:rsidRPr="006A378B" w:rsidRDefault="006A378B" w:rsidP="006A378B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The analysis began with the original PDF reports. The tables were converted to layout-preserving text, parsed into CSV files, checked for 46-city coverage and duplicate or out-of-range observations, and then merged on harmonised city names.</w:t>
      </w:r>
    </w:p>
    <w:p w14:paraId="460121E4" w14:textId="48CEB3FC" w:rsidR="00DD41AD" w:rsidRPr="006A378B" w:rsidRDefault="006A378B" w:rsidP="006A378B">
      <w:pPr>
        <w:rPr>
          <w:rFonts w:ascii="Times New Roman" w:hAnsi="Times New Roman" w:cs="Times New Roman"/>
          <w:sz w:val="20"/>
          <w:szCs w:val="20"/>
        </w:rPr>
      </w:pPr>
      <w:r w:rsidRPr="006A3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hi-IN"/>
          <w14:ligatures w14:val="none"/>
        </w:rPr>
        <w:t>PLFS and ASUSE measure different things. PLFS describes people and their labour-market status, while ASUSE describes establishments and workers in the covered unincorporated non-agricultural economy. ASUSE GVA per worker is therefore not equivalent to total city GDP or average earnings for all workers. City-level survey estimates also carry sampling variability, so Relative Standard Errors should be considered when comparing individual cities.</w:t>
      </w:r>
    </w:p>
    <w:sectPr w:rsidR="00DD41AD" w:rsidRPr="006A3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59A"/>
    <w:multiLevelType w:val="multilevel"/>
    <w:tmpl w:val="C16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F784F"/>
    <w:multiLevelType w:val="multilevel"/>
    <w:tmpl w:val="9F8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514FC"/>
    <w:multiLevelType w:val="multilevel"/>
    <w:tmpl w:val="676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268F9"/>
    <w:multiLevelType w:val="multilevel"/>
    <w:tmpl w:val="C1D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23212">
    <w:abstractNumId w:val="1"/>
  </w:num>
  <w:num w:numId="2" w16cid:durableId="767388838">
    <w:abstractNumId w:val="0"/>
  </w:num>
  <w:num w:numId="3" w16cid:durableId="1116370314">
    <w:abstractNumId w:val="2"/>
  </w:num>
  <w:num w:numId="4" w16cid:durableId="1677419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F9"/>
    <w:rsid w:val="002621F9"/>
    <w:rsid w:val="005B20BF"/>
    <w:rsid w:val="006A378B"/>
    <w:rsid w:val="00780F9E"/>
    <w:rsid w:val="00801AA2"/>
    <w:rsid w:val="00887B5D"/>
    <w:rsid w:val="00D6397B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0E0D"/>
  <w15:chartTrackingRefBased/>
  <w15:docId w15:val="{4F709692-8249-42CC-97C0-6344F8F0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Singh</dc:creator>
  <cp:keywords/>
  <dc:description/>
  <cp:lastModifiedBy>Abhimanyu Singh</cp:lastModifiedBy>
  <cp:revision>3</cp:revision>
  <dcterms:created xsi:type="dcterms:W3CDTF">2026-09-19T13:41:00Z</dcterms:created>
  <dcterms:modified xsi:type="dcterms:W3CDTF">2026-09-20T04:28:00Z</dcterms:modified>
</cp:coreProperties>
</file>