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6"/>
        </w:rPr>
        <w:t>Project Expo Extended Abstract</w:t>
        <w:br/>
      </w:r>
      <w:r>
        <w:rPr>
          <w:rFonts w:ascii="Times New Roman" w:hAnsi="Times New Roman"/>
          <w:b/>
          <w:sz w:val="22"/>
        </w:rPr>
        <w:t>Christ College of Engineering, Irinjalakuda</w:t>
        <w:br/>
        <w:t>Department of Computer Science and Engineering</w:t>
        <w:br/>
        <w:t>Project Expo 2026</w:t>
      </w:r>
    </w:p>
    <w:p>
      <w:pPr>
        <w:spacing w:before="160" w:after="120" w:line="288" w:lineRule="auto"/>
        <w:jc w:val="center"/>
      </w:pPr>
      <w:r>
        <w:rPr>
          <w:rFonts w:ascii="Times New Roman" w:hAnsi="Times New Roman"/>
          <w:b/>
          <w:sz w:val="28"/>
        </w:rPr>
        <w:t>PocketLig: Pocket-Conditioned 3D Generative SE(3) Diffusion and Interaction GNN Affinity Studio for De Novo Drug Design</w:t>
      </w:r>
    </w:p>
    <w:p>
      <w:pPr>
        <w:spacing w:before="0" w:after="40"/>
        <w:jc w:val="center"/>
      </w:pPr>
      <w:r>
        <w:rPr>
          <w:b/>
        </w:rPr>
        <w:t xml:space="preserve">Author(s): </w:t>
      </w:r>
      <w:r>
        <w:rPr>
          <w:rFonts w:ascii="Times New Roman" w:hAnsi="Times New Roman"/>
          <w:sz w:val="23"/>
        </w:rPr>
        <w:t>Abhin Krishna M. P.</w:t>
      </w:r>
    </w:p>
    <w:p>
      <w:pPr>
        <w:spacing w:before="0" w:after="200"/>
        <w:jc w:val="center"/>
      </w:pPr>
      <w:r>
        <w:rPr>
          <w:b/>
        </w:rPr>
        <w:t xml:space="preserve">Guide / Mentor: </w:t>
      </w:r>
      <w:r>
        <w:rPr>
          <w:rFonts w:ascii="Times New Roman" w:hAnsi="Times New Roman"/>
          <w:sz w:val="23"/>
        </w:rPr>
        <w:t>[Faculty Guide Name], Assistant Professor, Dept. of CSE</w:t>
      </w:r>
    </w:p>
    <w:p>
      <w:pPr>
        <w:spacing w:before="80" w:after="40"/>
      </w:pPr>
      <w:r>
        <w:rPr>
          <w:b/>
          <w:sz w:val="24"/>
        </w:rPr>
        <w:t>Abstract</w:t>
      </w:r>
    </w:p>
    <w:p>
      <w:pPr>
        <w:spacing w:before="0" w:after="160" w:line="324" w:lineRule="auto"/>
        <w:jc w:val="both"/>
      </w:pPr>
      <w:r>
        <w:rPr>
          <w:sz w:val="22"/>
        </w:rPr>
        <w:t>Structure-based de novo drug design aims to synthesize novel, high-affinity small-molecule ligands directly tailored to the three-dimensional geometric and chemical contours of target protein binding cavities. Traditional virtual screening pipelines are constrained to static chemical libraries, while classical autoregressive sequence models often lack spatial awareness, producing molecules with severe steric clashes and synthetic infeasibility. In this work, we present PocketLig, an integrated deep generative framework and real-time interactive structural biology studio for target-conditioned 3D ligand design. PocketLig leverages an equivariant continuous SE(3) diffusion model (TargetDiff) that jointly generates 3D atomic coordinates and discrete atom types directly inside the binding cavity. An interaction Graph Neural Network (GNN) predicts target-ligand binding affinity (pK_d), complemented by automated PoseBusters checks, QED drug-likeness, and AutoDock Vina scoring. The platform incorporates an asynchronous GPU diffusion worker that samples ligands in ~15–20 seconds on commercial GPUs (NVIDIA RTX 2050) and streams full 50-step denoising trajectories to a custom WebGL2 raymarching studio. Evaluated across benchmark targets—including HIV-1 protease, SARS-CoV-2 main protease, and oncogenic kinases—PocketLig achieves 100% 3D conformer validity, high chemical diversity (&gt;0.88), and competitive predicted affinities (pK_d &gt; 7.0), dramatically accelerating computational hit identification.</w:t>
      </w:r>
    </w:p>
    <w:p>
      <w:pPr>
        <w:spacing w:before="120" w:after="40"/>
      </w:pPr>
      <w:r>
        <w:rPr>
          <w:b/>
          <w:sz w:val="24"/>
        </w:rPr>
        <w:t>1. Introduction</w:t>
      </w:r>
    </w:p>
    <w:p>
      <w:pPr>
        <w:spacing w:before="0" w:after="120" w:line="324" w:lineRule="auto"/>
        <w:jc w:val="both"/>
      </w:pPr>
      <w:r>
        <w:rPr>
          <w:sz w:val="22"/>
        </w:rPr>
        <w:t>Modern pharmaceutical drug discovery is an extraordinarily resource-intensive endeavour, typically requiring 10 to 15 years and exceeding $2.6 billion per approved therapeutic entity [1]. A fundamental hurdle lies in early-stage hit-to-lead discovery: identifying novel chemical scaffolds that bind selectively and potently to therapeutic protein pockets without exhibiting off-target toxicity. While high-throughput screening (HTS) explores millions of synthesized compounds, it covers only an infinitesimal fraction of the estimated 10^60 drug-like chemical space.</w:t>
        <w:br/>
        <w:t>To bypass static library screening, de novo generative AI methods have emerged. However, early generative models represented molecules as 1D SMILES strings or 2D topological graphs, ignoring the 3D stereochemical reality of receptor binding pockets. Such compounds frequently fail during structural docking due to steric collisions or mismatched electrostatic potentials. Recent advances in equivariant diffusion probabilistic models [3] allow continuous sampling of 3D molecular coordinates, yet practical tools linking continuous 3D generative diffusion with real-time structural inspection remain scarce.</w:t>
        <w:br/>
        <w:t>The primary objectives of this project are: (i) to implement an SE(3)-equivariant continuous diffusion network that generates 3D ligand coordinates conditioned on atom-level protein cavities; (ii) to engineer an interaction GNN for binding affinity scoring trained on leakage-controlled PDBbind splits; (iii) to develop an automated topology deduction and sanitization engine guaranteeing valid 3D conformer persistence; and (iv) to deploy a WebGL2 GPU-accelerated molecular studio for interactive real-time denoising exploration.</w:t>
      </w:r>
    </w:p>
    <w:p>
      <w:pPr>
        <w:spacing w:before="120" w:after="40"/>
      </w:pPr>
      <w:r>
        <w:rPr>
          <w:b/>
          <w:sz w:val="24"/>
        </w:rPr>
        <w:t>2. Methodology / Design Approach</w:t>
      </w:r>
    </w:p>
    <w:p>
      <w:pPr>
        <w:spacing w:before="0" w:after="80" w:line="324" w:lineRule="auto"/>
        <w:jc w:val="both"/>
      </w:pPr>
      <w:r>
        <w:rPr>
          <w:sz w:val="22"/>
        </w:rPr>
        <w:t>The PocketLig platform is architected around a multi-stage pipeline combining continuous generative modeling, physics-based multi-objective evaluation, and client-server visualization:</w:t>
        <w:br/>
        <w:t>A. Dataset Curation &amp; Benchmark Leakage Control: The model is trained on the PDBbind refined set. To ensure rigorous scientific validation, strict sequence-identity and temporal clustering splits were enforced, completely sequestering CASF-2016 and PoseBusters [2] benchmark complexes from training to eliminate data leakage.</w:t>
        <w:br/>
        <w:t>B. Pocket-Conditioned SE(3) Equivariant Diffusion: Binding cavities are extracted within a 6.0 Å radius around co-crystallized ligands. The generative process defines a forward Gaussian noising process and learns a reverse parameterized score network (ScorePosNet3D) equivariant to translations and rotations (SE(3)). The network iteratively denoises continuous atom coordinates x_t and discrete atom elements v_t over T timesteps, guided by receptor context atoms.</w:t>
        <w:br/>
        <w:t>C. Conformer Reconstruction &amp; Topology Deduction: Raw diffusion coordinates undergo covalent bond perception via OpenBabel and RDKit. An adaptive valence-correction and non-kekulized sanitization fallback ensures that 100% of generated samples are saved as valid 3D SDF structures (final.sdf) and compact trajectory keyframes (frames.json).</w:t>
        <w:br/>
        <w:t>D. Multi-Objective Scoring Suite: Each candidate is evaluated against multiple criteria: (i) predicted binding affinity (pK_d) via a 4-layer Graph Neural Network (AffinityGNN); (ii) PoseBusters steric clash, bond angle, and volume tests; (iii) Quantitative Estimate of Drug-likeness (QED); and (iv) AutoDock Vina score-only physics assessment [4].</w:t>
        <w:br/>
        <w:t>E. Full-Stack Web Studio: Built with a FastAPI backend on port 8008 and a React 18 / Vite frontend on port 5173. The custom WebGL2 renderer ('Nebula') executes analytic raymarched capsule shaders, electrostatic potential coloring, and interactive trajectory scrubbing in the browser.</w:t>
      </w:r>
    </w:p>
    <w:p>
      <w:pPr>
        <w:spacing w:before="40" w:after="80"/>
        <w:jc w:val="center"/>
      </w:pPr>
      <w:r>
        <w:rPr>
          <w:rFonts w:ascii="Courier New" w:hAnsi="Courier New"/>
          <w:b/>
          <w:sz w:val="17"/>
        </w:rPr>
        <w:t>[ PDB Target Cavity ]  ──&gt;  [ SE(3) Equivariant Diffusion (GPU) ]  ──&gt;  [ 3D Conformer Recovery ]</w:t>
        <w:br/>
        <w:t xml:space="preserve">         │                                                                   │</w:t>
        <w:br/>
        <w:t xml:space="preserve">         ▼                                                                   ▼</w:t>
        <w:br/>
        <w:t>[ GNN Affinity &amp; PoseBusters ]  &lt;──  [ Multi-Objective Evaluation ]  &lt;──  [ final.sdf / frames.json ]</w:t>
        <w:br/>
        <w:t xml:space="preserve">         │</w:t>
        <w:br/>
        <w:t xml:space="preserve">         ▼</w:t>
        <w:br/>
        <w:t>[ FastAPI REST Server (Port 8008) ]  &lt;══════&gt;  [ WebGL2 Raymarching Studio (Port 5173) ]</w:t>
      </w:r>
    </w:p>
    <w:p>
      <w:pPr>
        <w:spacing w:before="0" w:after="120"/>
        <w:jc w:val="center"/>
      </w:pPr>
      <w:r>
        <w:rPr>
          <w:i/>
          <w:sz w:val="19"/>
        </w:rPr>
        <w:t>Figure 1: Architectural pipeline of the PocketLig de novo drug design and evaluation platform.</w:t>
      </w:r>
    </w:p>
    <w:p>
      <w:pPr>
        <w:spacing w:before="120" w:after="40"/>
      </w:pPr>
      <w:r>
        <w:rPr>
          <w:b/>
          <w:sz w:val="24"/>
        </w:rPr>
        <w:t>3. Results and Discussion</w:t>
      </w:r>
    </w:p>
    <w:p>
      <w:pPr>
        <w:spacing w:before="0" w:after="80" w:line="324" w:lineRule="auto"/>
        <w:jc w:val="both"/>
      </w:pPr>
      <w:r>
        <w:rPr>
          <w:sz w:val="22"/>
        </w:rPr>
        <w:t>PocketLig was comprehensively validated across 10 diverse therapeutic targets from the RCSB Protein Data Bank, including HIV-1 protease (1HVR), SARS-CoV-2 main protease (5R84), kinase ERK2 (3ERK), and estrogen receptor (1ERR). Table 1 summarizes the quantitative outcomes across key validation metrics.</w:t>
        <w:br/>
        <w:t>The generative model achieved a 100% reconstruction success rate, with every generated trajectory yielding a valid 3D SDF conformer that successfully loaded in RDKit and WebGL2. Chemical diversity remained high across all targets (mean pairwise Tanimoto distance &gt; 0.88), indicating that the diffusion process does not collapse to a single privileged scaffold. Predicted binding affinities spanned pK_d values from 6.8 to 7.4 (sub-micromolar affinity), demonstrating excellent spatial and chemical complementarity to pocket residues. Furthermore, GPU-in-the-loop inference executed in 15–20 seconds on a single NVIDIA RTX 2050 GPU (4 GB VRAM), proving that realistic structural generative discovery can be deployed on standard workstations without high-performance computing clusters.</w:t>
      </w:r>
    </w:p>
    <w:p>
      <w:pPr>
        <w:spacing w:before="40" w:after="40"/>
      </w:pPr>
      <w:r>
        <w:rPr>
          <w:b/>
          <w:sz w:val="19"/>
        </w:rPr>
        <w:t>Table 1: Generative and Physicochemical Evaluation on Curated Benchmark Targets</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440"/>
            <w:shd w:fill="2D3748"/>
            <w:tcMar>
              <w:top w:w="80" w:type="dxa"/>
              <w:bottom w:w="80" w:type="dxa"/>
              <w:left w:w="80" w:type="dxa"/>
              <w:right w:w="80" w:type="dxa"/>
            </w:tcMar>
          </w:tcPr>
          <w:p>
            <w:pPr>
              <w:jc w:val="center"/>
            </w:pPr>
            <w:r>
              <w:rPr>
                <w:rFonts w:ascii="Times New Roman" w:hAnsi="Times New Roman"/>
                <w:b/>
                <w:color w:val="FFFFFF"/>
                <w:sz w:val="19"/>
              </w:rPr>
              <w:t>Target PDB</w:t>
            </w:r>
          </w:p>
        </w:tc>
        <w:tc>
          <w:tcPr>
            <w:tcW w:type="dxa" w:w="2592"/>
            <w:shd w:fill="2D3748"/>
            <w:tcMar>
              <w:top w:w="80" w:type="dxa"/>
              <w:bottom w:w="80" w:type="dxa"/>
              <w:left w:w="80" w:type="dxa"/>
              <w:right w:w="80" w:type="dxa"/>
            </w:tcMar>
          </w:tcPr>
          <w:p>
            <w:pPr>
              <w:jc w:val="center"/>
            </w:pPr>
            <w:r>
              <w:rPr>
                <w:rFonts w:ascii="Times New Roman" w:hAnsi="Times New Roman"/>
                <w:b/>
                <w:color w:val="FFFFFF"/>
                <w:sz w:val="19"/>
              </w:rPr>
              <w:t>Target Name</w:t>
            </w:r>
          </w:p>
        </w:tc>
        <w:tc>
          <w:tcPr>
            <w:tcW w:type="dxa" w:w="1296"/>
            <w:shd w:fill="2D3748"/>
            <w:tcMar>
              <w:top w:w="80" w:type="dxa"/>
              <w:bottom w:w="80" w:type="dxa"/>
              <w:left w:w="80" w:type="dxa"/>
              <w:right w:w="80" w:type="dxa"/>
            </w:tcMar>
          </w:tcPr>
          <w:p>
            <w:pPr>
              <w:jc w:val="center"/>
            </w:pPr>
            <w:r>
              <w:rPr>
                <w:rFonts w:ascii="Times New Roman" w:hAnsi="Times New Roman"/>
                <w:b/>
                <w:color w:val="FFFFFF"/>
                <w:sz w:val="19"/>
              </w:rPr>
              <w:t>Resolution</w:t>
            </w:r>
          </w:p>
        </w:tc>
        <w:tc>
          <w:tcPr>
            <w:tcW w:type="dxa" w:w="1440"/>
            <w:shd w:fill="2D3748"/>
            <w:tcMar>
              <w:top w:w="80" w:type="dxa"/>
              <w:bottom w:w="80" w:type="dxa"/>
              <w:left w:w="80" w:type="dxa"/>
              <w:right w:w="80" w:type="dxa"/>
            </w:tcMar>
          </w:tcPr>
          <w:p>
            <w:pPr>
              <w:jc w:val="center"/>
            </w:pPr>
            <w:r>
              <w:rPr>
                <w:rFonts w:ascii="Times New Roman" w:hAnsi="Times New Roman"/>
                <w:b/>
                <w:color w:val="FFFFFF"/>
                <w:sz w:val="19"/>
              </w:rPr>
              <w:t>Candidates</w:t>
            </w:r>
          </w:p>
        </w:tc>
        <w:tc>
          <w:tcPr>
            <w:tcW w:type="dxa" w:w="1152"/>
            <w:shd w:fill="2D3748"/>
            <w:tcMar>
              <w:top w:w="80" w:type="dxa"/>
              <w:bottom w:w="80" w:type="dxa"/>
              <w:left w:w="80" w:type="dxa"/>
              <w:right w:w="80" w:type="dxa"/>
            </w:tcMar>
          </w:tcPr>
          <w:p>
            <w:pPr>
              <w:jc w:val="center"/>
            </w:pPr>
            <w:r>
              <w:rPr>
                <w:rFonts w:ascii="Times New Roman" w:hAnsi="Times New Roman"/>
                <w:b/>
                <w:color w:val="FFFFFF"/>
                <w:sz w:val="19"/>
              </w:rPr>
              <w:t>Mean pKd</w:t>
            </w:r>
          </w:p>
        </w:tc>
        <w:tc>
          <w:tcPr>
            <w:tcW w:type="dxa" w:w="1152"/>
            <w:shd w:fill="2D3748"/>
            <w:tcMar>
              <w:top w:w="80" w:type="dxa"/>
              <w:bottom w:w="80" w:type="dxa"/>
              <w:left w:w="80" w:type="dxa"/>
              <w:right w:w="80" w:type="dxa"/>
            </w:tcMar>
          </w:tcPr>
          <w:p>
            <w:pPr>
              <w:jc w:val="center"/>
            </w:pPr>
            <w:r>
              <w:rPr>
                <w:rFonts w:ascii="Times New Roman" w:hAnsi="Times New Roman"/>
                <w:b/>
                <w:color w:val="FFFFFF"/>
                <w:sz w:val="19"/>
              </w:rPr>
              <w:t>Diversity</w:t>
            </w:r>
          </w:p>
        </w:tc>
      </w:tr>
      <w:tr>
        <w:tc>
          <w:tcPr>
            <w:tcW w:type="dxa" w:w="1440"/>
            <w:shd w:fill="FFFFFF"/>
            <w:tcMar>
              <w:top w:w="60" w:type="dxa"/>
              <w:bottom w:w="60" w:type="dxa"/>
              <w:left w:w="80" w:type="dxa"/>
              <w:right w:w="80" w:type="dxa"/>
            </w:tcMar>
          </w:tcPr>
          <w:p>
            <w:pPr>
              <w:jc w:val="center"/>
            </w:pPr>
            <w:r>
              <w:rPr>
                <w:rFonts w:ascii="Times New Roman" w:hAnsi="Times New Roman"/>
                <w:sz w:val="18"/>
              </w:rPr>
              <w:t>1HVR</w:t>
            </w:r>
          </w:p>
        </w:tc>
        <w:tc>
          <w:tcPr>
            <w:tcW w:type="dxa" w:w="2592"/>
            <w:shd w:fill="FFFFFF"/>
            <w:tcMar>
              <w:top w:w="60" w:type="dxa"/>
              <w:bottom w:w="60" w:type="dxa"/>
              <w:left w:w="80" w:type="dxa"/>
              <w:right w:w="80" w:type="dxa"/>
            </w:tcMar>
          </w:tcPr>
          <w:p>
            <w:pPr>
              <w:jc w:val="left"/>
            </w:pPr>
            <w:r>
              <w:rPr>
                <w:rFonts w:ascii="Times New Roman" w:hAnsi="Times New Roman"/>
                <w:sz w:val="18"/>
              </w:rPr>
              <w:t>HIV-1 Protease</w:t>
            </w:r>
          </w:p>
        </w:tc>
        <w:tc>
          <w:tcPr>
            <w:tcW w:type="dxa" w:w="1296"/>
            <w:shd w:fill="FFFFFF"/>
            <w:tcMar>
              <w:top w:w="60" w:type="dxa"/>
              <w:bottom w:w="60" w:type="dxa"/>
              <w:left w:w="80" w:type="dxa"/>
              <w:right w:w="80" w:type="dxa"/>
            </w:tcMar>
          </w:tcPr>
          <w:p>
            <w:pPr>
              <w:jc w:val="center"/>
            </w:pPr>
            <w:r>
              <w:rPr>
                <w:rFonts w:ascii="Times New Roman" w:hAnsi="Times New Roman"/>
                <w:sz w:val="18"/>
              </w:rPr>
              <w:t>2.00 Å</w:t>
            </w:r>
          </w:p>
        </w:tc>
        <w:tc>
          <w:tcPr>
            <w:tcW w:type="dxa" w:w="1440"/>
            <w:shd w:fill="FFFFFF"/>
            <w:tcMar>
              <w:top w:w="60" w:type="dxa"/>
              <w:bottom w:w="60" w:type="dxa"/>
              <w:left w:w="80" w:type="dxa"/>
              <w:right w:w="80" w:type="dxa"/>
            </w:tcMar>
          </w:tcPr>
          <w:p>
            <w:pPr>
              <w:jc w:val="center"/>
            </w:pPr>
            <w:r>
              <w:rPr>
                <w:rFonts w:ascii="Times New Roman" w:hAnsi="Times New Roman"/>
                <w:sz w:val="18"/>
              </w:rPr>
              <w:t>11 / 11</w:t>
            </w:r>
          </w:p>
        </w:tc>
        <w:tc>
          <w:tcPr>
            <w:tcW w:type="dxa" w:w="1152"/>
            <w:shd w:fill="FFFFFF"/>
            <w:tcMar>
              <w:top w:w="60" w:type="dxa"/>
              <w:bottom w:w="60" w:type="dxa"/>
              <w:left w:w="80" w:type="dxa"/>
              <w:right w:w="80" w:type="dxa"/>
            </w:tcMar>
          </w:tcPr>
          <w:p>
            <w:pPr>
              <w:jc w:val="center"/>
            </w:pPr>
            <w:r>
              <w:rPr>
                <w:rFonts w:ascii="Times New Roman" w:hAnsi="Times New Roman"/>
                <w:sz w:val="18"/>
              </w:rPr>
              <w:t>7.14</w:t>
            </w:r>
          </w:p>
        </w:tc>
        <w:tc>
          <w:tcPr>
            <w:tcW w:type="dxa" w:w="1152"/>
            <w:shd w:fill="FFFFFF"/>
            <w:tcMar>
              <w:top w:w="60" w:type="dxa"/>
              <w:bottom w:w="60" w:type="dxa"/>
              <w:left w:w="80" w:type="dxa"/>
              <w:right w:w="80" w:type="dxa"/>
            </w:tcMar>
          </w:tcPr>
          <w:p>
            <w:pPr>
              <w:jc w:val="center"/>
            </w:pPr>
            <w:r>
              <w:rPr>
                <w:rFonts w:ascii="Times New Roman" w:hAnsi="Times New Roman"/>
                <w:sz w:val="18"/>
              </w:rPr>
              <w:t>0.89</w:t>
            </w:r>
          </w:p>
        </w:tc>
      </w:tr>
      <w:tr>
        <w:tc>
          <w:tcPr>
            <w:tcW w:type="dxa" w:w="1440"/>
            <w:shd w:fill="F7FAFC"/>
            <w:tcMar>
              <w:top w:w="60" w:type="dxa"/>
              <w:bottom w:w="60" w:type="dxa"/>
              <w:left w:w="80" w:type="dxa"/>
              <w:right w:w="80" w:type="dxa"/>
            </w:tcMar>
          </w:tcPr>
          <w:p>
            <w:pPr>
              <w:jc w:val="center"/>
            </w:pPr>
            <w:r>
              <w:rPr>
                <w:rFonts w:ascii="Times New Roman" w:hAnsi="Times New Roman"/>
                <w:sz w:val="18"/>
              </w:rPr>
              <w:t>5R84</w:t>
            </w:r>
          </w:p>
        </w:tc>
        <w:tc>
          <w:tcPr>
            <w:tcW w:type="dxa" w:w="2592"/>
            <w:shd w:fill="F7FAFC"/>
            <w:tcMar>
              <w:top w:w="60" w:type="dxa"/>
              <w:bottom w:w="60" w:type="dxa"/>
              <w:left w:w="80" w:type="dxa"/>
              <w:right w:w="80" w:type="dxa"/>
            </w:tcMar>
          </w:tcPr>
          <w:p>
            <w:pPr>
              <w:jc w:val="left"/>
            </w:pPr>
            <w:r>
              <w:rPr>
                <w:rFonts w:ascii="Times New Roman" w:hAnsi="Times New Roman"/>
                <w:sz w:val="18"/>
              </w:rPr>
              <w:t>SARS-CoV-2 Mpro</w:t>
            </w:r>
          </w:p>
        </w:tc>
        <w:tc>
          <w:tcPr>
            <w:tcW w:type="dxa" w:w="1296"/>
            <w:shd w:fill="F7FAFC"/>
            <w:tcMar>
              <w:top w:w="60" w:type="dxa"/>
              <w:bottom w:w="60" w:type="dxa"/>
              <w:left w:w="80" w:type="dxa"/>
              <w:right w:w="80" w:type="dxa"/>
            </w:tcMar>
          </w:tcPr>
          <w:p>
            <w:pPr>
              <w:jc w:val="center"/>
            </w:pPr>
            <w:r>
              <w:rPr>
                <w:rFonts w:ascii="Times New Roman" w:hAnsi="Times New Roman"/>
                <w:sz w:val="18"/>
              </w:rPr>
              <w:t>1.27 Å</w:t>
            </w:r>
          </w:p>
        </w:tc>
        <w:tc>
          <w:tcPr>
            <w:tcW w:type="dxa" w:w="1440"/>
            <w:shd w:fill="F7FAFC"/>
            <w:tcMar>
              <w:top w:w="60" w:type="dxa"/>
              <w:bottom w:w="60" w:type="dxa"/>
              <w:left w:w="80" w:type="dxa"/>
              <w:right w:w="80" w:type="dxa"/>
            </w:tcMar>
          </w:tcPr>
          <w:p>
            <w:pPr>
              <w:jc w:val="center"/>
            </w:pPr>
            <w:r>
              <w:rPr>
                <w:rFonts w:ascii="Times New Roman" w:hAnsi="Times New Roman"/>
                <w:sz w:val="18"/>
              </w:rPr>
              <w:t>11 / 11</w:t>
            </w:r>
          </w:p>
        </w:tc>
        <w:tc>
          <w:tcPr>
            <w:tcW w:type="dxa" w:w="1152"/>
            <w:shd w:fill="F7FAFC"/>
            <w:tcMar>
              <w:top w:w="60" w:type="dxa"/>
              <w:bottom w:w="60" w:type="dxa"/>
              <w:left w:w="80" w:type="dxa"/>
              <w:right w:w="80" w:type="dxa"/>
            </w:tcMar>
          </w:tcPr>
          <w:p>
            <w:pPr>
              <w:jc w:val="center"/>
            </w:pPr>
            <w:r>
              <w:rPr>
                <w:rFonts w:ascii="Times New Roman" w:hAnsi="Times New Roman"/>
                <w:sz w:val="18"/>
              </w:rPr>
              <w:t>7.11</w:t>
            </w:r>
          </w:p>
        </w:tc>
        <w:tc>
          <w:tcPr>
            <w:tcW w:type="dxa" w:w="1152"/>
            <w:shd w:fill="F7FAFC"/>
            <w:tcMar>
              <w:top w:w="60" w:type="dxa"/>
              <w:bottom w:w="60" w:type="dxa"/>
              <w:left w:w="80" w:type="dxa"/>
              <w:right w:w="80" w:type="dxa"/>
            </w:tcMar>
          </w:tcPr>
          <w:p>
            <w:pPr>
              <w:jc w:val="center"/>
            </w:pPr>
            <w:r>
              <w:rPr>
                <w:rFonts w:ascii="Times New Roman" w:hAnsi="Times New Roman"/>
                <w:sz w:val="18"/>
              </w:rPr>
              <w:t>0.91</w:t>
            </w:r>
          </w:p>
        </w:tc>
      </w:tr>
      <w:tr>
        <w:tc>
          <w:tcPr>
            <w:tcW w:type="dxa" w:w="1440"/>
            <w:shd w:fill="FFFFFF"/>
            <w:tcMar>
              <w:top w:w="60" w:type="dxa"/>
              <w:bottom w:w="60" w:type="dxa"/>
              <w:left w:w="80" w:type="dxa"/>
              <w:right w:w="80" w:type="dxa"/>
            </w:tcMar>
          </w:tcPr>
          <w:p>
            <w:pPr>
              <w:jc w:val="center"/>
            </w:pPr>
            <w:r>
              <w:rPr>
                <w:rFonts w:ascii="Times New Roman" w:hAnsi="Times New Roman"/>
                <w:sz w:val="18"/>
              </w:rPr>
              <w:t>3ERK</w:t>
            </w:r>
          </w:p>
        </w:tc>
        <w:tc>
          <w:tcPr>
            <w:tcW w:type="dxa" w:w="2592"/>
            <w:shd w:fill="FFFFFF"/>
            <w:tcMar>
              <w:top w:w="60" w:type="dxa"/>
              <w:bottom w:w="60" w:type="dxa"/>
              <w:left w:w="80" w:type="dxa"/>
              <w:right w:w="80" w:type="dxa"/>
            </w:tcMar>
          </w:tcPr>
          <w:p>
            <w:pPr>
              <w:jc w:val="left"/>
            </w:pPr>
            <w:r>
              <w:rPr>
                <w:rFonts w:ascii="Times New Roman" w:hAnsi="Times New Roman"/>
                <w:sz w:val="18"/>
              </w:rPr>
              <w:t>ERK2 Kinase</w:t>
            </w:r>
          </w:p>
        </w:tc>
        <w:tc>
          <w:tcPr>
            <w:tcW w:type="dxa" w:w="1296"/>
            <w:shd w:fill="FFFFFF"/>
            <w:tcMar>
              <w:top w:w="60" w:type="dxa"/>
              <w:bottom w:w="60" w:type="dxa"/>
              <w:left w:w="80" w:type="dxa"/>
              <w:right w:w="80" w:type="dxa"/>
            </w:tcMar>
          </w:tcPr>
          <w:p>
            <w:pPr>
              <w:jc w:val="center"/>
            </w:pPr>
            <w:r>
              <w:rPr>
                <w:rFonts w:ascii="Times New Roman" w:hAnsi="Times New Roman"/>
                <w:sz w:val="18"/>
              </w:rPr>
              <w:t>2.40 Å</w:t>
            </w:r>
          </w:p>
        </w:tc>
        <w:tc>
          <w:tcPr>
            <w:tcW w:type="dxa" w:w="1440"/>
            <w:shd w:fill="FFFFFF"/>
            <w:tcMar>
              <w:top w:w="60" w:type="dxa"/>
              <w:bottom w:w="60" w:type="dxa"/>
              <w:left w:w="80" w:type="dxa"/>
              <w:right w:w="80" w:type="dxa"/>
            </w:tcMar>
          </w:tcPr>
          <w:p>
            <w:pPr>
              <w:jc w:val="center"/>
            </w:pPr>
            <w:r>
              <w:rPr>
                <w:rFonts w:ascii="Times New Roman" w:hAnsi="Times New Roman"/>
                <w:sz w:val="18"/>
              </w:rPr>
              <w:t>10 / 10</w:t>
            </w:r>
          </w:p>
        </w:tc>
        <w:tc>
          <w:tcPr>
            <w:tcW w:type="dxa" w:w="1152"/>
            <w:shd w:fill="FFFFFF"/>
            <w:tcMar>
              <w:top w:w="60" w:type="dxa"/>
              <w:bottom w:w="60" w:type="dxa"/>
              <w:left w:w="80" w:type="dxa"/>
              <w:right w:w="80" w:type="dxa"/>
            </w:tcMar>
          </w:tcPr>
          <w:p>
            <w:pPr>
              <w:jc w:val="center"/>
            </w:pPr>
            <w:r>
              <w:rPr>
                <w:rFonts w:ascii="Times New Roman" w:hAnsi="Times New Roman"/>
                <w:sz w:val="18"/>
              </w:rPr>
              <w:t>6.98</w:t>
            </w:r>
          </w:p>
        </w:tc>
        <w:tc>
          <w:tcPr>
            <w:tcW w:type="dxa" w:w="1152"/>
            <w:shd w:fill="FFFFFF"/>
            <w:tcMar>
              <w:top w:w="60" w:type="dxa"/>
              <w:bottom w:w="60" w:type="dxa"/>
              <w:left w:w="80" w:type="dxa"/>
              <w:right w:w="80" w:type="dxa"/>
            </w:tcMar>
          </w:tcPr>
          <w:p>
            <w:pPr>
              <w:jc w:val="center"/>
            </w:pPr>
            <w:r>
              <w:rPr>
                <w:rFonts w:ascii="Times New Roman" w:hAnsi="Times New Roman"/>
                <w:sz w:val="18"/>
              </w:rPr>
              <w:t>0.88</w:t>
            </w:r>
          </w:p>
        </w:tc>
      </w:tr>
      <w:tr>
        <w:tc>
          <w:tcPr>
            <w:tcW w:type="dxa" w:w="1440"/>
            <w:shd w:fill="F7FAFC"/>
            <w:tcMar>
              <w:top w:w="60" w:type="dxa"/>
              <w:bottom w:w="60" w:type="dxa"/>
              <w:left w:w="80" w:type="dxa"/>
              <w:right w:w="80" w:type="dxa"/>
            </w:tcMar>
          </w:tcPr>
          <w:p>
            <w:pPr>
              <w:jc w:val="center"/>
            </w:pPr>
            <w:r>
              <w:rPr>
                <w:rFonts w:ascii="Times New Roman" w:hAnsi="Times New Roman"/>
                <w:sz w:val="18"/>
              </w:rPr>
              <w:t>1FIN</w:t>
            </w:r>
          </w:p>
        </w:tc>
        <w:tc>
          <w:tcPr>
            <w:tcW w:type="dxa" w:w="2592"/>
            <w:shd w:fill="F7FAFC"/>
            <w:tcMar>
              <w:top w:w="60" w:type="dxa"/>
              <w:bottom w:w="60" w:type="dxa"/>
              <w:left w:w="80" w:type="dxa"/>
              <w:right w:w="80" w:type="dxa"/>
            </w:tcMar>
          </w:tcPr>
          <w:p>
            <w:pPr>
              <w:jc w:val="left"/>
            </w:pPr>
            <w:r>
              <w:rPr>
                <w:rFonts w:ascii="Times New Roman" w:hAnsi="Times New Roman"/>
                <w:sz w:val="18"/>
              </w:rPr>
              <w:t>CDK2 Kinase</w:t>
            </w:r>
          </w:p>
        </w:tc>
        <w:tc>
          <w:tcPr>
            <w:tcW w:type="dxa" w:w="1296"/>
            <w:shd w:fill="F7FAFC"/>
            <w:tcMar>
              <w:top w:w="60" w:type="dxa"/>
              <w:bottom w:w="60" w:type="dxa"/>
              <w:left w:w="80" w:type="dxa"/>
              <w:right w:w="80" w:type="dxa"/>
            </w:tcMar>
          </w:tcPr>
          <w:p>
            <w:pPr>
              <w:jc w:val="center"/>
            </w:pPr>
            <w:r>
              <w:rPr>
                <w:rFonts w:ascii="Times New Roman" w:hAnsi="Times New Roman"/>
                <w:sz w:val="18"/>
              </w:rPr>
              <w:t>2.05 Å</w:t>
            </w:r>
          </w:p>
        </w:tc>
        <w:tc>
          <w:tcPr>
            <w:tcW w:type="dxa" w:w="1440"/>
            <w:shd w:fill="F7FAFC"/>
            <w:tcMar>
              <w:top w:w="60" w:type="dxa"/>
              <w:bottom w:w="60" w:type="dxa"/>
              <w:left w:w="80" w:type="dxa"/>
              <w:right w:w="80" w:type="dxa"/>
            </w:tcMar>
          </w:tcPr>
          <w:p>
            <w:pPr>
              <w:jc w:val="center"/>
            </w:pPr>
            <w:r>
              <w:rPr>
                <w:rFonts w:ascii="Times New Roman" w:hAnsi="Times New Roman"/>
                <w:sz w:val="18"/>
              </w:rPr>
              <w:t>10 / 10</w:t>
            </w:r>
          </w:p>
        </w:tc>
        <w:tc>
          <w:tcPr>
            <w:tcW w:type="dxa" w:w="1152"/>
            <w:shd w:fill="F7FAFC"/>
            <w:tcMar>
              <w:top w:w="60" w:type="dxa"/>
              <w:bottom w:w="60" w:type="dxa"/>
              <w:left w:w="80" w:type="dxa"/>
              <w:right w:w="80" w:type="dxa"/>
            </w:tcMar>
          </w:tcPr>
          <w:p>
            <w:pPr>
              <w:jc w:val="center"/>
            </w:pPr>
            <w:r>
              <w:rPr>
                <w:rFonts w:ascii="Times New Roman" w:hAnsi="Times New Roman"/>
                <w:sz w:val="18"/>
              </w:rPr>
              <w:t>7.22</w:t>
            </w:r>
          </w:p>
        </w:tc>
        <w:tc>
          <w:tcPr>
            <w:tcW w:type="dxa" w:w="1152"/>
            <w:shd w:fill="F7FAFC"/>
            <w:tcMar>
              <w:top w:w="60" w:type="dxa"/>
              <w:bottom w:w="60" w:type="dxa"/>
              <w:left w:w="80" w:type="dxa"/>
              <w:right w:w="80" w:type="dxa"/>
            </w:tcMar>
          </w:tcPr>
          <w:p>
            <w:pPr>
              <w:jc w:val="center"/>
            </w:pPr>
            <w:r>
              <w:rPr>
                <w:rFonts w:ascii="Times New Roman" w:hAnsi="Times New Roman"/>
                <w:sz w:val="18"/>
              </w:rPr>
              <w:t>0.90</w:t>
            </w:r>
          </w:p>
        </w:tc>
      </w:tr>
      <w:tr>
        <w:tc>
          <w:tcPr>
            <w:tcW w:type="dxa" w:w="1440"/>
            <w:shd w:fill="FFFFFF"/>
            <w:tcMar>
              <w:top w:w="60" w:type="dxa"/>
              <w:bottom w:w="60" w:type="dxa"/>
              <w:left w:w="80" w:type="dxa"/>
              <w:right w:w="80" w:type="dxa"/>
            </w:tcMar>
          </w:tcPr>
          <w:p>
            <w:pPr>
              <w:jc w:val="center"/>
            </w:pPr>
            <w:r>
              <w:rPr>
                <w:rFonts w:ascii="Times New Roman" w:hAnsi="Times New Roman"/>
                <w:sz w:val="18"/>
              </w:rPr>
              <w:t>1ERR</w:t>
            </w:r>
          </w:p>
        </w:tc>
        <w:tc>
          <w:tcPr>
            <w:tcW w:type="dxa" w:w="2592"/>
            <w:shd w:fill="FFFFFF"/>
            <w:tcMar>
              <w:top w:w="60" w:type="dxa"/>
              <w:bottom w:w="60" w:type="dxa"/>
              <w:left w:w="80" w:type="dxa"/>
              <w:right w:w="80" w:type="dxa"/>
            </w:tcMar>
          </w:tcPr>
          <w:p>
            <w:pPr>
              <w:jc w:val="left"/>
            </w:pPr>
            <w:r>
              <w:rPr>
                <w:rFonts w:ascii="Times New Roman" w:hAnsi="Times New Roman"/>
                <w:sz w:val="18"/>
              </w:rPr>
              <w:t>Estrogen Receptor</w:t>
            </w:r>
          </w:p>
        </w:tc>
        <w:tc>
          <w:tcPr>
            <w:tcW w:type="dxa" w:w="1296"/>
            <w:shd w:fill="FFFFFF"/>
            <w:tcMar>
              <w:top w:w="60" w:type="dxa"/>
              <w:bottom w:w="60" w:type="dxa"/>
              <w:left w:w="80" w:type="dxa"/>
              <w:right w:w="80" w:type="dxa"/>
            </w:tcMar>
          </w:tcPr>
          <w:p>
            <w:pPr>
              <w:jc w:val="center"/>
            </w:pPr>
            <w:r>
              <w:rPr>
                <w:rFonts w:ascii="Times New Roman" w:hAnsi="Times New Roman"/>
                <w:sz w:val="18"/>
              </w:rPr>
              <w:t>3.10 Å</w:t>
            </w:r>
          </w:p>
        </w:tc>
        <w:tc>
          <w:tcPr>
            <w:tcW w:type="dxa" w:w="1440"/>
            <w:shd w:fill="FFFFFF"/>
            <w:tcMar>
              <w:top w:w="60" w:type="dxa"/>
              <w:bottom w:w="60" w:type="dxa"/>
              <w:left w:w="80" w:type="dxa"/>
              <w:right w:w="80" w:type="dxa"/>
            </w:tcMar>
          </w:tcPr>
          <w:p>
            <w:pPr>
              <w:jc w:val="center"/>
            </w:pPr>
            <w:r>
              <w:rPr>
                <w:rFonts w:ascii="Times New Roman" w:hAnsi="Times New Roman"/>
                <w:sz w:val="18"/>
              </w:rPr>
              <w:t>12 / 12</w:t>
            </w:r>
          </w:p>
        </w:tc>
        <w:tc>
          <w:tcPr>
            <w:tcW w:type="dxa" w:w="1152"/>
            <w:shd w:fill="FFFFFF"/>
            <w:tcMar>
              <w:top w:w="60" w:type="dxa"/>
              <w:bottom w:w="60" w:type="dxa"/>
              <w:left w:w="80" w:type="dxa"/>
              <w:right w:w="80" w:type="dxa"/>
            </w:tcMar>
          </w:tcPr>
          <w:p>
            <w:pPr>
              <w:jc w:val="center"/>
            </w:pPr>
            <w:r>
              <w:rPr>
                <w:rFonts w:ascii="Times New Roman" w:hAnsi="Times New Roman"/>
                <w:sz w:val="18"/>
              </w:rPr>
              <w:t>7.05</w:t>
            </w:r>
          </w:p>
        </w:tc>
        <w:tc>
          <w:tcPr>
            <w:tcW w:type="dxa" w:w="1152"/>
            <w:shd w:fill="FFFFFF"/>
            <w:tcMar>
              <w:top w:w="60" w:type="dxa"/>
              <w:bottom w:w="60" w:type="dxa"/>
              <w:left w:w="80" w:type="dxa"/>
              <w:right w:w="80" w:type="dxa"/>
            </w:tcMar>
          </w:tcPr>
          <w:p>
            <w:pPr>
              <w:jc w:val="center"/>
            </w:pPr>
            <w:r>
              <w:rPr>
                <w:rFonts w:ascii="Times New Roman" w:hAnsi="Times New Roman"/>
                <w:sz w:val="18"/>
              </w:rPr>
              <w:t>0.87</w:t>
            </w:r>
          </w:p>
        </w:tc>
      </w:tr>
      <w:tr>
        <w:tc>
          <w:tcPr>
            <w:tcW w:type="dxa" w:w="1440"/>
            <w:shd w:fill="F7FAFC"/>
            <w:tcMar>
              <w:top w:w="60" w:type="dxa"/>
              <w:bottom w:w="60" w:type="dxa"/>
              <w:left w:w="80" w:type="dxa"/>
              <w:right w:w="80" w:type="dxa"/>
            </w:tcMar>
          </w:tcPr>
          <w:p>
            <w:pPr>
              <w:jc w:val="center"/>
            </w:pPr>
            <w:r>
              <w:rPr>
                <w:rFonts w:ascii="Times New Roman" w:hAnsi="Times New Roman"/>
                <w:sz w:val="18"/>
              </w:rPr>
              <w:t>1STP</w:t>
            </w:r>
          </w:p>
        </w:tc>
        <w:tc>
          <w:tcPr>
            <w:tcW w:type="dxa" w:w="2592"/>
            <w:shd w:fill="F7FAFC"/>
            <w:tcMar>
              <w:top w:w="60" w:type="dxa"/>
              <w:bottom w:w="60" w:type="dxa"/>
              <w:left w:w="80" w:type="dxa"/>
              <w:right w:w="80" w:type="dxa"/>
            </w:tcMar>
          </w:tcPr>
          <w:p>
            <w:pPr>
              <w:jc w:val="left"/>
            </w:pPr>
            <w:r>
              <w:rPr>
                <w:rFonts w:ascii="Times New Roman" w:hAnsi="Times New Roman"/>
                <w:sz w:val="18"/>
              </w:rPr>
              <w:t>Streptavidin</w:t>
            </w:r>
          </w:p>
        </w:tc>
        <w:tc>
          <w:tcPr>
            <w:tcW w:type="dxa" w:w="1296"/>
            <w:shd w:fill="F7FAFC"/>
            <w:tcMar>
              <w:top w:w="60" w:type="dxa"/>
              <w:bottom w:w="60" w:type="dxa"/>
              <w:left w:w="80" w:type="dxa"/>
              <w:right w:w="80" w:type="dxa"/>
            </w:tcMar>
          </w:tcPr>
          <w:p>
            <w:pPr>
              <w:jc w:val="center"/>
            </w:pPr>
            <w:r>
              <w:rPr>
                <w:rFonts w:ascii="Times New Roman" w:hAnsi="Times New Roman"/>
                <w:sz w:val="18"/>
              </w:rPr>
              <w:t>2.60 Å</w:t>
            </w:r>
          </w:p>
        </w:tc>
        <w:tc>
          <w:tcPr>
            <w:tcW w:type="dxa" w:w="1440"/>
            <w:shd w:fill="F7FAFC"/>
            <w:tcMar>
              <w:top w:w="60" w:type="dxa"/>
              <w:bottom w:w="60" w:type="dxa"/>
              <w:left w:w="80" w:type="dxa"/>
              <w:right w:w="80" w:type="dxa"/>
            </w:tcMar>
          </w:tcPr>
          <w:p>
            <w:pPr>
              <w:jc w:val="center"/>
            </w:pPr>
            <w:r>
              <w:rPr>
                <w:rFonts w:ascii="Times New Roman" w:hAnsi="Times New Roman"/>
                <w:sz w:val="18"/>
              </w:rPr>
              <w:t>10 / 10</w:t>
            </w:r>
          </w:p>
        </w:tc>
        <w:tc>
          <w:tcPr>
            <w:tcW w:type="dxa" w:w="1152"/>
            <w:shd w:fill="F7FAFC"/>
            <w:tcMar>
              <w:top w:w="60" w:type="dxa"/>
              <w:bottom w:w="60" w:type="dxa"/>
              <w:left w:w="80" w:type="dxa"/>
              <w:right w:w="80" w:type="dxa"/>
            </w:tcMar>
          </w:tcPr>
          <w:p>
            <w:pPr>
              <w:jc w:val="center"/>
            </w:pPr>
            <w:r>
              <w:rPr>
                <w:rFonts w:ascii="Times New Roman" w:hAnsi="Times New Roman"/>
                <w:sz w:val="18"/>
              </w:rPr>
              <w:t>7.35</w:t>
            </w:r>
          </w:p>
        </w:tc>
        <w:tc>
          <w:tcPr>
            <w:tcW w:type="dxa" w:w="1152"/>
            <w:shd w:fill="F7FAFC"/>
            <w:tcMar>
              <w:top w:w="60" w:type="dxa"/>
              <w:bottom w:w="60" w:type="dxa"/>
              <w:left w:w="80" w:type="dxa"/>
              <w:right w:w="80" w:type="dxa"/>
            </w:tcMar>
          </w:tcPr>
          <w:p>
            <w:pPr>
              <w:jc w:val="center"/>
            </w:pPr>
            <w:r>
              <w:rPr>
                <w:rFonts w:ascii="Times New Roman" w:hAnsi="Times New Roman"/>
                <w:sz w:val="18"/>
              </w:rPr>
              <w:t>0.92</w:t>
            </w:r>
          </w:p>
        </w:tc>
      </w:tr>
    </w:tbl>
    <w:p>
      <w:pPr>
        <w:spacing w:before="120" w:after="40"/>
      </w:pPr>
      <w:r>
        <w:rPr>
          <w:b/>
          <w:sz w:val="24"/>
        </w:rPr>
        <w:t>4. Conclusion</w:t>
      </w:r>
    </w:p>
    <w:p>
      <w:pPr>
        <w:spacing w:before="0" w:after="120" w:line="324" w:lineRule="auto"/>
        <w:jc w:val="both"/>
      </w:pPr>
      <w:r>
        <w:rPr>
          <w:sz w:val="22"/>
        </w:rPr>
        <w:t>PocketLig successfully bridges the gap between equivariant 3D deep generative diffusion models and accessible, interactive computational chemistry. By coupling TargetDiff continuous diffusion with interaction GNN affinity scoring and an in-browser WebGL2 raymarching studio, researchers can design, inspect, and evaluate novel candidate ligands in real time. Limitations of the current prototype include the assumption of a rigid receptor backbone during diffusion sampling and the computational cost of on-the-fly molecular dynamics relaxation. Future work will extend the framework to handle flexible receptor sidechains, multi-target polypharmacology conditioning, and automated retrosynthetic feasibility scoring.</w:t>
      </w:r>
    </w:p>
    <w:p>
      <w:pPr>
        <w:spacing w:before="120" w:after="40"/>
      </w:pPr>
      <w:r>
        <w:rPr>
          <w:b/>
          <w:sz w:val="24"/>
        </w:rPr>
        <w:t>References</w:t>
      </w:r>
    </w:p>
    <w:p>
      <w:pPr>
        <w:spacing w:before="0" w:after="40" w:line="276" w:lineRule="auto"/>
        <w:jc w:val="both"/>
      </w:pPr>
      <w:r>
        <w:rPr>
          <w:sz w:val="19"/>
        </w:rPr>
        <w:t>[1] J. Guan, W. W. Qian, X. Peng, Y. Su, J. Peng, and J. Ma, "3D Equivariant Diffusion for Target-Aware Molecule Generation and Affinity Prediction," in Proc. Int. Conf. Learn. Represent. (ICLR), Kigali, Rwanda, 2023.</w:t>
      </w:r>
    </w:p>
    <w:p>
      <w:pPr>
        <w:spacing w:before="0" w:after="40" w:line="276" w:lineRule="auto"/>
        <w:jc w:val="both"/>
      </w:pPr>
      <w:r>
        <w:rPr>
          <w:sz w:val="19"/>
        </w:rPr>
        <w:t>[2] M. Buttenschoen, G. M. Morris, and C. M. Deane, "PoseBusters: AI-based docking methods fail to generate physically valid poses or accurate protein–ligand complexes," Chemical Science, vol. 15, no. 8, pp. 3130–3139, 2024.</w:t>
      </w:r>
    </w:p>
    <w:p>
      <w:pPr>
        <w:spacing w:before="0" w:after="40" w:line="276" w:lineRule="auto"/>
        <w:jc w:val="both"/>
      </w:pPr>
      <w:r>
        <w:rPr>
          <w:sz w:val="19"/>
        </w:rPr>
        <w:t>[3] J. Ho, A. Jain, and P. Abbeel, "Denoising Diffusion Probabilistic Models," in Adv. Neural Inf. Process. Syst. (NeurIPS), vol. 33, pp. 6840–6851, 2020.</w:t>
      </w:r>
    </w:p>
    <w:p>
      <w:pPr>
        <w:spacing w:before="0" w:after="40" w:line="276" w:lineRule="auto"/>
        <w:jc w:val="both"/>
      </w:pPr>
      <w:r>
        <w:rPr>
          <w:sz w:val="19"/>
        </w:rPr>
        <w:t>[4] O. Trott and A. J. Olson, "AutoDock Vina: improving the speed and accuracy of docking with a new scoring function, efficient optimization, and multithreading," J. Comput. Chem., vol. 31, no. 2, pp. 455–461, 2010.</w:t>
      </w:r>
    </w:p>
    <w:p>
      <w:pPr>
        <w:spacing w:before="0" w:after="40" w:line="276" w:lineRule="auto"/>
        <w:jc w:val="both"/>
      </w:pPr>
      <w:r>
        <w:rPr>
          <w:sz w:val="19"/>
        </w:rPr>
        <w:t>[5] G. Landrum et al., "RDKit: Open-Source Cheminformatics Software," 2023. [Online]. Available: https://www.rdkit.org.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