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111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6"/>
          <w:szCs w:val="36"/>
          <w:rtl w:val="0"/>
        </w:rPr>
        <w:t xml:space="preserve">Abhin Anil Kumar                                  </w:t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111111"/>
          <w:rtl w:val="0"/>
        </w:rPr>
        <w:t xml:space="preserve">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📧 Email: abhinachu23@gmail.com | 📞 Phone: 7736083121 |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🌐 LinkedIn: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https://www.linkedin.com/in/abhin-a-9a1073217/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1111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Enthusiastic and dedicated DevOps Engineer with a BCA degree from the University of Kerala (2020) and completed specialized courses in CCNA and AWS Solution Architect. Leveraging two years of hands-on experience in the IT industry, primarily focused on DevOps practices. Proficient in managing and optimizing cloud environments across AWS, GCP, and Azure (Basic). Skilled in a range of DevOps tools including Docker, Kubernetes, Terraform, and CI/CD pipelines.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1111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1.0" w:type="dxa"/>
        <w:jc w:val="left"/>
        <w:tblLayout w:type="fixed"/>
        <w:tblLook w:val="0400"/>
      </w:tblPr>
      <w:tblGrid>
        <w:gridCol w:w="3969"/>
        <w:gridCol w:w="6512"/>
        <w:tblGridChange w:id="0">
          <w:tblGrid>
            <w:gridCol w:w="3969"/>
            <w:gridCol w:w="65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Category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rtl w:val="0"/>
              </w:rPr>
              <w:t xml:space="preserve">Tools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Operating system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Linux (Ubuntu, RHEL)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DevOps Tools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Terraform, Docker, Kubernetes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Platforms</w:t>
            </w:r>
          </w:p>
        </w:tc>
        <w:tc>
          <w:tcPr>
            <w:shd w:fill="ffffff" w:val="clear"/>
            <w:tcMar>
              <w:top w:w="3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Amazon Web Services (AWS), Google Cloud Provider (GCP), Azure (Basic)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Scripting Languages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Python (Basics)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CI/CD Pipelines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Jenkins, GitLab CI/CD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Monitoring and Logging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Prometheus, Grafana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as Code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Terraform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Version Control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Git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0" w:before="1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180" w:line="24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Bachelor of Computer Application (BCA)</w: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University of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i w:val="1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Higher Secondary Education (HSS)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Govt H S S Kamaleswaram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1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440.0" w:type="dxa"/>
        <w:jc w:val="left"/>
        <w:tblLayout w:type="fixed"/>
        <w:tblLook w:val="0600"/>
      </w:tblPr>
      <w:tblGrid>
        <w:gridCol w:w="3480"/>
        <w:gridCol w:w="4050"/>
        <w:gridCol w:w="2910"/>
        <w:tblGridChange w:id="0">
          <w:tblGrid>
            <w:gridCol w:w="3480"/>
            <w:gridCol w:w="4050"/>
            <w:gridCol w:w="2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Duration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rtl w:val="0"/>
              </w:rPr>
              <w:t xml:space="preserve">Company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0" w:line="240" w:lineRule="auto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Junior DevOps Engineer </w:t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November 2023 - Present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0" w:line="240" w:lineRule="auto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Urolime Technologies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0" w:line="240" w:lineRule="auto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Junior Engineer (DevOps)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October 2022 – November 2023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0" w:line="240" w:lineRule="auto"/>
              <w:rPr>
                <w:rFonts w:ascii="Arial" w:cs="Arial" w:eastAsia="Arial" w:hAnsi="Arial"/>
                <w:b w:val="1"/>
                <w:color w:val="111111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rtl w:val="0"/>
              </w:rPr>
              <w:t xml:space="preserve">Urolime Technologies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after="0" w:before="180" w:line="240" w:lineRule="auto"/>
        <w:rPr>
          <w:rFonts w:ascii="Arial" w:cs="Arial" w:eastAsia="Arial" w:hAnsi="Arial"/>
          <w:b w:val="1"/>
          <w:color w:val="11111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shd w:fill="ffffff" w:val="clear"/>
        <w:spacing w:after="0" w:before="180" w:line="240" w:lineRule="auto"/>
        <w:rPr>
          <w:rFonts w:ascii="Arial" w:cs="Arial" w:eastAsia="Arial" w:hAnsi="Arial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Serverless Web Application Development with AWS: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Leveraged AWS Amplify for hosting frontend resources, Amazon Cognito for user account management, Lambda functions for backend processes, and Amazon API Gateway for RESTful API exposure.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Infrastructure Provisioning with Terraform: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Orchestrated Amazon EKS infrastructure using Terraform, including clusters, worker nodes, and networking components.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Managed security groups and IAM roles to ensure smooth EKS operations and reliable infrastructure deployments.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1440" w:firstLine="0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Google Kubernetes Engine (GKE) Deployment: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Implemented Google Kubernetes Engine (GKE) with Terraform, adhering to industry best practices.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Deployed Node.js applications using Helm Charts and optimized CI/CD pipelines with Google CI/CD services.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Explored Cloud Agnostic deployment strategies utilizing Jenkins.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On-premise Application Migration to Cluster Environment: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Successfully migrated on-premise applications to a cluster environment, enhancing scalability and reliability.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Integrated monitoring tools to ensure improved performance and maintainability.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Disaster Recovery (DR) Setup Implementation: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Engineered and executed strategies to establish a Disaster Recovery (DR) setup, fortifying production environment resilience and continuity.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111111"/>
        </w:rPr>
      </w:pP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Transitioned from conventional infrastructure to a robust DR setup, guaranteeing uninterrupted operations during unforeseen events.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Arial" w:cs="Arial" w:eastAsia="Arial" w:hAnsi="Arial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before="180" w:line="24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AWS Solution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b w:val="1"/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CCNA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0"/>
          <w:szCs w:val="30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before="180" w:line="24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: Fluent in English, Malayalam and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rtl w:val="0"/>
        </w:rPr>
        <w:t xml:space="preserve">Interests</w:t>
      </w:r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: Continuous learning, cloud technologies and 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bhin-a-9a107321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