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single" w:color="1B7F4B" w:sz="36"/>
              <w:right w:val="none" w:color="FFFFFF" w:sz="0"/>
            </w:tcBorders>
            <w:shd w:fill="0B2545" w:color="auto" w:val="clear"/>
            <w:tcMar>
              <w:top w:type="dxa" w:w="420"/>
              <w:left w:type="dxa" w:w="380"/>
              <w:bottom w:type="dxa" w:w="380"/>
              <w:right w:type="dxa" w:w="380"/>
            </w:tcMar>
          </w:tcPr>
          <w:p>
            <w:pPr>
              <w:spacing w:after="160"/>
            </w:pPr>
            <w:r>
              <w:rPr>
                <w:rFonts w:ascii="Calibri" w:cs="Calibri" w:eastAsia="Calibri" w:hAnsi="Calibri"/>
                <w:b/>
                <w:bCs/>
                <w:color w:val="6FE3A5"/>
                <w:spacing w:val="60"/>
                <w:sz w:val="18"/>
                <w:szCs w:val="18"/>
              </w:rPr>
              <w:t xml:space="preserve">SPORTS ANALYTICS  ·  PORTFOLIO PROJECT</w:t>
            </w:r>
          </w:p>
          <w:p>
            <w:pPr>
              <w:spacing w:after="60"/>
            </w:pPr>
            <w:r>
              <w:rPr>
                <w:rFonts w:ascii="Calibri" w:cs="Calibri" w:eastAsia="Calibri" w:hAnsi="Calibri"/>
                <w:b/>
                <w:bCs/>
                <w:color w:val="FFFFFF"/>
                <w:sz w:val="60"/>
                <w:szCs w:val="60"/>
              </w:rPr>
              <w:t xml:space="preserve">Football Expected Goals (xG)</w:t>
            </w:r>
          </w:p>
          <w:p>
            <w:pPr>
              <w:spacing w:after="160"/>
            </w:pPr>
            <w:r>
              <w:rPr>
                <w:rFonts w:ascii="Calibri" w:cs="Calibri" w:eastAsia="Calibri" w:hAnsi="Calibri"/>
                <w:b/>
                <w:bCs/>
                <w:color w:val="6FE3A5"/>
                <w:sz w:val="60"/>
                <w:szCs w:val="60"/>
              </w:rPr>
              <w:t xml:space="preserve">Prediction Model</w:t>
            </w:r>
          </w:p>
          <w:p>
            <w:pPr>
              <w:spacing w:after="0"/>
            </w:pPr>
            <w:r>
              <w:rPr>
                <w:rFonts w:ascii="Calibri" w:cs="Calibri" w:eastAsia="Calibri" w:hAnsi="Calibri"/>
                <w:color w:val="D6DEE8"/>
                <w:sz w:val="24"/>
                <w:szCs w:val="24"/>
              </w:rPr>
              <w:t xml:space="preserve">Final project insights, findings and visualisations</w:t>
            </w:r>
          </w:p>
        </w:tc>
      </w:tr>
    </w:tbl>
    <w:p>
      <w:pPr>
        <w:spacing w:after="160" w:before="0"/>
      </w:pPr>
    </w:p>
    <w:p>
      <w:pPr>
        <w:spacing w:after="120" w:line="288"/>
      </w:pPr>
      <w:r>
        <w:rPr>
          <w:rFonts w:ascii="Calibri" w:cs="Calibri" w:eastAsia="Calibri" w:hAnsi="Calibri"/>
          <w:color w:val="3A4450"/>
          <w:sz w:val="21"/>
          <w:szCs w:val="21"/>
        </w:rPr>
        <w:t xml:space="preserve">This report combines the project findings summarised from the notebook with the eight graph screenshots supplied for this document. Each graph is reproduced and followed by an interpretation. Descriptions are grounded in what is visible in the screenshots and the previously reported notebook results.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10"/>
        <w:gridCol w:w="2410"/>
      </w:tblGrid>
      <w:tr>
        <w:trPr>
          <w:cantSplit/>
        </w:trPr>
        <w:tc>
          <w:tcPr>
            <w:tcW w:type="dxa" w:w="2409"/>
            <w:tcBorders>
              <w:top w:val="single" w:color="FFFFFF" w:sz="24"/>
              <w:left w:val="single" w:color="FFFFFF" w:sz="24"/>
              <w:bottom w:val="single" w:color="FFFFFF" w:sz="24"/>
              <w:right w:val="single" w:color="FFFFFF" w:sz="24"/>
            </w:tcBorders>
            <w:shd w:fill="0B2545" w:color="auto" w:val="clear"/>
            <w:tcMar>
              <w:top w:type="dxa" w:w="140"/>
              <w:left w:type="dxa" w:w="160"/>
              <w:bottom w:type="dxa" w:w="140"/>
              <w:right w:type="dxa" w:w="120"/>
            </w:tcMar>
          </w:tcPr>
          <w:p>
            <w:pPr>
              <w:spacing w:after="20"/>
            </w:pPr>
            <w:r>
              <w:rPr>
                <w:rFonts w:ascii="Calibri" w:cs="Calibri" w:eastAsia="Calibri" w:hAnsi="Calibri"/>
                <w:b/>
                <w:bCs/>
                <w:color w:val="6FE3A5"/>
                <w:sz w:val="40"/>
                <w:szCs w:val="40"/>
              </w:rPr>
              <w:t xml:space="preserve">6,347</w:t>
            </w:r>
          </w:p>
          <w:p>
            <w:pPr>
              <w:spacing w:after="0"/>
            </w:pPr>
            <w:r>
              <w:rPr>
                <w:rFonts w:ascii="Calibri" w:cs="Calibri" w:eastAsia="Calibri" w:hAnsi="Calibri"/>
                <w:color w:val="D6DEE8"/>
                <w:sz w:val="17"/>
                <w:szCs w:val="17"/>
              </w:rPr>
              <w:t xml:space="preserve">shots after cleaning (6,619 raw)</w:t>
            </w:r>
          </w:p>
        </w:tc>
        <w:tc>
          <w:tcPr>
            <w:tcW w:type="dxa" w:w="2409"/>
            <w:tcBorders>
              <w:top w:val="single" w:color="FFFFFF" w:sz="24"/>
              <w:left w:val="single" w:color="FFFFFF" w:sz="24"/>
              <w:bottom w:val="single" w:color="FFFFFF" w:sz="24"/>
              <w:right w:val="single" w:color="FFFFFF" w:sz="24"/>
            </w:tcBorders>
            <w:shd w:fill="F2F4F7" w:color="auto" w:val="clear"/>
            <w:tcMar>
              <w:top w:type="dxa" w:w="140"/>
              <w:left w:type="dxa" w:w="160"/>
              <w:bottom w:type="dxa" w:w="140"/>
              <w:right w:type="dxa" w:w="120"/>
            </w:tcMar>
          </w:tcPr>
          <w:p>
            <w:pPr>
              <w:spacing w:after="20"/>
            </w:pPr>
            <w:r>
              <w:rPr>
                <w:rFonts w:ascii="Calibri" w:cs="Calibri" w:eastAsia="Calibri" w:hAnsi="Calibri"/>
                <w:b/>
                <w:bCs/>
                <w:color w:val="1B7F4B"/>
                <w:sz w:val="40"/>
                <w:szCs w:val="40"/>
              </w:rPr>
              <w:t xml:space="preserve">5</w:t>
            </w:r>
          </w:p>
          <w:p>
            <w:pPr>
              <w:spacing w:after="0"/>
            </w:pPr>
            <w:r>
              <w:rPr>
                <w:rFonts w:ascii="Calibri" w:cs="Calibri" w:eastAsia="Calibri" w:hAnsi="Calibri"/>
                <w:color w:val="3A4450"/>
                <w:sz w:val="17"/>
                <w:szCs w:val="17"/>
              </w:rPr>
              <w:t xml:space="preserve">international tournaments</w:t>
            </w:r>
          </w:p>
        </w:tc>
        <w:tc>
          <w:tcPr>
            <w:tcW w:type="dxa" w:w="2409"/>
            <w:tcBorders>
              <w:top w:val="single" w:color="FFFFFF" w:sz="24"/>
              <w:left w:val="single" w:color="FFFFFF" w:sz="24"/>
              <w:bottom w:val="single" w:color="FFFFFF" w:sz="24"/>
              <w:right w:val="single" w:color="FFFFFF" w:sz="24"/>
            </w:tcBorders>
            <w:shd w:fill="F2F4F7" w:color="auto" w:val="clear"/>
            <w:tcMar>
              <w:top w:type="dxa" w:w="140"/>
              <w:left w:type="dxa" w:w="160"/>
              <w:bottom w:type="dxa" w:w="140"/>
              <w:right w:type="dxa" w:w="120"/>
            </w:tcMar>
          </w:tcPr>
          <w:p>
            <w:pPr>
              <w:spacing w:after="20"/>
            </w:pPr>
            <w:r>
              <w:rPr>
                <w:rFonts w:ascii="Calibri" w:cs="Calibri" w:eastAsia="Calibri" w:hAnsi="Calibri"/>
                <w:b/>
                <w:bCs/>
                <w:color w:val="1B7F4B"/>
                <w:sz w:val="40"/>
                <w:szCs w:val="40"/>
              </w:rPr>
              <w:t xml:space="preserve">1,430</w:t>
            </w:r>
          </w:p>
          <w:p>
            <w:pPr>
              <w:spacing w:after="0"/>
            </w:pPr>
            <w:r>
              <w:rPr>
                <w:rFonts w:ascii="Calibri" w:cs="Calibri" w:eastAsia="Calibri" w:hAnsi="Calibri"/>
                <w:color w:val="3A4450"/>
                <w:sz w:val="17"/>
                <w:szCs w:val="17"/>
              </w:rPr>
              <w:t xml:space="preserve">test shots (World Cup 2022)</w:t>
            </w:r>
          </w:p>
        </w:tc>
        <w:tc>
          <w:tcPr>
            <w:tcW w:type="dxa" w:w="2409"/>
            <w:tcBorders>
              <w:top w:val="single" w:color="FFFFFF" w:sz="24"/>
              <w:left w:val="single" w:color="FFFFFF" w:sz="24"/>
              <w:bottom w:val="single" w:color="FFFFFF" w:sz="24"/>
              <w:right w:val="single" w:color="FFFFFF" w:sz="24"/>
            </w:tcBorders>
            <w:shd w:fill="F2F4F7" w:color="auto" w:val="clear"/>
            <w:tcMar>
              <w:top w:type="dxa" w:w="140"/>
              <w:left w:type="dxa" w:w="160"/>
              <w:bottom w:type="dxa" w:w="140"/>
              <w:right w:type="dxa" w:w="120"/>
            </w:tcMar>
          </w:tcPr>
          <w:p>
            <w:pPr>
              <w:spacing w:after="20"/>
            </w:pPr>
            <w:r>
              <w:rPr>
                <w:rFonts w:ascii="Calibri" w:cs="Calibri" w:eastAsia="Calibri" w:hAnsi="Calibri"/>
                <w:b/>
                <w:bCs/>
                <w:color w:val="1B7F4B"/>
                <w:sz w:val="40"/>
                <w:szCs w:val="40"/>
              </w:rPr>
              <w:t xml:space="preserve">152</w:t>
            </w:r>
          </w:p>
          <w:p>
            <w:pPr>
              <w:spacing w:after="0"/>
            </w:pPr>
            <w:r>
              <w:rPr>
                <w:rFonts w:ascii="Calibri" w:cs="Calibri" w:eastAsia="Calibri" w:hAnsi="Calibri"/>
                <w:color w:val="3A4450"/>
                <w:sz w:val="17"/>
                <w:szCs w:val="17"/>
              </w:rPr>
              <w:t xml:space="preserve">goals in the held-out test set</w:t>
            </w:r>
          </w:p>
        </w:tc>
      </w:tr>
    </w:tbl>
    <w:p>
      <w:pPr>
        <w:spacing w:after="60" w:before="0"/>
      </w:pPr>
    </w:p>
    <w:p>
      <w:pPr>
        <w:pStyle w:val="Heading1"/>
        <w:keepNext/>
      </w:pPr>
      <w:r>
        <w:rPr>
          <w:rFonts w:ascii="Calibri" w:cs="Calibri" w:eastAsia="Calibri" w:hAnsi="Calibri"/>
        </w:rPr>
        <w:t xml:space="preserve">1. Executive Summary</w:t>
      </w:r>
    </w:p>
    <w:p>
      <w:pPr>
        <w:pStyle w:val="ListParagraph"/>
        <w:numPr>
          <w:ilvl w:val="0"/>
          <w:numId w:val="2"/>
        </w:numPr>
        <w:spacing w:after="70" w:line="280"/>
      </w:pPr>
      <w:r>
        <w:rPr>
          <w:rFonts w:ascii="Calibri" w:cs="Calibri" w:eastAsia="Calibri" w:hAnsi="Calibri"/>
          <w:color w:val="3A4450"/>
          <w:sz w:val="21"/>
          <w:szCs w:val="21"/>
        </w:rPr>
        <w:t xml:space="preserve">The project explores Expected Goals (xG), a probability estimate for whether a football shot will result in a goal, using StatsBomb event data.</w:t>
      </w:r>
    </w:p>
    <w:p>
      <w:pPr>
        <w:pStyle w:val="ListParagraph"/>
        <w:numPr>
          <w:ilvl w:val="0"/>
          <w:numId w:val="2"/>
        </w:numPr>
        <w:spacing w:after="70" w:line="280"/>
      </w:pPr>
      <w:r>
        <w:rPr>
          <w:rFonts w:ascii="Calibri" w:cs="Calibri" w:eastAsia="Calibri" w:hAnsi="Calibri"/>
          <w:color w:val="3A4450"/>
          <w:sz w:val="21"/>
          <w:szCs w:val="21"/>
        </w:rPr>
        <w:t xml:space="preserve">The reported dataset contains 6,619 shots before cleaning and 6,347 after cleaning across five international tournaments.</w:t>
      </w:r>
    </w:p>
    <w:p>
      <w:pPr>
        <w:pStyle w:val="ListParagraph"/>
        <w:numPr>
          <w:ilvl w:val="0"/>
          <w:numId w:val="2"/>
        </w:numPr>
        <w:spacing w:after="70" w:line="280"/>
      </w:pPr>
      <w:r>
        <w:rPr>
          <w:rFonts w:ascii="Calibri" w:cs="Calibri" w:eastAsia="Calibri" w:hAnsi="Calibri"/>
          <w:color w:val="3A4450"/>
          <w:sz w:val="21"/>
          <w:szCs w:val="21"/>
        </w:rPr>
        <w:t xml:space="preserve">The modelling workflow compares a Logistic Regression baseline and an XGBoost model with StatsBomb’s supplied xG estimates.</w:t>
      </w:r>
    </w:p>
    <w:p>
      <w:pPr>
        <w:pStyle w:val="ListParagraph"/>
        <w:numPr>
          <w:ilvl w:val="0"/>
          <w:numId w:val="2"/>
        </w:numPr>
        <w:spacing w:after="70" w:line="280"/>
      </w:pPr>
      <w:r>
        <w:rPr>
          <w:rFonts w:ascii="Calibri" w:cs="Calibri" w:eastAsia="Calibri" w:hAnsi="Calibri"/>
          <w:color w:val="3A4450"/>
          <w:sz w:val="21"/>
          <w:szCs w:val="21"/>
        </w:rPr>
        <w:t xml:space="preserve">The held-out test tournament is the 2022 FIFA World Cup. The reported test set contains 1,430 shots and 152 goals.</w:t>
      </w:r>
    </w:p>
    <w:p>
      <w:pPr>
        <w:pStyle w:val="ListParagraph"/>
        <w:numPr>
          <w:ilvl w:val="0"/>
          <w:numId w:val="2"/>
        </w:numPr>
        <w:spacing w:after="70" w:line="280"/>
      </w:pPr>
      <w:r>
        <w:rPr>
          <w:rFonts w:ascii="Calibri" w:cs="Calibri" w:eastAsia="Calibri" w:hAnsi="Calibri"/>
          <w:color w:val="3A4450"/>
          <w:sz w:val="21"/>
          <w:szCs w:val="21"/>
        </w:rPr>
        <w:t xml:space="preserve">The reported XGBoost results slightly improve on Logistic Regression, while StatsBomb’s xG benchmark performs better on the reported Log Loss, Brier Score and ROC-AUC metrics.</w:t>
      </w:r>
    </w:p>
    <w:p>
      <w:pPr>
        <w:pStyle w:val="ListParagraph"/>
        <w:numPr>
          <w:ilvl w:val="0"/>
          <w:numId w:val="2"/>
        </w:numPr>
        <w:spacing w:after="70" w:line="280"/>
      </w:pPr>
      <w:r>
        <w:rPr>
          <w:rFonts w:ascii="Calibri" w:cs="Calibri" w:eastAsia="Calibri" w:hAnsi="Calibri"/>
          <w:color w:val="3A4450"/>
          <w:sz w:val="21"/>
          <w:szCs w:val="21"/>
        </w:rPr>
        <w:t xml:space="preserve">The visualisations show that shot distance and location are strongly associated with scoring probability, and that most shots receive low xG values.</w:t>
      </w:r>
    </w:p>
    <w:p>
      <w:pPr>
        <w:pStyle w:val="Heading1"/>
        <w:keepNext/>
      </w:pPr>
      <w:r>
        <w:rPr>
          <w:rFonts w:ascii="Calibri" w:cs="Calibri" w:eastAsia="Calibri" w:hAnsi="Calibri"/>
        </w:rPr>
        <w:t xml:space="preserve">2. Dataset and Preprocessing</w:t>
      </w:r>
    </w:p>
    <w:p>
      <w:pPr>
        <w:spacing w:after="120" w:line="288"/>
      </w:pPr>
      <w:r>
        <w:rPr>
          <w:rFonts w:ascii="Calibri" w:cs="Calibri" w:eastAsia="Calibri" w:hAnsi="Calibri"/>
          <w:color w:val="3A4450"/>
          <w:sz w:val="21"/>
          <w:szCs w:val="21"/>
        </w:rPr>
        <w:t xml:space="preserve">The notebook uses StatsBomb Open Data, accessed with StatsBombPy. The competitions listed in the notebook summary are the 2018 FIFA World Cup, UEFA Euro 2020, Copa América 2024, UEFA Euro 2024, and the 2022 FIFA World Cup.</w:t>
      </w:r>
    </w:p>
    <w:p>
      <w:pPr>
        <w:spacing w:after="120" w:line="288"/>
      </w:pPr>
      <w:r>
        <w:rPr>
          <w:rFonts w:ascii="Calibri" w:cs="Calibri" w:eastAsia="Calibri" w:hAnsi="Calibri"/>
          <w:color w:val="3A4450"/>
          <w:sz w:val="21"/>
          <w:szCs w:val="21"/>
        </w:rPr>
        <w:t xml:space="preserve">The notebook excludes penalty shots and attempts from period 5 (penalty shootouts). The target variable is a binary goal indicator: 1 when the shot outcome is Goal, otherwise 0. StatsBomb’s </w:t>
      </w:r>
      <w:r>
        <w:rPr>
          <w:rFonts w:ascii="Consolas" w:cs="Consolas" w:eastAsia="Consolas" w:hAnsi="Consolas"/>
          <w:color w:val="0B2545"/>
          <w:sz w:val="19"/>
          <w:szCs w:val="19"/>
        </w:rPr>
        <w:t xml:space="preserve">shot_statsbomb_xg</w:t>
      </w:r>
      <w:r>
        <w:rPr>
          <w:rFonts w:ascii="Calibri" w:cs="Calibri" w:eastAsia="Calibri" w:hAnsi="Calibri"/>
          <w:color w:val="3A4450"/>
          <w:sz w:val="21"/>
          <w:szCs w:val="21"/>
        </w:rPr>
        <w:t xml:space="preserve"> is used as a benchmark prediction, not as the target variable.</w:t>
      </w:r>
    </w:p>
    <w:p>
      <w:pPr>
        <w:spacing w:after="120" w:line="288"/>
      </w:pPr>
      <w:r>
        <w:rPr>
          <w:rFonts w:ascii="Calibri" w:cs="Calibri" w:eastAsia="Calibri" w:hAnsi="Calibri"/>
          <w:b/>
          <w:bCs/>
          <w:color w:val="0B2545"/>
          <w:sz w:val="21"/>
          <w:szCs w:val="21"/>
        </w:rPr>
        <w:t xml:space="preserve">Data source: </w:t>
      </w:r>
      <w:r>
        <w:rPr>
          <w:rFonts w:ascii="Calibri" w:cs="Calibri" w:eastAsia="Calibri" w:hAnsi="Calibri"/>
          <w:color w:val="1B7F4B"/>
          <w:sz w:val="21"/>
          <w:szCs w:val="21"/>
        </w:rPr>
        <w:t xml:space="preserve">https://github.com/statsbomb/open-data</w:t>
      </w:r>
    </w:p>
    <w:p>
      <w:pPr>
        <w:pStyle w:val="Heading1"/>
        <w:keepNext/>
      </w:pPr>
      <w:r>
        <w:rPr>
          <w:rFonts w:ascii="Calibri" w:cs="Calibri" w:eastAsia="Calibri" w:hAnsi="Calibri"/>
        </w:rPr>
        <w:t xml:space="preserve">3. Features and Models</w:t>
      </w:r>
    </w:p>
    <w:p>
      <w:pPr>
        <w:pStyle w:val="Heading2"/>
        <w:keepNext/>
      </w:pPr>
      <w:r>
        <w:rPr>
          <w:rFonts w:ascii="Calibri" w:cs="Calibri" w:eastAsia="Calibri" w:hAnsi="Calibri"/>
        </w:rPr>
        <w:t xml:space="preserve">Baseline features</w:t>
      </w:r>
    </w:p>
    <w:p>
      <w:pPr>
        <w:pStyle w:val="ListParagraph"/>
        <w:numPr>
          <w:ilvl w:val="0"/>
          <w:numId w:val="2"/>
        </w:numPr>
        <w:spacing w:after="70" w:line="280"/>
      </w:pPr>
      <w:r>
        <w:rPr>
          <w:rFonts w:ascii="Consolas" w:cs="Consolas" w:eastAsia="Consolas" w:hAnsi="Consolas"/>
          <w:color w:val="0B2545"/>
          <w:sz w:val="19"/>
          <w:szCs w:val="19"/>
        </w:rPr>
        <w:t xml:space="preserve">distance</w:t>
      </w:r>
      <w:r>
        <w:rPr>
          <w:rFonts w:ascii="Calibri" w:cs="Calibri" w:eastAsia="Calibri" w:hAnsi="Calibri"/>
          <w:color w:val="3A4450"/>
          <w:sz w:val="21"/>
          <w:szCs w:val="21"/>
        </w:rPr>
        <w:t xml:space="preserve"> — calculated from shot coordinates to the centre of goal.</w:t>
      </w:r>
    </w:p>
    <w:p>
      <w:pPr>
        <w:pStyle w:val="ListParagraph"/>
        <w:numPr>
          <w:ilvl w:val="0"/>
          <w:numId w:val="2"/>
        </w:numPr>
        <w:spacing w:after="70" w:line="280"/>
      </w:pPr>
      <w:r>
        <w:rPr>
          <w:rFonts w:ascii="Consolas" w:cs="Consolas" w:eastAsia="Consolas" w:hAnsi="Consolas"/>
          <w:color w:val="0B2545"/>
          <w:sz w:val="19"/>
          <w:szCs w:val="19"/>
        </w:rPr>
        <w:t xml:space="preserve">angle</w:t>
      </w:r>
      <w:r>
        <w:rPr>
          <w:rFonts w:ascii="Calibri" w:cs="Calibri" w:eastAsia="Calibri" w:hAnsi="Calibri"/>
          <w:color w:val="3A4450"/>
          <w:sz w:val="21"/>
          <w:szCs w:val="21"/>
        </w:rPr>
        <w:t xml:space="preserve"> — a derived shooting-angle feature.</w:t>
      </w:r>
    </w:p>
    <w:p>
      <w:pPr>
        <w:pStyle w:val="ListParagraph"/>
        <w:numPr>
          <w:ilvl w:val="0"/>
          <w:numId w:val="2"/>
        </w:numPr>
        <w:spacing w:after="70" w:line="280"/>
      </w:pPr>
      <w:r>
        <w:rPr>
          <w:rFonts w:ascii="Consolas" w:cs="Consolas" w:eastAsia="Consolas" w:hAnsi="Consolas"/>
          <w:color w:val="0B2545"/>
          <w:sz w:val="19"/>
          <w:szCs w:val="19"/>
        </w:rPr>
        <w:t xml:space="preserve">is_header</w:t>
      </w:r>
      <w:r>
        <w:rPr>
          <w:rFonts w:ascii="Calibri" w:cs="Calibri" w:eastAsia="Calibri" w:hAnsi="Calibri"/>
          <w:color w:val="3A4450"/>
          <w:sz w:val="21"/>
          <w:szCs w:val="21"/>
        </w:rPr>
        <w:t xml:space="preserve"> — indicates whether the shot was taken with the head.</w:t>
      </w:r>
    </w:p>
    <w:p>
      <w:pPr>
        <w:pStyle w:val="Heading2"/>
        <w:keepNext/>
      </w:pPr>
      <w:r>
        <w:rPr>
          <w:rFonts w:ascii="Calibri" w:cs="Calibri" w:eastAsia="Calibri" w:hAnsi="Calibri"/>
        </w:rPr>
        <w:t xml:space="preserve">Additional XGBoost pass-context features</w:t>
      </w:r>
    </w:p>
    <w:p>
      <w:pPr>
        <w:pStyle w:val="ListParagraph"/>
        <w:numPr>
          <w:ilvl w:val="0"/>
          <w:numId w:val="2"/>
        </w:numPr>
        <w:spacing w:after="70" w:line="280"/>
      </w:pPr>
      <w:r>
        <w:rPr>
          <w:rFonts w:ascii="Consolas" w:cs="Consolas" w:eastAsia="Consolas" w:hAnsi="Consolas"/>
          <w:color w:val="0B2545"/>
          <w:sz w:val="19"/>
          <w:szCs w:val="19"/>
        </w:rPr>
        <w:t xml:space="preserve">has_key_pass</w:t>
      </w:r>
      <w:r>
        <w:rPr>
          <w:rFonts w:ascii="Calibri" w:cs="Calibri" w:eastAsia="Calibri" w:hAnsi="Calibri"/>
          <w:color w:val="3A4450"/>
          <w:sz w:val="21"/>
          <w:szCs w:val="21"/>
        </w:rPr>
        <w:t xml:space="preserve">, </w:t>
      </w:r>
      <w:r>
        <w:rPr>
          <w:rFonts w:ascii="Consolas" w:cs="Consolas" w:eastAsia="Consolas" w:hAnsi="Consolas"/>
          <w:color w:val="0B2545"/>
          <w:sz w:val="19"/>
          <w:szCs w:val="19"/>
        </w:rPr>
        <w:t xml:space="preserve">from_cross</w:t>
      </w:r>
      <w:r>
        <w:rPr>
          <w:rFonts w:ascii="Calibri" w:cs="Calibri" w:eastAsia="Calibri" w:hAnsi="Calibri"/>
          <w:color w:val="3A4450"/>
          <w:sz w:val="21"/>
          <w:szCs w:val="21"/>
        </w:rPr>
        <w:t xml:space="preserve">, </w:t>
      </w:r>
      <w:r>
        <w:rPr>
          <w:rFonts w:ascii="Consolas" w:cs="Consolas" w:eastAsia="Consolas" w:hAnsi="Consolas"/>
          <w:color w:val="0B2545"/>
          <w:sz w:val="19"/>
          <w:szCs w:val="19"/>
        </w:rPr>
        <w:t xml:space="preserve">from_through</w:t>
      </w:r>
      <w:r>
        <w:rPr>
          <w:rFonts w:ascii="Calibri" w:cs="Calibri" w:eastAsia="Calibri" w:hAnsi="Calibri"/>
          <w:color w:val="3A4450"/>
          <w:sz w:val="21"/>
          <w:szCs w:val="21"/>
        </w:rPr>
        <w:t xml:space="preserve">, </w:t>
      </w:r>
      <w:r>
        <w:rPr>
          <w:rFonts w:ascii="Consolas" w:cs="Consolas" w:eastAsia="Consolas" w:hAnsi="Consolas"/>
          <w:color w:val="0B2545"/>
          <w:sz w:val="19"/>
          <w:szCs w:val="19"/>
        </w:rPr>
        <w:t xml:space="preserve">from_cutback</w:t>
      </w:r>
      <w:r>
        <w:rPr>
          <w:rFonts w:ascii="Calibri" w:cs="Calibri" w:eastAsia="Calibri" w:hAnsi="Calibri"/>
          <w:color w:val="3A4450"/>
          <w:sz w:val="21"/>
          <w:szCs w:val="21"/>
        </w:rPr>
        <w:t xml:space="preserve"> and </w:t>
      </w:r>
      <w:r>
        <w:rPr>
          <w:rFonts w:ascii="Consolas" w:cs="Consolas" w:eastAsia="Consolas" w:hAnsi="Consolas"/>
          <w:color w:val="0B2545"/>
          <w:sz w:val="19"/>
          <w:szCs w:val="19"/>
        </w:rPr>
        <w:t xml:space="preserve">from_switch</w:t>
      </w:r>
      <w:r>
        <w:rPr>
          <w:rFonts w:ascii="Calibri" w:cs="Calibri" w:eastAsia="Calibri" w:hAnsi="Calibri"/>
          <w:color w:val="3A4450"/>
          <w:sz w:val="21"/>
          <w:szCs w:val="21"/>
        </w:rPr>
        <w:t xml:space="preserve">.</w:t>
      </w:r>
    </w:p>
    <w:p>
      <w:pPr>
        <w:pStyle w:val="ListParagraph"/>
        <w:numPr>
          <w:ilvl w:val="0"/>
          <w:numId w:val="2"/>
        </w:numPr>
        <w:spacing w:after="70" w:line="280"/>
      </w:pPr>
      <w:r>
        <w:rPr>
          <w:rFonts w:ascii="Consolas" w:cs="Consolas" w:eastAsia="Consolas" w:hAnsi="Consolas"/>
          <w:color w:val="0B2545"/>
          <w:sz w:val="19"/>
          <w:szCs w:val="19"/>
        </w:rPr>
        <w:t xml:space="preserve">key_pass_length</w:t>
      </w:r>
      <w:r>
        <w:rPr>
          <w:rFonts w:ascii="Calibri" w:cs="Calibri" w:eastAsia="Calibri" w:hAnsi="Calibri"/>
          <w:color w:val="3A4450"/>
          <w:sz w:val="21"/>
          <w:szCs w:val="21"/>
        </w:rPr>
        <w:t xml:space="preserve">.</w:t>
      </w:r>
    </w:p>
    <w:p>
      <w:pPr>
        <w:pStyle w:val="ListParagraph"/>
        <w:numPr>
          <w:ilvl w:val="0"/>
          <w:numId w:val="2"/>
        </w:numPr>
        <w:spacing w:after="70" w:line="280"/>
      </w:pPr>
      <w:r>
        <w:rPr>
          <w:rFonts w:ascii="Consolas" w:cs="Consolas" w:eastAsia="Consolas" w:hAnsi="Consolas"/>
          <w:color w:val="0B2545"/>
          <w:sz w:val="19"/>
          <w:szCs w:val="19"/>
        </w:rPr>
        <w:t xml:space="preserve">pass_high</w:t>
      </w:r>
      <w:r>
        <w:rPr>
          <w:rFonts w:ascii="Calibri" w:cs="Calibri" w:eastAsia="Calibri" w:hAnsi="Calibri"/>
          <w:color w:val="3A4450"/>
          <w:sz w:val="21"/>
          <w:szCs w:val="21"/>
        </w:rPr>
        <w:t xml:space="preserve"> and </w:t>
      </w:r>
      <w:r>
        <w:rPr>
          <w:rFonts w:ascii="Consolas" w:cs="Consolas" w:eastAsia="Consolas" w:hAnsi="Consolas"/>
          <w:color w:val="0B2545"/>
          <w:sz w:val="19"/>
          <w:szCs w:val="19"/>
        </w:rPr>
        <w:t xml:space="preserve">pass_ground</w:t>
      </w:r>
      <w:r>
        <w:rPr>
          <w:rFonts w:ascii="Calibri" w:cs="Calibri" w:eastAsia="Calibri" w:hAnsi="Calibri"/>
          <w:color w:val="3A4450"/>
          <w:sz w:val="21"/>
          <w:szCs w:val="21"/>
        </w:rPr>
        <w:t xml:space="preserve">.</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36"/>
              <w:bottom w:val="none" w:color="FFFFFF" w:sz="0"/>
              <w:right w:val="none" w:color="FFFFFF" w:sz="0"/>
            </w:tcBorders>
            <w:shd w:fill="FFF6E0" w:color="auto" w:val="clear"/>
            <w:tcMar>
              <w:top w:type="dxa" w:w="120"/>
              <w:left w:type="dxa" w:w="220"/>
              <w:bottom w:type="dxa" w:w="120"/>
              <w:right w:type="dxa" w:w="200"/>
            </w:tcMar>
          </w:tcPr>
          <w:p>
            <w:pPr>
              <w:spacing w:after="60"/>
            </w:pPr>
            <w:r>
              <w:rPr>
                <w:rFonts w:ascii="Calibri" w:cs="Calibri" w:eastAsia="Calibri" w:hAnsi="Calibri"/>
                <w:b/>
                <w:bCs/>
                <w:color w:val="B7791F"/>
                <w:spacing w:val="30"/>
                <w:sz w:val="17"/>
                <w:szCs w:val="17"/>
              </w:rPr>
              <w:t xml:space="preserve">NOTE</w:t>
            </w:r>
          </w:p>
          <w:p>
            <w:pPr>
              <w:spacing w:after="0" w:line="280"/>
            </w:pPr>
            <w:r>
              <w:rPr>
                <w:rFonts w:ascii="Calibri" w:cs="Calibri" w:eastAsia="Calibri" w:hAnsi="Calibri"/>
                <w:color w:val="3A4450"/>
                <w:sz w:val="21"/>
                <w:szCs w:val="21"/>
              </w:rPr>
              <w:t xml:space="preserve">The notebook also contains code for freeze-frame features such as nearby defenders and goalkeeper position, but the reported final model does not use them because the freeze-frame collection is empty.</w:t>
            </w:r>
          </w:p>
        </w:tc>
      </w:tr>
    </w:tbl>
    <w:p>
      <w:pPr>
        <w:spacing w:after="100" w:before="0"/>
      </w:pPr>
    </w:p>
    <w:p>
      <w:pPr>
        <w:pStyle w:val="Heading2"/>
        <w:keepNext/>
      </w:pPr>
      <w:r>
        <w:rPr>
          <w:rFonts w:ascii="Calibri" w:cs="Calibri" w:eastAsia="Calibri" w:hAnsi="Calibri"/>
        </w:rPr>
        <w:t xml:space="preserve">Models compared</w:t>
      </w:r>
    </w:p>
    <w:p>
      <w:pPr>
        <w:pStyle w:val="ListParagraph"/>
        <w:numPr>
          <w:ilvl w:val="0"/>
          <w:numId w:val="2"/>
        </w:numPr>
        <w:spacing w:after="70" w:line="280"/>
      </w:pPr>
      <w:r>
        <w:rPr>
          <w:rFonts w:ascii="Calibri" w:cs="Calibri" w:eastAsia="Calibri" w:hAnsi="Calibri"/>
          <w:b/>
          <w:bCs/>
          <w:color w:val="0B2545"/>
          <w:sz w:val="21"/>
          <w:szCs w:val="21"/>
        </w:rPr>
        <w:t xml:space="preserve">Logistic Regression</w:t>
      </w:r>
      <w:r>
        <w:rPr>
          <w:rFonts w:ascii="Calibri" w:cs="Calibri" w:eastAsia="Calibri" w:hAnsi="Calibri"/>
          <w:color w:val="3A4450"/>
          <w:sz w:val="21"/>
          <w:szCs w:val="21"/>
        </w:rPr>
        <w:t xml:space="preserve"> — a baseline probability model using distance, angle and header indicator.</w:t>
      </w:r>
    </w:p>
    <w:p>
      <w:pPr>
        <w:pStyle w:val="ListParagraph"/>
        <w:numPr>
          <w:ilvl w:val="0"/>
          <w:numId w:val="2"/>
        </w:numPr>
        <w:spacing w:after="70" w:line="280"/>
      </w:pPr>
      <w:r>
        <w:rPr>
          <w:rFonts w:ascii="Calibri" w:cs="Calibri" w:eastAsia="Calibri" w:hAnsi="Calibri"/>
          <w:b/>
          <w:bCs/>
          <w:color w:val="0B2545"/>
          <w:sz w:val="21"/>
          <w:szCs w:val="21"/>
        </w:rPr>
        <w:t xml:space="preserve">XGBoost</w:t>
      </w:r>
      <w:r>
        <w:rPr>
          <w:rFonts w:ascii="Calibri" w:cs="Calibri" w:eastAsia="Calibri" w:hAnsi="Calibri"/>
          <w:color w:val="3A4450"/>
          <w:sz w:val="21"/>
          <w:szCs w:val="21"/>
        </w:rPr>
        <w:t xml:space="preserve"> — a gradient-boosted tree model using the three base features and eight pass-context features.</w:t>
      </w:r>
    </w:p>
    <w:p>
      <w:pPr>
        <w:pStyle w:val="ListParagraph"/>
        <w:numPr>
          <w:ilvl w:val="0"/>
          <w:numId w:val="2"/>
        </w:numPr>
        <w:spacing w:after="70" w:line="280"/>
      </w:pPr>
      <w:r>
        <w:rPr>
          <w:rFonts w:ascii="Calibri" w:cs="Calibri" w:eastAsia="Calibri" w:hAnsi="Calibri"/>
          <w:b/>
          <w:bCs/>
          <w:color w:val="0B2545"/>
          <w:sz w:val="21"/>
          <w:szCs w:val="21"/>
        </w:rPr>
        <w:t xml:space="preserve">StatsBomb xG</w:t>
      </w:r>
      <w:r>
        <w:rPr>
          <w:rFonts w:ascii="Calibri" w:cs="Calibri" w:eastAsia="Calibri" w:hAnsi="Calibri"/>
          <w:color w:val="3A4450"/>
          <w:sz w:val="21"/>
          <w:szCs w:val="21"/>
        </w:rPr>
        <w:t xml:space="preserve"> — the benchmark probabilities supplied with the event data.</w:t>
      </w:r>
    </w:p>
    <w:p>
      <w:pPr>
        <w:pStyle w:val="Heading1"/>
        <w:keepNext/>
      </w:pPr>
      <w:r>
        <w:rPr>
          <w:rFonts w:ascii="Calibri" w:cs="Calibri" w:eastAsia="Calibri" w:hAnsi="Calibri"/>
        </w:rPr>
        <w:t xml:space="preserve">4. Graphs and Key Insights</w:t>
      </w:r>
    </w:p>
    <w:p>
      <w:pPr>
        <w:pStyle w:val="Heading2"/>
        <w:keepNext/>
      </w:pPr>
      <w:r>
        <w:rPr>
          <w:rFonts w:ascii="Calibri" w:cs="Calibri" w:eastAsia="Calibri" w:hAnsi="Calibri"/>
        </w:rPr>
        <w:t xml:space="preserve">Figure 1. Goal rate by shot distance</w:t>
      </w:r>
    </w:p>
    <w:p>
      <w:pPr>
        <w:keepNext/>
        <w:spacing w:after="60" w:before="60"/>
        <w:jc w:val="center"/>
      </w:pPr>
      <w:r>
        <w:drawing>
          <wp:inline distT="0" distB="0" distL="0" distR="0">
            <wp:extent cx="4191000" cy="2390775"/>
            <wp:effectExtent t="0" r="0" b="0" l="0"/>
            <wp:docPr id="1" name="image1.png" descr="Observed goal rate by distance bucket (n = shots per bucket)" title="Observed goal rate by distance bucket (n = shots per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90775"/>
                    </a:xfrm>
                    <a:prstGeom prst="rect">
                      <a:avLst/>
                    </a:prstGeom>
                  </pic:spPr>
                </pic:pic>
              </a:graphicData>
            </a:graphic>
          </wp:inline>
        </w:drawing>
      </w:r>
    </w:p>
    <w:p>
      <w:pPr>
        <w:keepNext/>
        <w:spacing w:after="100"/>
        <w:jc w:val="center"/>
      </w:pPr>
      <w:r>
        <w:rPr>
          <w:rFonts w:ascii="Calibri" w:cs="Calibri" w:eastAsia="Calibri" w:hAnsi="Calibri"/>
          <w:i/>
          <w:iCs/>
          <w:color w:val="8A94A3"/>
          <w:sz w:val="17"/>
          <w:szCs w:val="17"/>
        </w:rPr>
        <w:t xml:space="preserve">Observed goal rate by distance bucket (n = shots per bucket)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4B" w:sz="36"/>
              <w:bottom w:val="none" w:color="FFFFFF" w:sz="0"/>
              <w:right w:val="none" w:color="FFFFFF" w:sz="0"/>
            </w:tcBorders>
            <w:shd w:fill="E6F4EC" w:color="auto" w:val="clear"/>
            <w:tcMar>
              <w:top w:type="dxa" w:w="120"/>
              <w:left w:type="dxa" w:w="220"/>
              <w:bottom w:type="dxa" w:w="120"/>
              <w:right w:type="dxa" w:w="200"/>
            </w:tcMar>
          </w:tcPr>
          <w:p>
            <w:pPr>
              <w:spacing w:after="60"/>
            </w:pPr>
            <w:r>
              <w:rPr>
                <w:rFonts w:ascii="Calibri" w:cs="Calibri" w:eastAsia="Calibri" w:hAnsi="Calibri"/>
                <w:b/>
                <w:bCs/>
                <w:color w:val="1B7F4B"/>
                <w:spacing w:val="30"/>
                <w:sz w:val="17"/>
                <w:szCs w:val="17"/>
              </w:rPr>
              <w:t xml:space="preserve">INSIGHT</w:t>
            </w:r>
          </w:p>
          <w:p>
            <w:pPr>
              <w:spacing w:after="0" w:line="280"/>
            </w:pPr>
            <w:r>
              <w:rPr>
                <w:rFonts w:ascii="Calibri" w:cs="Calibri" w:eastAsia="Calibri" w:hAnsi="Calibri"/>
                <w:color w:val="3A4450"/>
                <w:sz w:val="21"/>
                <w:szCs w:val="21"/>
              </w:rPr>
              <w:t xml:space="preserve">The observed goal rate falls sharply as shot distance increases. The closest distance bucket has a goal rate of about 40%, while the 30–40 bucket is below 2%. The counts above the bars show the number of shots in each bucket. This supports distance as an important factor in shot-scoring probability. </w:t>
            </w:r>
            <w:r>
              <w:rPr>
                <w:rFonts w:ascii="Calibri" w:cs="Calibri" w:eastAsia="Calibri" w:hAnsi="Calibri"/>
                <w:i/>
                <w:iCs/>
                <w:color w:val="3A4450"/>
                <w:sz w:val="21"/>
                <w:szCs w:val="21"/>
              </w:rPr>
              <w:t xml:space="preserve">Note: the screenshot labels distance in yards, while the notebook’s calculation was described as StatsBomb coordinate units; confirm the conversion before calling these values yards.</w:t>
            </w:r>
          </w:p>
        </w:tc>
      </w:tr>
    </w:tbl>
    <w:p>
      <w:pPr>
        <w:spacing w:after="120" w:before="0"/>
      </w:pPr>
    </w:p>
    <w:p>
      <w:pPr>
        <w:pStyle w:val="Heading2"/>
        <w:keepNext/>
      </w:pPr>
      <w:r>
        <w:rPr>
          <w:rFonts w:ascii="Calibri" w:cs="Calibri" w:eastAsia="Calibri" w:hAnsi="Calibri"/>
        </w:rPr>
        <w:t xml:space="preserve">Figure 2. Shot map: goals vs non-goals</w:t>
      </w:r>
    </w:p>
    <w:p>
      <w:pPr>
        <w:keepNext/>
        <w:spacing w:after="60" w:before="60"/>
        <w:jc w:val="center"/>
      </w:pPr>
      <w:r>
        <w:drawing>
          <wp:inline distT="0" distB="0" distL="0" distR="0">
            <wp:extent cx="3810000" cy="3095625"/>
            <wp:effectExtent t="0" r="0" b="0" l="0"/>
            <wp:docPr id="1" name="image2.png" descr="Half-pitch shot map: goals (yellow) and non-goals (grey)" title="Half-pitch shot map: goals (yellow) and non-goals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095625"/>
                    </a:xfrm>
                    <a:prstGeom prst="rect">
                      <a:avLst/>
                    </a:prstGeom>
                  </pic:spPr>
                </pic:pic>
              </a:graphicData>
            </a:graphic>
          </wp:inline>
        </w:drawing>
      </w:r>
    </w:p>
    <w:p>
      <w:pPr>
        <w:keepNext/>
        <w:spacing w:after="100"/>
        <w:jc w:val="center"/>
      </w:pPr>
      <w:r>
        <w:rPr>
          <w:rFonts w:ascii="Calibri" w:cs="Calibri" w:eastAsia="Calibri" w:hAnsi="Calibri"/>
          <w:i/>
          <w:iCs/>
          <w:color w:val="8A94A3"/>
          <w:sz w:val="17"/>
          <w:szCs w:val="17"/>
        </w:rPr>
        <w:t xml:space="preserve">Half-pitch shot map: goals (yellow) and non-goals (grey)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4B" w:sz="36"/>
              <w:bottom w:val="none" w:color="FFFFFF" w:sz="0"/>
              <w:right w:val="none" w:color="FFFFFF" w:sz="0"/>
            </w:tcBorders>
            <w:shd w:fill="E6F4EC" w:color="auto" w:val="clear"/>
            <w:tcMar>
              <w:top w:type="dxa" w:w="120"/>
              <w:left w:type="dxa" w:w="220"/>
              <w:bottom w:type="dxa" w:w="120"/>
              <w:right w:type="dxa" w:w="200"/>
            </w:tcMar>
          </w:tcPr>
          <w:p>
            <w:pPr>
              <w:spacing w:after="60"/>
            </w:pPr>
            <w:r>
              <w:rPr>
                <w:rFonts w:ascii="Calibri" w:cs="Calibri" w:eastAsia="Calibri" w:hAnsi="Calibri"/>
                <w:b/>
                <w:bCs/>
                <w:color w:val="1B7F4B"/>
                <w:spacing w:val="30"/>
                <w:sz w:val="17"/>
                <w:szCs w:val="17"/>
              </w:rPr>
              <w:t xml:space="preserve">INSIGHT</w:t>
            </w:r>
          </w:p>
          <w:p>
            <w:pPr>
              <w:spacing w:after="0" w:line="280"/>
            </w:pPr>
            <w:r>
              <w:rPr>
                <w:rFonts w:ascii="Calibri" w:cs="Calibri" w:eastAsia="Calibri" w:hAnsi="Calibri"/>
                <w:color w:val="3A4450"/>
                <w:sz w:val="21"/>
                <w:szCs w:val="21"/>
              </w:rPr>
              <w:t xml:space="preserve">The shot map shows shots across the attacking half, with goals highlighted in yellow and non-goals in grey. Goals cluster more heavily in and around the penalty area, while many shots from farther away do not result in goals. This illustrates the importance of shot location, but location alone does not capture all factors that affect a shot’s probability.</w:t>
            </w:r>
          </w:p>
        </w:tc>
      </w:tr>
    </w:tbl>
    <w:p>
      <w:pPr>
        <w:spacing w:after="120" w:before="0"/>
      </w:pPr>
    </w:p>
    <w:p>
      <w:pPr>
        <w:pStyle w:val="Heading2"/>
        <w:keepNext/>
      </w:pPr>
      <w:r>
        <w:rPr>
          <w:rFonts w:ascii="Calibri" w:cs="Calibri" w:eastAsia="Calibri" w:hAnsi="Calibri"/>
        </w:rPr>
        <w:t xml:space="preserve">Figure 3. StatsBomb xG against distance and shooting angle</w:t>
      </w:r>
    </w:p>
    <w:p>
      <w:pPr>
        <w:keepNext/>
        <w:spacing w:after="60" w:before="60"/>
        <w:jc w:val="center"/>
      </w:pPr>
      <w:r>
        <w:drawing>
          <wp:inline distT="0" distB="0" distL="0" distR="0">
            <wp:extent cx="5334000" cy="1933575"/>
            <wp:effectExtent t="0" r="0" b="0" l="0"/>
            <wp:docPr id="1" name="image3.png" descr="StatsBomb xG vs distance (left) and vs shooting angle (right)" title="StatsBomb xG vs distance (left) and vs shooting angl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33575"/>
                    </a:xfrm>
                    <a:prstGeom prst="rect">
                      <a:avLst/>
                    </a:prstGeom>
                  </pic:spPr>
                </pic:pic>
              </a:graphicData>
            </a:graphic>
          </wp:inline>
        </w:drawing>
      </w:r>
    </w:p>
    <w:p>
      <w:pPr>
        <w:keepNext/>
        <w:spacing w:after="100"/>
        <w:jc w:val="center"/>
      </w:pPr>
      <w:r>
        <w:rPr>
          <w:rFonts w:ascii="Calibri" w:cs="Calibri" w:eastAsia="Calibri" w:hAnsi="Calibri"/>
          <w:i/>
          <w:iCs/>
          <w:color w:val="8A94A3"/>
          <w:sz w:val="17"/>
          <w:szCs w:val="17"/>
        </w:rPr>
        <w:t xml:space="preserve">StatsBomb xG vs distance (left) and vs shooting angle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4B" w:sz="36"/>
              <w:bottom w:val="none" w:color="FFFFFF" w:sz="0"/>
              <w:right w:val="none" w:color="FFFFFF" w:sz="0"/>
            </w:tcBorders>
            <w:shd w:fill="E6F4EC" w:color="auto" w:val="clear"/>
            <w:tcMar>
              <w:top w:type="dxa" w:w="120"/>
              <w:left w:type="dxa" w:w="220"/>
              <w:bottom w:type="dxa" w:w="120"/>
              <w:right w:type="dxa" w:w="200"/>
            </w:tcMar>
          </w:tcPr>
          <w:p>
            <w:pPr>
              <w:spacing w:after="60"/>
            </w:pPr>
            <w:r>
              <w:rPr>
                <w:rFonts w:ascii="Calibri" w:cs="Calibri" w:eastAsia="Calibri" w:hAnsi="Calibri"/>
                <w:b/>
                <w:bCs/>
                <w:color w:val="1B7F4B"/>
                <w:spacing w:val="30"/>
                <w:sz w:val="17"/>
                <w:szCs w:val="17"/>
              </w:rPr>
              <w:t xml:space="preserve">INSIGHT</w:t>
            </w:r>
          </w:p>
          <w:p>
            <w:pPr>
              <w:spacing w:after="0" w:line="280"/>
            </w:pPr>
            <w:r>
              <w:rPr>
                <w:rFonts w:ascii="Calibri" w:cs="Calibri" w:eastAsia="Calibri" w:hAnsi="Calibri"/>
                <w:color w:val="3A4450"/>
                <w:sz w:val="21"/>
                <w:szCs w:val="21"/>
              </w:rPr>
              <w:t xml:space="preserve">The left panel shows that StatsBomb xG generally declines as shot distance increases. Most distant shots have very low xG, while high xG values occur mainly closer to goal. The right panel shows that xG tends to be higher at larger shooting angles, although the points are widely spread: distance and angle are useful predictors, but they do not fully explain shot quality.</w:t>
            </w:r>
          </w:p>
        </w:tc>
      </w:tr>
    </w:tbl>
    <w:p>
      <w:pPr>
        <w:spacing w:after="120" w:before="0"/>
      </w:pPr>
    </w:p>
    <w:p>
      <w:pPr>
        <w:pStyle w:val="Heading2"/>
        <w:keepNext/>
      </w:pPr>
      <w:r>
        <w:rPr>
          <w:rFonts w:ascii="Calibri" w:cs="Calibri" w:eastAsia="Calibri" w:hAnsi="Calibri"/>
        </w:rPr>
        <w:t xml:space="preserve">Figure 4. Calibration and predicted xG distributions</w:t>
      </w:r>
    </w:p>
    <w:p>
      <w:pPr>
        <w:keepNext/>
        <w:spacing w:after="60" w:before="60"/>
        <w:jc w:val="center"/>
      </w:pPr>
      <w:r>
        <w:drawing>
          <wp:inline distT="0" distB="0" distL="0" distR="0">
            <wp:extent cx="3048000" cy="3590925"/>
            <wp:effectExtent t="0" r="0" b="0" l="0"/>
            <wp:docPr id="1" name="image4.png" descr="Calibration curves with error bars, and predicted-xG histogram" title="Calibration curves with error bars, and predicted-xG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3590925"/>
                    </a:xfrm>
                    <a:prstGeom prst="rect">
                      <a:avLst/>
                    </a:prstGeom>
                  </pic:spPr>
                </pic:pic>
              </a:graphicData>
            </a:graphic>
          </wp:inline>
        </w:drawing>
      </w:r>
    </w:p>
    <w:p>
      <w:pPr>
        <w:keepNext/>
        <w:spacing w:after="100"/>
        <w:jc w:val="center"/>
      </w:pPr>
      <w:r>
        <w:rPr>
          <w:rFonts w:ascii="Calibri" w:cs="Calibri" w:eastAsia="Calibri" w:hAnsi="Calibri"/>
          <w:i/>
          <w:iCs/>
          <w:color w:val="8A94A3"/>
          <w:sz w:val="17"/>
          <w:szCs w:val="17"/>
        </w:rPr>
        <w:t xml:space="preserve">Calibration curves with error bars, and predicted-xG histogram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4B" w:sz="36"/>
              <w:bottom w:val="none" w:color="FFFFFF" w:sz="0"/>
              <w:right w:val="none" w:color="FFFFFF" w:sz="0"/>
            </w:tcBorders>
            <w:shd w:fill="E6F4EC" w:color="auto" w:val="clear"/>
            <w:tcMar>
              <w:top w:type="dxa" w:w="120"/>
              <w:left w:type="dxa" w:w="220"/>
              <w:bottom w:type="dxa" w:w="120"/>
              <w:right w:type="dxa" w:w="200"/>
            </w:tcMar>
          </w:tcPr>
          <w:p>
            <w:pPr>
              <w:spacing w:after="60"/>
            </w:pPr>
            <w:r>
              <w:rPr>
                <w:rFonts w:ascii="Calibri" w:cs="Calibri" w:eastAsia="Calibri" w:hAnsi="Calibri"/>
                <w:b/>
                <w:bCs/>
                <w:color w:val="1B7F4B"/>
                <w:spacing w:val="30"/>
                <w:sz w:val="17"/>
                <w:szCs w:val="17"/>
              </w:rPr>
              <w:t xml:space="preserve">INSIGHT</w:t>
            </w:r>
          </w:p>
          <w:p>
            <w:pPr>
              <w:spacing w:after="0" w:line="280"/>
            </w:pPr>
            <w:r>
              <w:rPr>
                <w:rFonts w:ascii="Calibri" w:cs="Calibri" w:eastAsia="Calibri" w:hAnsi="Calibri"/>
                <w:color w:val="3A4450"/>
                <w:sz w:val="21"/>
                <w:szCs w:val="21"/>
              </w:rPr>
              <w:t xml:space="preserve">The upper panel compares actual goal rates with predicted probabilities for XGBoost and StatsBomb, alongside a perfect-calibration reference. Points close to the dashed diagonal indicate better calibration; points above it indicate observed scoring exceeds predicted probability, while points below it indicate overprediction. Error bars indicate uncertainty in the observed rates. The lower histogram shows that most shots receive low xG values, with a smaller number assigned higher probabilities. Interpret calibration cautiously where bins contain few shots.</w:t>
            </w:r>
          </w:p>
        </w:tc>
      </w:tr>
    </w:tbl>
    <w:p>
      <w:pPr>
        <w:spacing w:after="120" w:before="0"/>
      </w:pPr>
    </w:p>
    <w:p>
      <w:pPr>
        <w:pStyle w:val="Heading2"/>
        <w:keepNext/>
      </w:pPr>
      <w:r>
        <w:rPr>
          <w:rFonts w:ascii="Calibri" w:cs="Calibri" w:eastAsia="Calibri" w:hAnsi="Calibri"/>
        </w:rPr>
        <w:t xml:space="preserve">Figure 5. Actual goal rate vs predicted xG by distance</w:t>
      </w:r>
    </w:p>
    <w:p>
      <w:pPr>
        <w:keepNext/>
        <w:spacing w:after="60" w:before="60"/>
        <w:jc w:val="center"/>
      </w:pPr>
      <w:r>
        <w:drawing>
          <wp:inline distT="0" distB="0" distL="0" distR="0">
            <wp:extent cx="5143500" cy="2790825"/>
            <wp:effectExtent t="0" r="0" b="0" l="0"/>
            <wp:docPr id="1" name="image5.png" descr="Actual goal rate and mean predicted xG by distance bucket" title="Actual goal rate and mean predicted xG by distance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790825"/>
                    </a:xfrm>
                    <a:prstGeom prst="rect">
                      <a:avLst/>
                    </a:prstGeom>
                  </pic:spPr>
                </pic:pic>
              </a:graphicData>
            </a:graphic>
          </wp:inline>
        </w:drawing>
      </w:r>
    </w:p>
    <w:p>
      <w:pPr>
        <w:keepNext/>
        <w:spacing w:after="100"/>
        <w:jc w:val="center"/>
      </w:pPr>
      <w:r>
        <w:rPr>
          <w:rFonts w:ascii="Calibri" w:cs="Calibri" w:eastAsia="Calibri" w:hAnsi="Calibri"/>
          <w:i/>
          <w:iCs/>
          <w:color w:val="8A94A3"/>
          <w:sz w:val="17"/>
          <w:szCs w:val="17"/>
        </w:rPr>
        <w:t xml:space="preserve">Actual goal rate and mean predicted xG by distance bucket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4B" w:sz="36"/>
              <w:bottom w:val="none" w:color="FFFFFF" w:sz="0"/>
              <w:right w:val="none" w:color="FFFFFF" w:sz="0"/>
            </w:tcBorders>
            <w:shd w:fill="E6F4EC" w:color="auto" w:val="clear"/>
            <w:tcMar>
              <w:top w:type="dxa" w:w="120"/>
              <w:left w:type="dxa" w:w="220"/>
              <w:bottom w:type="dxa" w:w="120"/>
              <w:right w:type="dxa" w:w="200"/>
            </w:tcMar>
          </w:tcPr>
          <w:p>
            <w:pPr>
              <w:spacing w:after="60"/>
            </w:pPr>
            <w:r>
              <w:rPr>
                <w:rFonts w:ascii="Calibri" w:cs="Calibri" w:eastAsia="Calibri" w:hAnsi="Calibri"/>
                <w:b/>
                <w:bCs/>
                <w:color w:val="1B7F4B"/>
                <w:spacing w:val="30"/>
                <w:sz w:val="17"/>
                <w:szCs w:val="17"/>
              </w:rPr>
              <w:t xml:space="preserve">INSIGHT</w:t>
            </w:r>
          </w:p>
          <w:p>
            <w:pPr>
              <w:spacing w:after="0" w:line="280"/>
            </w:pPr>
            <w:r>
              <w:rPr>
                <w:rFonts w:ascii="Calibri" w:cs="Calibri" w:eastAsia="Calibri" w:hAnsi="Calibri"/>
                <w:color w:val="3A4450"/>
                <w:sz w:val="21"/>
                <w:szCs w:val="21"/>
              </w:rPr>
              <w:t xml:space="preserve">The actual goal rate and all three models’ average predictions decline with distance. The model curves are relatively close at longer distances, while differences are more visible in the nearest buckets. In several buckets the actual rate is above the predicted values, but the observed rate is noisy and depends on the number and type of shots in each bucket. This plot helps assess whether the predicted probabilities track the empirical pattern.</w:t>
            </w:r>
          </w:p>
        </w:tc>
      </w:tr>
    </w:tbl>
    <w:p>
      <w:pPr>
        <w:spacing w:after="120" w:before="0"/>
      </w:pPr>
    </w:p>
    <w:p>
      <w:pPr>
        <w:pStyle w:val="Heading2"/>
        <w:keepNext/>
      </w:pPr>
      <w:r>
        <w:rPr>
          <w:rFonts w:ascii="Calibri" w:cs="Calibri" w:eastAsia="Calibri" w:hAnsi="Calibri"/>
        </w:rPr>
        <w:t xml:space="preserve">Figure 6. Distribution of predicted xG values</w:t>
      </w:r>
    </w:p>
    <w:p>
      <w:pPr>
        <w:keepNext/>
        <w:spacing w:after="60" w:before="60"/>
        <w:jc w:val="center"/>
      </w:pPr>
      <w:r>
        <w:drawing>
          <wp:inline distT="0" distB="0" distL="0" distR="0">
            <wp:extent cx="4191000" cy="2486025"/>
            <wp:effectExtent t="0" r="0" b="0" l="0"/>
            <wp:docPr id="1" name="image6.png" descr="Distribution of predicted xG for the three models" title="Distribution of predicted xG for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486025"/>
                    </a:xfrm>
                    <a:prstGeom prst="rect">
                      <a:avLst/>
                    </a:prstGeom>
                  </pic:spPr>
                </pic:pic>
              </a:graphicData>
            </a:graphic>
          </wp:inline>
        </w:drawing>
      </w:r>
    </w:p>
    <w:p>
      <w:pPr>
        <w:keepNext/>
        <w:spacing w:after="100"/>
        <w:jc w:val="center"/>
      </w:pPr>
      <w:r>
        <w:rPr>
          <w:rFonts w:ascii="Calibri" w:cs="Calibri" w:eastAsia="Calibri" w:hAnsi="Calibri"/>
          <w:i/>
          <w:iCs/>
          <w:color w:val="8A94A3"/>
          <w:sz w:val="17"/>
          <w:szCs w:val="17"/>
        </w:rPr>
        <w:t xml:space="preserve">Distribution of predicted xG for the three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4B" w:sz="36"/>
              <w:bottom w:val="none" w:color="FFFFFF" w:sz="0"/>
              <w:right w:val="none" w:color="FFFFFF" w:sz="0"/>
            </w:tcBorders>
            <w:shd w:fill="E6F4EC" w:color="auto" w:val="clear"/>
            <w:tcMar>
              <w:top w:type="dxa" w:w="120"/>
              <w:left w:type="dxa" w:w="220"/>
              <w:bottom w:type="dxa" w:w="120"/>
              <w:right w:type="dxa" w:w="200"/>
            </w:tcMar>
          </w:tcPr>
          <w:p>
            <w:pPr>
              <w:spacing w:after="60"/>
            </w:pPr>
            <w:r>
              <w:rPr>
                <w:rFonts w:ascii="Calibri" w:cs="Calibri" w:eastAsia="Calibri" w:hAnsi="Calibri"/>
                <w:b/>
                <w:bCs/>
                <w:color w:val="1B7F4B"/>
                <w:spacing w:val="30"/>
                <w:sz w:val="17"/>
                <w:szCs w:val="17"/>
              </w:rPr>
              <w:t xml:space="preserve">INSIGHT</w:t>
            </w:r>
          </w:p>
          <w:p>
            <w:pPr>
              <w:spacing w:after="0" w:line="280"/>
            </w:pPr>
            <w:r>
              <w:rPr>
                <w:rFonts w:ascii="Calibri" w:cs="Calibri" w:eastAsia="Calibri" w:hAnsi="Calibri"/>
                <w:color w:val="3A4450"/>
                <w:sz w:val="21"/>
                <w:szCs w:val="21"/>
              </w:rPr>
              <w:t xml:space="preserve">All three distributions are concentrated at low probabilities, which is expected because most shots do not become goals. The distributions have long right tails, representing a small number of high-quality chances. The shape and tail differ by model, so this plot should be read together with calibration and scoring metrics rather than used alone to choose a winner.</w:t>
            </w:r>
          </w:p>
        </w:tc>
      </w:tr>
    </w:tbl>
    <w:p>
      <w:pPr>
        <w:spacing w:after="120" w:before="0"/>
      </w:pPr>
    </w:p>
    <w:p>
      <w:pPr>
        <w:pStyle w:val="Heading2"/>
        <w:keepNext/>
      </w:pPr>
      <w:r>
        <w:rPr>
          <w:rFonts w:ascii="Calibri" w:cs="Calibri" w:eastAsia="Calibri" w:hAnsi="Calibri"/>
        </w:rPr>
        <w:t xml:space="preserve">Figure 7. Predicted xG by shot location — World Cup 2022</w:t>
      </w:r>
    </w:p>
    <w:p>
      <w:pPr>
        <w:keepNext/>
        <w:spacing w:after="60" w:before="60"/>
        <w:jc w:val="center"/>
      </w:pPr>
      <w:r>
        <w:drawing>
          <wp:inline distT="0" distB="0" distL="0" distR="0">
            <wp:extent cx="4191000" cy="3000375"/>
            <wp:effectExtent t="0" r="0" b="0" l="0"/>
            <wp:docPr id="1" name="image7.png" descr="XGBoost predicted xG for each World Cup 2022 shot, by location" title="XGBoost predicted xG for each World Cup 2022 shot, by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3000375"/>
                    </a:xfrm>
                    <a:prstGeom prst="rect">
                      <a:avLst/>
                    </a:prstGeom>
                  </pic:spPr>
                </pic:pic>
              </a:graphicData>
            </a:graphic>
          </wp:inline>
        </w:drawing>
      </w:r>
    </w:p>
    <w:p>
      <w:pPr>
        <w:keepNext/>
        <w:spacing w:after="100"/>
        <w:jc w:val="center"/>
      </w:pPr>
      <w:r>
        <w:rPr>
          <w:rFonts w:ascii="Calibri" w:cs="Calibri" w:eastAsia="Calibri" w:hAnsi="Calibri"/>
          <w:i/>
          <w:iCs/>
          <w:color w:val="8A94A3"/>
          <w:sz w:val="17"/>
          <w:szCs w:val="17"/>
        </w:rPr>
        <w:t xml:space="preserve">XGBoost predicted xG for each World Cup 2022 shot, by 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4B" w:sz="36"/>
              <w:bottom w:val="none" w:color="FFFFFF" w:sz="0"/>
              <w:right w:val="none" w:color="FFFFFF" w:sz="0"/>
            </w:tcBorders>
            <w:shd w:fill="E6F4EC" w:color="auto" w:val="clear"/>
            <w:tcMar>
              <w:top w:type="dxa" w:w="120"/>
              <w:left w:type="dxa" w:w="220"/>
              <w:bottom w:type="dxa" w:w="120"/>
              <w:right w:type="dxa" w:w="200"/>
            </w:tcMar>
          </w:tcPr>
          <w:p>
            <w:pPr>
              <w:spacing w:after="60"/>
            </w:pPr>
            <w:r>
              <w:rPr>
                <w:rFonts w:ascii="Calibri" w:cs="Calibri" w:eastAsia="Calibri" w:hAnsi="Calibri"/>
                <w:b/>
                <w:bCs/>
                <w:color w:val="1B7F4B"/>
                <w:spacing w:val="30"/>
                <w:sz w:val="17"/>
                <w:szCs w:val="17"/>
              </w:rPr>
              <w:t xml:space="preserve">INSIGHT</w:t>
            </w:r>
          </w:p>
          <w:p>
            <w:pPr>
              <w:spacing w:after="0" w:line="280"/>
            </w:pPr>
            <w:r>
              <w:rPr>
                <w:rFonts w:ascii="Calibri" w:cs="Calibri" w:eastAsia="Calibri" w:hAnsi="Calibri"/>
                <w:color w:val="3A4450"/>
                <w:sz w:val="21"/>
                <w:szCs w:val="21"/>
              </w:rPr>
              <w:t xml:space="preserve">Each point represents a World Cup 2022 shot. The colour encodes the XGBoost predicted xG, with brighter points indicating higher estimated scoring probability. High predicted values are concentrated near the goal, while shots from farther away generally receive low probabilities. This is a map of observed shot locations, not a continuous xG surface over every pitch location.</w:t>
            </w:r>
          </w:p>
        </w:tc>
      </w:tr>
    </w:tbl>
    <w:p>
      <w:pPr>
        <w:spacing w:after="120" w:before="0"/>
      </w:pPr>
    </w:p>
    <w:p>
      <w:pPr>
        <w:pStyle w:val="Heading2"/>
        <w:keepNext/>
      </w:pPr>
      <w:r>
        <w:rPr>
          <w:rFonts w:ascii="Calibri" w:cs="Calibri" w:eastAsia="Calibri" w:hAnsi="Calibri"/>
        </w:rPr>
        <w:t xml:space="preserve">Figure 8. Actual goals vs predicted xG by tournament</w:t>
      </w:r>
    </w:p>
    <w:p>
      <w:pPr>
        <w:keepNext/>
        <w:spacing w:after="60" w:before="60"/>
        <w:jc w:val="center"/>
      </w:pPr>
      <w:r>
        <w:drawing>
          <wp:inline distT="0" distB="0" distL="0" distR="0">
            <wp:extent cx="5143500" cy="2552700"/>
            <wp:effectExtent t="0" r="0" b="0" l="0"/>
            <wp:docPr id="1" name="image8.png" descr="Actual goals vs summed predicted xG, per tournament" title="Actual goals vs summed predicted xG, per tourn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552700"/>
                    </a:xfrm>
                    <a:prstGeom prst="rect">
                      <a:avLst/>
                    </a:prstGeom>
                  </pic:spPr>
                </pic:pic>
              </a:graphicData>
            </a:graphic>
          </wp:inline>
        </w:drawing>
      </w:r>
    </w:p>
    <w:p>
      <w:pPr>
        <w:keepNext/>
        <w:spacing w:after="100"/>
        <w:jc w:val="center"/>
      </w:pPr>
      <w:r>
        <w:rPr>
          <w:rFonts w:ascii="Calibri" w:cs="Calibri" w:eastAsia="Calibri" w:hAnsi="Calibri"/>
          <w:i/>
          <w:iCs/>
          <w:color w:val="8A94A3"/>
          <w:sz w:val="17"/>
          <w:szCs w:val="17"/>
        </w:rPr>
        <w:t xml:space="preserve">Actual goals vs summed predicted xG, per tournament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4B" w:sz="36"/>
              <w:bottom w:val="none" w:color="FFFFFF" w:sz="0"/>
              <w:right w:val="none" w:color="FFFFFF" w:sz="0"/>
            </w:tcBorders>
            <w:shd w:fill="E6F4EC" w:color="auto" w:val="clear"/>
            <w:tcMar>
              <w:top w:type="dxa" w:w="120"/>
              <w:left w:type="dxa" w:w="220"/>
              <w:bottom w:type="dxa" w:w="120"/>
              <w:right w:type="dxa" w:w="200"/>
            </w:tcMar>
          </w:tcPr>
          <w:p>
            <w:pPr>
              <w:spacing w:after="60"/>
            </w:pPr>
            <w:r>
              <w:rPr>
                <w:rFonts w:ascii="Calibri" w:cs="Calibri" w:eastAsia="Calibri" w:hAnsi="Calibri"/>
                <w:b/>
                <w:bCs/>
                <w:color w:val="1B7F4B"/>
                <w:spacing w:val="30"/>
                <w:sz w:val="17"/>
                <w:szCs w:val="17"/>
              </w:rPr>
              <w:t xml:space="preserve">INSIGHT</w:t>
            </w:r>
          </w:p>
          <w:p>
            <w:pPr>
              <w:spacing w:after="0" w:line="280"/>
            </w:pPr>
            <w:r>
              <w:rPr>
                <w:rFonts w:ascii="Calibri" w:cs="Calibri" w:eastAsia="Calibri" w:hAnsi="Calibri"/>
                <w:color w:val="3A4450"/>
                <w:sz w:val="21"/>
                <w:szCs w:val="21"/>
              </w:rPr>
              <w:t xml:space="preserve">The chart compares actual goals with summed predicted xG across tournaments. Predictions are close to actual totals in some tournaments, while the gap is larger in others. For World Cup 2022, actual goals are higher than the displayed predicted xG total. Aggregate differences in one tournament do not alone prove systematic model bias; predictions should also be evaluated at shot level using metrics such as Log Loss, Brier Score and ROC-AUC. </w:t>
            </w:r>
            <w:r>
              <w:rPr>
                <w:rFonts w:ascii="Calibri" w:cs="Calibri" w:eastAsia="Calibri" w:hAnsi="Calibri"/>
                <w:i/>
                <w:iCs/>
                <w:color w:val="3A4450"/>
                <w:sz w:val="21"/>
                <w:szCs w:val="21"/>
              </w:rPr>
              <w:t xml:space="preserve">Verify the tournament label ‘Euro 2018’ in the screenshot because it may not match the tournament list described in the notebook.</w:t>
            </w:r>
          </w:p>
        </w:tc>
      </w:tr>
    </w:tbl>
    <w:p>
      <w:pPr>
        <w:spacing w:after="120" w:before="0"/>
      </w:pPr>
    </w:p>
    <w:p>
      <w:pPr>
        <w:pStyle w:val="Heading1"/>
        <w:keepNext/>
      </w:pPr>
      <w:r>
        <w:rPr>
          <w:rFonts w:ascii="Calibri" w:cs="Calibri" w:eastAsia="Calibri" w:hAnsi="Calibri"/>
        </w:rPr>
        <w:t xml:space="preserve">5. Reported Model Evaluation</w:t>
      </w:r>
    </w:p>
    <w:p>
      <w:pPr>
        <w:spacing w:after="120" w:line="288"/>
      </w:pPr>
      <w:r>
        <w:rPr>
          <w:rFonts w:ascii="Calibri" w:cs="Calibri" w:eastAsia="Calibri" w:hAnsi="Calibri"/>
          <w:color w:val="3A4450"/>
          <w:sz w:val="21"/>
          <w:szCs w:val="21"/>
        </w:rPr>
        <w:t xml:space="preserve">The following metrics were reported in the notebook summary for the World Cup 2022 test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438"/>
      </w:tblGrid>
      <w:tr>
        <w:trPr>
          <w:cantSplit/>
          <w:tblHeader/>
        </w:trPr>
        <w:tc>
          <w:tcPr>
            <w:tcW w:type="dxa" w:w="3000"/>
            <w:tcBorders>
              <w:top w:val="none" w:color="FFFFFF" w:sz="0"/>
              <w:left w:val="none" w:color="FFFFFF" w:sz="0"/>
              <w:bottom w:val="none" w:color="FFFFFF" w:sz="0"/>
              <w:right w:val="none" w:color="FFFFFF" w:sz="0"/>
            </w:tcBorders>
            <w:shd w:fill="0B2545" w:color="auto" w:val="clear"/>
            <w:tcMar>
              <w:top w:type="dxa" w:w="110"/>
              <w:left w:type="dxa" w:w="140"/>
              <w:bottom w:type="dxa" w:w="110"/>
              <w:right w:type="dxa" w:w="140"/>
            </w:tcMar>
            <w:vAlign w:val="center"/>
          </w:tcPr>
          <w:p>
            <w:pPr>
              <w:keepNext/>
              <w:jc w:val="left"/>
            </w:pPr>
            <w:r>
              <w:rPr>
                <w:rFonts w:ascii="Calibri" w:cs="Calibri" w:eastAsia="Calibri" w:hAnsi="Calibri"/>
                <w:b/>
                <w:bCs/>
                <w:color w:val="FFFFFF"/>
                <w:sz w:val="19"/>
                <w:szCs w:val="19"/>
              </w:rPr>
              <w:t xml:space="preserve">Model</w:t>
            </w:r>
          </w:p>
        </w:tc>
        <w:tc>
          <w:tcPr>
            <w:tcW w:type="dxa" w:w="2000"/>
            <w:tcBorders>
              <w:top w:val="none" w:color="FFFFFF" w:sz="0"/>
              <w:left w:val="none" w:color="FFFFFF" w:sz="0"/>
              <w:bottom w:val="none" w:color="FFFFFF" w:sz="0"/>
              <w:right w:val="none" w:color="FFFFFF" w:sz="0"/>
            </w:tcBorders>
            <w:shd w:fill="0B2545" w:color="auto" w:val="clear"/>
            <w:tcMar>
              <w:top w:type="dxa" w:w="110"/>
              <w:left w:type="dxa" w:w="140"/>
              <w:bottom w:type="dxa" w:w="110"/>
              <w:right w:type="dxa" w:w="140"/>
            </w:tcMar>
            <w:vAlign w:val="center"/>
          </w:tcPr>
          <w:p>
            <w:pPr>
              <w:keepNext/>
              <w:jc w:val="center"/>
            </w:pPr>
            <w:r>
              <w:rPr>
                <w:rFonts w:ascii="Calibri" w:cs="Calibri" w:eastAsia="Calibri" w:hAnsi="Calibri"/>
                <w:b/>
                <w:bCs/>
                <w:color w:val="FFFFFF"/>
                <w:sz w:val="19"/>
                <w:szCs w:val="19"/>
              </w:rPr>
              <w:t xml:space="preserve">Log Loss ↓</w:t>
            </w:r>
          </w:p>
        </w:tc>
        <w:tc>
          <w:tcPr>
            <w:tcW w:type="dxa" w:w="2200"/>
            <w:tcBorders>
              <w:top w:val="none" w:color="FFFFFF" w:sz="0"/>
              <w:left w:val="none" w:color="FFFFFF" w:sz="0"/>
              <w:bottom w:val="none" w:color="FFFFFF" w:sz="0"/>
              <w:right w:val="none" w:color="FFFFFF" w:sz="0"/>
            </w:tcBorders>
            <w:shd w:fill="0B2545" w:color="auto" w:val="clear"/>
            <w:tcMar>
              <w:top w:type="dxa" w:w="110"/>
              <w:left w:type="dxa" w:w="140"/>
              <w:bottom w:type="dxa" w:w="110"/>
              <w:right w:type="dxa" w:w="140"/>
            </w:tcMar>
            <w:vAlign w:val="center"/>
          </w:tcPr>
          <w:p>
            <w:pPr>
              <w:keepNext/>
              <w:jc w:val="center"/>
            </w:pPr>
            <w:r>
              <w:rPr>
                <w:rFonts w:ascii="Calibri" w:cs="Calibri" w:eastAsia="Calibri" w:hAnsi="Calibri"/>
                <w:b/>
                <w:bCs/>
                <w:color w:val="FFFFFF"/>
                <w:sz w:val="19"/>
                <w:szCs w:val="19"/>
              </w:rPr>
              <w:t xml:space="preserve">Brier Score ↓</w:t>
            </w:r>
          </w:p>
        </w:tc>
        <w:tc>
          <w:tcPr>
            <w:tcW w:type="dxa" w:w="2438"/>
            <w:tcBorders>
              <w:top w:val="none" w:color="FFFFFF" w:sz="0"/>
              <w:left w:val="none" w:color="FFFFFF" w:sz="0"/>
              <w:bottom w:val="none" w:color="FFFFFF" w:sz="0"/>
              <w:right w:val="none" w:color="FFFFFF" w:sz="0"/>
            </w:tcBorders>
            <w:shd w:fill="0B2545" w:color="auto" w:val="clear"/>
            <w:tcMar>
              <w:top w:type="dxa" w:w="110"/>
              <w:left w:type="dxa" w:w="140"/>
              <w:bottom w:type="dxa" w:w="110"/>
              <w:right w:type="dxa" w:w="140"/>
            </w:tcMar>
            <w:vAlign w:val="center"/>
          </w:tcPr>
          <w:p>
            <w:pPr>
              <w:keepNext/>
              <w:jc w:val="center"/>
            </w:pPr>
            <w:r>
              <w:rPr>
                <w:rFonts w:ascii="Calibri" w:cs="Calibri" w:eastAsia="Calibri" w:hAnsi="Calibri"/>
                <w:b/>
                <w:bCs/>
                <w:color w:val="FFFFFF"/>
                <w:sz w:val="19"/>
                <w:szCs w:val="19"/>
              </w:rPr>
              <w:t xml:space="preserve">ROC-AUC ↑</w:t>
            </w:r>
          </w:p>
        </w:tc>
      </w:tr>
      <w:tr>
        <w:trPr>
          <w:cantSplit/>
        </w:trPr>
        <w:tc>
          <w:tcPr>
            <w:tcW w:type="dxa" w:w="3000"/>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left"/>
            </w:pPr>
            <w:r>
              <w:rPr>
                <w:rFonts w:ascii="Calibri" w:cs="Calibri" w:eastAsia="Calibri" w:hAnsi="Calibri"/>
                <w:b/>
                <w:bCs/>
                <w:color w:val="0B2545"/>
                <w:sz w:val="20"/>
                <w:szCs w:val="20"/>
              </w:rPr>
              <w:t xml:space="preserve">Logistic Regression</w:t>
            </w:r>
          </w:p>
        </w:tc>
        <w:tc>
          <w:tcPr>
            <w:tcW w:type="dxa" w:w="2000"/>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0.2896</w:t>
            </w:r>
          </w:p>
        </w:tc>
        <w:tc>
          <w:tcPr>
            <w:tcW w:type="dxa" w:w="2200"/>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Not reported</w:t>
            </w:r>
          </w:p>
        </w:tc>
        <w:tc>
          <w:tcPr>
            <w:tcW w:type="dxa" w:w="2438"/>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0.7796</w:t>
            </w:r>
          </w:p>
        </w:tc>
      </w:tr>
      <w:tr>
        <w:trPr>
          <w:cantSplit/>
        </w:trPr>
        <w:tc>
          <w:tcPr>
            <w:tcW w:type="dxa" w:w="3000"/>
            <w:tcBorders>
              <w:top w:val="single" w:color="D9DEE5" w:sz="4"/>
              <w:left w:val="none" w:color="FFFFFF" w:sz="0"/>
              <w:bottom w:val="single" w:color="D9DEE5" w:sz="4"/>
              <w:right w:val="none" w:color="FFFFFF" w:sz="0"/>
            </w:tcBorders>
            <w:shd w:fill="F2F4F7" w:color="auto" w:val="clear"/>
            <w:tcMar>
              <w:top w:type="dxa" w:w="100"/>
              <w:left w:type="dxa" w:w="140"/>
              <w:bottom w:type="dxa" w:w="100"/>
              <w:right w:type="dxa" w:w="140"/>
            </w:tcMar>
            <w:vAlign w:val="center"/>
          </w:tcPr>
          <w:p>
            <w:pPr>
              <w:keepNext/>
              <w:jc w:val="left"/>
            </w:pPr>
            <w:r>
              <w:rPr>
                <w:rFonts w:ascii="Calibri" w:cs="Calibri" w:eastAsia="Calibri" w:hAnsi="Calibri"/>
                <w:b/>
                <w:bCs/>
                <w:color w:val="0B2545"/>
                <w:sz w:val="20"/>
                <w:szCs w:val="20"/>
              </w:rPr>
              <w:t xml:space="preserve">XGBoost</w:t>
            </w:r>
          </w:p>
        </w:tc>
        <w:tc>
          <w:tcPr>
            <w:tcW w:type="dxa" w:w="2000"/>
            <w:tcBorders>
              <w:top w:val="single" w:color="D9DEE5" w:sz="4"/>
              <w:left w:val="none" w:color="FFFFFF" w:sz="0"/>
              <w:bottom w:val="single" w:color="D9DEE5" w:sz="4"/>
              <w:right w:val="none" w:color="FFFFFF" w:sz="0"/>
            </w:tcBorders>
            <w:shd w:fill="F2F4F7"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0.2859</w:t>
            </w:r>
          </w:p>
        </w:tc>
        <w:tc>
          <w:tcPr>
            <w:tcW w:type="dxa" w:w="2200"/>
            <w:tcBorders>
              <w:top w:val="single" w:color="D9DEE5" w:sz="4"/>
              <w:left w:val="none" w:color="FFFFFF" w:sz="0"/>
              <w:bottom w:val="single" w:color="D9DEE5" w:sz="4"/>
              <w:right w:val="none" w:color="FFFFFF" w:sz="0"/>
            </w:tcBorders>
            <w:shd w:fill="F2F4F7"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0.0823</w:t>
            </w:r>
          </w:p>
        </w:tc>
        <w:tc>
          <w:tcPr>
            <w:tcW w:type="dxa" w:w="2438"/>
            <w:tcBorders>
              <w:top w:val="single" w:color="D9DEE5" w:sz="4"/>
              <w:left w:val="none" w:color="FFFFFF" w:sz="0"/>
              <w:bottom w:val="single" w:color="D9DEE5" w:sz="4"/>
              <w:right w:val="none" w:color="FFFFFF" w:sz="0"/>
            </w:tcBorders>
            <w:shd w:fill="F2F4F7"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0.7831</w:t>
            </w:r>
          </w:p>
        </w:tc>
      </w:tr>
      <w:tr>
        <w:trPr>
          <w:cantSplit/>
        </w:trPr>
        <w:tc>
          <w:tcPr>
            <w:tcW w:type="dxa" w:w="3000"/>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val="false"/>
              <w:jc w:val="left"/>
            </w:pPr>
            <w:r>
              <w:rPr>
                <w:rFonts w:ascii="Calibri" w:cs="Calibri" w:eastAsia="Calibri" w:hAnsi="Calibri"/>
                <w:b/>
                <w:bCs/>
                <w:color w:val="0B2545"/>
                <w:sz w:val="20"/>
                <w:szCs w:val="20"/>
              </w:rPr>
              <w:t xml:space="preserve">StatsBomb xG</w:t>
            </w:r>
          </w:p>
        </w:tc>
        <w:tc>
          <w:tcPr>
            <w:tcW w:type="dxa" w:w="2000"/>
            <w:tcBorders>
              <w:top w:val="single" w:color="D9DEE5" w:sz="4"/>
              <w:left w:val="none" w:color="FFFFFF" w:sz="0"/>
              <w:bottom w:val="single" w:color="D9DEE5" w:sz="4"/>
              <w:right w:val="none" w:color="FFFFFF" w:sz="0"/>
            </w:tcBorders>
            <w:shd w:fill="E6F4EC" w:color="auto" w:val="clear"/>
            <w:tcMar>
              <w:top w:type="dxa" w:w="100"/>
              <w:left w:type="dxa" w:w="140"/>
              <w:bottom w:type="dxa" w:w="100"/>
              <w:right w:type="dxa" w:w="140"/>
            </w:tcMar>
            <w:vAlign w:val="center"/>
          </w:tcPr>
          <w:p>
            <w:pPr>
              <w:keepNext w:val="false"/>
              <w:jc w:val="center"/>
            </w:pPr>
            <w:r>
              <w:rPr>
                <w:rFonts w:ascii="Calibri" w:cs="Calibri" w:eastAsia="Calibri" w:hAnsi="Calibri"/>
                <w:b/>
                <w:bCs/>
                <w:color w:val="1B7F4B"/>
                <w:sz w:val="20"/>
                <w:szCs w:val="20"/>
              </w:rPr>
              <w:t xml:space="preserve">0.2665</w:t>
            </w:r>
          </w:p>
        </w:tc>
        <w:tc>
          <w:tcPr>
            <w:tcW w:type="dxa" w:w="2200"/>
            <w:tcBorders>
              <w:top w:val="single" w:color="D9DEE5" w:sz="4"/>
              <w:left w:val="none" w:color="FFFFFF" w:sz="0"/>
              <w:bottom w:val="single" w:color="D9DEE5" w:sz="4"/>
              <w:right w:val="none" w:color="FFFFFF" w:sz="0"/>
            </w:tcBorders>
            <w:shd w:fill="E6F4EC" w:color="auto" w:val="clear"/>
            <w:tcMar>
              <w:top w:type="dxa" w:w="100"/>
              <w:left w:type="dxa" w:w="140"/>
              <w:bottom w:type="dxa" w:w="100"/>
              <w:right w:type="dxa" w:w="140"/>
            </w:tcMar>
            <w:vAlign w:val="center"/>
          </w:tcPr>
          <w:p>
            <w:pPr>
              <w:keepNext w:val="false"/>
              <w:jc w:val="center"/>
            </w:pPr>
            <w:r>
              <w:rPr>
                <w:rFonts w:ascii="Calibri" w:cs="Calibri" w:eastAsia="Calibri" w:hAnsi="Calibri"/>
                <w:b/>
                <w:bCs/>
                <w:color w:val="1B7F4B"/>
                <w:sz w:val="20"/>
                <w:szCs w:val="20"/>
              </w:rPr>
              <w:t xml:space="preserve">0.0762</w:t>
            </w:r>
          </w:p>
        </w:tc>
        <w:tc>
          <w:tcPr>
            <w:tcW w:type="dxa" w:w="2438"/>
            <w:tcBorders>
              <w:top w:val="single" w:color="D9DEE5" w:sz="4"/>
              <w:left w:val="none" w:color="FFFFFF" w:sz="0"/>
              <w:bottom w:val="single" w:color="D9DEE5" w:sz="4"/>
              <w:right w:val="none" w:color="FFFFFF" w:sz="0"/>
            </w:tcBorders>
            <w:shd w:fill="E6F4EC" w:color="auto" w:val="clear"/>
            <w:tcMar>
              <w:top w:type="dxa" w:w="100"/>
              <w:left w:type="dxa" w:w="140"/>
              <w:bottom w:type="dxa" w:w="100"/>
              <w:right w:type="dxa" w:w="140"/>
            </w:tcMar>
            <w:vAlign w:val="center"/>
          </w:tcPr>
          <w:p>
            <w:pPr>
              <w:keepNext w:val="false"/>
              <w:jc w:val="center"/>
            </w:pPr>
            <w:r>
              <w:rPr>
                <w:rFonts w:ascii="Calibri" w:cs="Calibri" w:eastAsia="Calibri" w:hAnsi="Calibri"/>
                <w:b/>
                <w:bCs/>
                <w:color w:val="1B7F4B"/>
                <w:sz w:val="20"/>
                <w:szCs w:val="20"/>
              </w:rPr>
              <w:t xml:space="preserve">0.8148</w:t>
            </w:r>
          </w:p>
        </w:tc>
      </w:tr>
    </w:tbl>
    <w:p>
      <w:pPr>
        <w:spacing w:after="100" w:before="0"/>
      </w:pPr>
    </w:p>
    <w:p>
      <w:pPr>
        <w:pStyle w:val="ListParagraph"/>
        <w:numPr>
          <w:ilvl w:val="0"/>
          <w:numId w:val="2"/>
        </w:numPr>
        <w:spacing w:after="70" w:line="280"/>
      </w:pPr>
      <w:r>
        <w:rPr>
          <w:rFonts w:ascii="Calibri" w:cs="Calibri" w:eastAsia="Calibri" w:hAnsi="Calibri"/>
          <w:b/>
          <w:bCs/>
          <w:color w:val="0B2545"/>
          <w:sz w:val="21"/>
          <w:szCs w:val="21"/>
        </w:rPr>
        <w:t xml:space="preserve">Log Loss: </w:t>
      </w:r>
      <w:r>
        <w:rPr>
          <w:rFonts w:ascii="Calibri" w:cs="Calibri" w:eastAsia="Calibri" w:hAnsi="Calibri"/>
          <w:color w:val="3A4450"/>
          <w:sz w:val="21"/>
          <w:szCs w:val="21"/>
        </w:rPr>
        <w:t xml:space="preserve">lower values indicate better probabilistic predictions.</w:t>
      </w:r>
    </w:p>
    <w:p>
      <w:pPr>
        <w:pStyle w:val="ListParagraph"/>
        <w:numPr>
          <w:ilvl w:val="0"/>
          <w:numId w:val="2"/>
        </w:numPr>
        <w:spacing w:after="70" w:line="280"/>
      </w:pPr>
      <w:r>
        <w:rPr>
          <w:rFonts w:ascii="Calibri" w:cs="Calibri" w:eastAsia="Calibri" w:hAnsi="Calibri"/>
          <w:b/>
          <w:bCs/>
          <w:color w:val="0B2545"/>
          <w:sz w:val="21"/>
          <w:szCs w:val="21"/>
        </w:rPr>
        <w:t xml:space="preserve">Brier Score: </w:t>
      </w:r>
      <w:r>
        <w:rPr>
          <w:rFonts w:ascii="Calibri" w:cs="Calibri" w:eastAsia="Calibri" w:hAnsi="Calibri"/>
          <w:color w:val="3A4450"/>
          <w:sz w:val="21"/>
          <w:szCs w:val="21"/>
        </w:rPr>
        <w:t xml:space="preserve">lower values indicate lower squared error between predicted probabilities and outcomes.</w:t>
      </w:r>
    </w:p>
    <w:p>
      <w:pPr>
        <w:pStyle w:val="ListParagraph"/>
        <w:numPr>
          <w:ilvl w:val="0"/>
          <w:numId w:val="2"/>
        </w:numPr>
        <w:spacing w:after="70" w:line="280"/>
      </w:pPr>
      <w:r>
        <w:rPr>
          <w:rFonts w:ascii="Calibri" w:cs="Calibri" w:eastAsia="Calibri" w:hAnsi="Calibri"/>
          <w:b/>
          <w:bCs/>
          <w:color w:val="0B2545"/>
          <w:sz w:val="21"/>
          <w:szCs w:val="21"/>
        </w:rPr>
        <w:t xml:space="preserve">ROC-AUC: </w:t>
      </w:r>
      <w:r>
        <w:rPr>
          <w:rFonts w:ascii="Calibri" w:cs="Calibri" w:eastAsia="Calibri" w:hAnsi="Calibri"/>
          <w:color w:val="3A4450"/>
          <w:sz w:val="21"/>
          <w:szCs w:val="21"/>
        </w:rPr>
        <w:t xml:space="preserve">higher values indicate stronger ability to rank goal shots above non-goal shots.</w:t>
      </w:r>
    </w:p>
    <w:p>
      <w:pPr>
        <w:pStyle w:val="Heading1"/>
        <w:keepNext/>
      </w:pPr>
      <w:r>
        <w:rPr>
          <w:rFonts w:ascii="Calibri" w:cs="Calibri" w:eastAsia="Calibri" w:hAnsi="Calibri"/>
        </w:rPr>
        <w:t xml:space="preserve">6. Calibration and Hyperparameter Tuning</w:t>
      </w:r>
    </w:p>
    <w:p>
      <w:pPr>
        <w:pStyle w:val="Heading2"/>
        <w:keepNext/>
      </w:pPr>
      <w:r>
        <w:rPr>
          <w:rFonts w:ascii="Calibri" w:cs="Calibri" w:eastAsia="Calibri" w:hAnsi="Calibri"/>
        </w:rPr>
        <w:t xml:space="preserve">Calibration results reported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600"/>
        <w:gridCol w:w="1700"/>
        <w:gridCol w:w="1800"/>
        <w:gridCol w:w="1900"/>
      </w:tblGrid>
      <w:tr>
        <w:trPr>
          <w:cantSplit/>
          <w:tblHeader/>
        </w:trPr>
        <w:tc>
          <w:tcPr>
            <w:tcW w:type="dxa" w:w="2638"/>
            <w:tcBorders>
              <w:top w:val="none" w:color="FFFFFF" w:sz="0"/>
              <w:left w:val="none" w:color="FFFFFF" w:sz="0"/>
              <w:bottom w:val="none" w:color="FFFFFF" w:sz="0"/>
              <w:right w:val="none" w:color="FFFFFF" w:sz="0"/>
            </w:tcBorders>
            <w:shd w:fill="0B2545" w:color="auto" w:val="clear"/>
            <w:tcMar>
              <w:top w:type="dxa" w:w="110"/>
              <w:left w:type="dxa" w:w="140"/>
              <w:bottom w:type="dxa" w:w="110"/>
              <w:right w:type="dxa" w:w="140"/>
            </w:tcMar>
            <w:vAlign w:val="center"/>
          </w:tcPr>
          <w:p>
            <w:pPr>
              <w:keepNext/>
              <w:jc w:val="left"/>
            </w:pPr>
            <w:r>
              <w:rPr>
                <w:rFonts w:ascii="Calibri" w:cs="Calibri" w:eastAsia="Calibri" w:hAnsi="Calibri"/>
                <w:b/>
                <w:bCs/>
                <w:color w:val="FFFFFF"/>
                <w:sz w:val="19"/>
                <w:szCs w:val="19"/>
              </w:rPr>
              <w:t xml:space="preserve">Variant</w:t>
            </w:r>
          </w:p>
        </w:tc>
        <w:tc>
          <w:tcPr>
            <w:tcW w:type="dxa" w:w="1600"/>
            <w:tcBorders>
              <w:top w:val="none" w:color="FFFFFF" w:sz="0"/>
              <w:left w:val="none" w:color="FFFFFF" w:sz="0"/>
              <w:bottom w:val="none" w:color="FFFFFF" w:sz="0"/>
              <w:right w:val="none" w:color="FFFFFF" w:sz="0"/>
            </w:tcBorders>
            <w:shd w:fill="0B2545" w:color="auto" w:val="clear"/>
            <w:tcMar>
              <w:top w:type="dxa" w:w="110"/>
              <w:left w:type="dxa" w:w="140"/>
              <w:bottom w:type="dxa" w:w="110"/>
              <w:right w:type="dxa" w:w="140"/>
            </w:tcMar>
            <w:vAlign w:val="center"/>
          </w:tcPr>
          <w:p>
            <w:pPr>
              <w:keepNext/>
              <w:jc w:val="center"/>
            </w:pPr>
            <w:r>
              <w:rPr>
                <w:rFonts w:ascii="Calibri" w:cs="Calibri" w:eastAsia="Calibri" w:hAnsi="Calibri"/>
                <w:b/>
                <w:bCs/>
                <w:color w:val="FFFFFF"/>
                <w:sz w:val="19"/>
                <w:szCs w:val="19"/>
              </w:rPr>
              <w:t xml:space="preserve">Log Loss</w:t>
            </w:r>
          </w:p>
        </w:tc>
        <w:tc>
          <w:tcPr>
            <w:tcW w:type="dxa" w:w="1700"/>
            <w:tcBorders>
              <w:top w:val="none" w:color="FFFFFF" w:sz="0"/>
              <w:left w:val="none" w:color="FFFFFF" w:sz="0"/>
              <w:bottom w:val="none" w:color="FFFFFF" w:sz="0"/>
              <w:right w:val="none" w:color="FFFFFF" w:sz="0"/>
            </w:tcBorders>
            <w:shd w:fill="0B2545" w:color="auto" w:val="clear"/>
            <w:tcMar>
              <w:top w:type="dxa" w:w="110"/>
              <w:left w:type="dxa" w:w="140"/>
              <w:bottom w:type="dxa" w:w="110"/>
              <w:right w:type="dxa" w:w="140"/>
            </w:tcMar>
            <w:vAlign w:val="center"/>
          </w:tcPr>
          <w:p>
            <w:pPr>
              <w:keepNext/>
              <w:jc w:val="center"/>
            </w:pPr>
            <w:r>
              <w:rPr>
                <w:rFonts w:ascii="Calibri" w:cs="Calibri" w:eastAsia="Calibri" w:hAnsi="Calibri"/>
                <w:b/>
                <w:bCs/>
                <w:color w:val="FFFFFF"/>
                <w:sz w:val="19"/>
                <w:szCs w:val="19"/>
              </w:rPr>
              <w:t xml:space="preserve">Brier Score</w:t>
            </w:r>
          </w:p>
        </w:tc>
        <w:tc>
          <w:tcPr>
            <w:tcW w:type="dxa" w:w="1800"/>
            <w:tcBorders>
              <w:top w:val="none" w:color="FFFFFF" w:sz="0"/>
              <w:left w:val="none" w:color="FFFFFF" w:sz="0"/>
              <w:bottom w:val="none" w:color="FFFFFF" w:sz="0"/>
              <w:right w:val="none" w:color="FFFFFF" w:sz="0"/>
            </w:tcBorders>
            <w:shd w:fill="0B2545" w:color="auto" w:val="clear"/>
            <w:tcMar>
              <w:top w:type="dxa" w:w="110"/>
              <w:left w:type="dxa" w:w="140"/>
              <w:bottom w:type="dxa" w:w="110"/>
              <w:right w:type="dxa" w:w="140"/>
            </w:tcMar>
            <w:vAlign w:val="center"/>
          </w:tcPr>
          <w:p>
            <w:pPr>
              <w:keepNext/>
              <w:jc w:val="center"/>
            </w:pPr>
            <w:r>
              <w:rPr>
                <w:rFonts w:ascii="Calibri" w:cs="Calibri" w:eastAsia="Calibri" w:hAnsi="Calibri"/>
                <w:b/>
                <w:bCs/>
                <w:color w:val="FFFFFF"/>
                <w:sz w:val="19"/>
                <w:szCs w:val="19"/>
              </w:rPr>
              <w:t xml:space="preserve">ROC-AUC</w:t>
            </w:r>
          </w:p>
        </w:tc>
        <w:tc>
          <w:tcPr>
            <w:tcW w:type="dxa" w:w="1900"/>
            <w:tcBorders>
              <w:top w:val="none" w:color="FFFFFF" w:sz="0"/>
              <w:left w:val="none" w:color="FFFFFF" w:sz="0"/>
              <w:bottom w:val="none" w:color="FFFFFF" w:sz="0"/>
              <w:right w:val="none" w:color="FFFFFF" w:sz="0"/>
            </w:tcBorders>
            <w:shd w:fill="0B2545" w:color="auto" w:val="clear"/>
            <w:tcMar>
              <w:top w:type="dxa" w:w="110"/>
              <w:left w:type="dxa" w:w="140"/>
              <w:bottom w:type="dxa" w:w="110"/>
              <w:right w:type="dxa" w:w="140"/>
            </w:tcMar>
            <w:vAlign w:val="center"/>
          </w:tcPr>
          <w:p>
            <w:pPr>
              <w:keepNext/>
              <w:jc w:val="center"/>
            </w:pPr>
            <w:r>
              <w:rPr>
                <w:rFonts w:ascii="Calibri" w:cs="Calibri" w:eastAsia="Calibri" w:hAnsi="Calibri"/>
                <w:b/>
                <w:bCs/>
                <w:color w:val="FFFFFF"/>
                <w:sz w:val="19"/>
                <w:szCs w:val="19"/>
              </w:rPr>
              <w:t xml:space="preserve">Summed xG</w:t>
            </w:r>
          </w:p>
        </w:tc>
      </w:tr>
      <w:tr>
        <w:trPr>
          <w:cantSplit/>
        </w:trPr>
        <w:tc>
          <w:tcPr>
            <w:tcW w:type="dxa" w:w="2638"/>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left"/>
            </w:pPr>
            <w:r>
              <w:rPr>
                <w:rFonts w:ascii="Calibri" w:cs="Calibri" w:eastAsia="Calibri" w:hAnsi="Calibri"/>
                <w:b/>
                <w:bCs/>
                <w:color w:val="0B2545"/>
                <w:sz w:val="20"/>
                <w:szCs w:val="20"/>
              </w:rPr>
              <w:t xml:space="preserve">Raw XGBoost</w:t>
            </w:r>
          </w:p>
        </w:tc>
        <w:tc>
          <w:tcPr>
            <w:tcW w:type="dxa" w:w="1600"/>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0.2859</w:t>
            </w:r>
          </w:p>
        </w:tc>
        <w:tc>
          <w:tcPr>
            <w:tcW w:type="dxa" w:w="1700"/>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0.0823</w:t>
            </w:r>
          </w:p>
        </w:tc>
        <w:tc>
          <w:tcPr>
            <w:tcW w:type="dxa" w:w="1800"/>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0.7831</w:t>
            </w:r>
          </w:p>
        </w:tc>
        <w:tc>
          <w:tcPr>
            <w:tcW w:type="dxa" w:w="1900"/>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≈130</w:t>
            </w:r>
          </w:p>
        </w:tc>
      </w:tr>
      <w:tr>
        <w:trPr>
          <w:cantSplit/>
        </w:trPr>
        <w:tc>
          <w:tcPr>
            <w:tcW w:type="dxa" w:w="2638"/>
            <w:tcBorders>
              <w:top w:val="single" w:color="D9DEE5" w:sz="4"/>
              <w:left w:val="none" w:color="FFFFFF" w:sz="0"/>
              <w:bottom w:val="single" w:color="D9DEE5" w:sz="4"/>
              <w:right w:val="none" w:color="FFFFFF" w:sz="0"/>
            </w:tcBorders>
            <w:shd w:fill="F2F4F7" w:color="auto" w:val="clear"/>
            <w:tcMar>
              <w:top w:type="dxa" w:w="100"/>
              <w:left w:type="dxa" w:w="140"/>
              <w:bottom w:type="dxa" w:w="100"/>
              <w:right w:type="dxa" w:w="140"/>
            </w:tcMar>
            <w:vAlign w:val="center"/>
          </w:tcPr>
          <w:p>
            <w:pPr>
              <w:keepNext/>
              <w:jc w:val="left"/>
            </w:pPr>
            <w:r>
              <w:rPr>
                <w:rFonts w:ascii="Calibri" w:cs="Calibri" w:eastAsia="Calibri" w:hAnsi="Calibri"/>
                <w:b/>
                <w:bCs/>
                <w:color w:val="0B2545"/>
                <w:sz w:val="20"/>
                <w:szCs w:val="20"/>
              </w:rPr>
              <w:t xml:space="preserve">Sigmoid calibrated</w:t>
            </w:r>
          </w:p>
        </w:tc>
        <w:tc>
          <w:tcPr>
            <w:tcW w:type="dxa" w:w="1600"/>
            <w:tcBorders>
              <w:top w:val="single" w:color="D9DEE5" w:sz="4"/>
              <w:left w:val="none" w:color="FFFFFF" w:sz="0"/>
              <w:bottom w:val="single" w:color="D9DEE5" w:sz="4"/>
              <w:right w:val="none" w:color="FFFFFF" w:sz="0"/>
            </w:tcBorders>
            <w:shd w:fill="F2F4F7"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0.2927</w:t>
            </w:r>
          </w:p>
        </w:tc>
        <w:tc>
          <w:tcPr>
            <w:tcW w:type="dxa" w:w="1700"/>
            <w:tcBorders>
              <w:top w:val="single" w:color="D9DEE5" w:sz="4"/>
              <w:left w:val="none" w:color="FFFFFF" w:sz="0"/>
              <w:bottom w:val="single" w:color="D9DEE5" w:sz="4"/>
              <w:right w:val="none" w:color="FFFFFF" w:sz="0"/>
            </w:tcBorders>
            <w:shd w:fill="F2F4F7"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0.0835</w:t>
            </w:r>
          </w:p>
        </w:tc>
        <w:tc>
          <w:tcPr>
            <w:tcW w:type="dxa" w:w="1800"/>
            <w:tcBorders>
              <w:top w:val="single" w:color="D9DEE5" w:sz="4"/>
              <w:left w:val="none" w:color="FFFFFF" w:sz="0"/>
              <w:bottom w:val="single" w:color="D9DEE5" w:sz="4"/>
              <w:right w:val="none" w:color="FFFFFF" w:sz="0"/>
            </w:tcBorders>
            <w:shd w:fill="F2F4F7"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0.7846</w:t>
            </w:r>
          </w:p>
        </w:tc>
        <w:tc>
          <w:tcPr>
            <w:tcW w:type="dxa" w:w="1900"/>
            <w:tcBorders>
              <w:top w:val="single" w:color="D9DEE5" w:sz="4"/>
              <w:left w:val="none" w:color="FFFFFF" w:sz="0"/>
              <w:bottom w:val="single" w:color="D9DEE5" w:sz="4"/>
              <w:right w:val="none" w:color="FFFFFF" w:sz="0"/>
            </w:tcBorders>
            <w:shd w:fill="F2F4F7"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≈130</w:t>
            </w:r>
          </w:p>
        </w:tc>
      </w:tr>
      <w:tr>
        <w:trPr>
          <w:cantSplit/>
        </w:trPr>
        <w:tc>
          <w:tcPr>
            <w:tcW w:type="dxa" w:w="2638"/>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left"/>
            </w:pPr>
            <w:r>
              <w:rPr>
                <w:rFonts w:ascii="Calibri" w:cs="Calibri" w:eastAsia="Calibri" w:hAnsi="Calibri"/>
                <w:b/>
                <w:bCs/>
                <w:color w:val="0B2545"/>
                <w:sz w:val="20"/>
                <w:szCs w:val="20"/>
              </w:rPr>
              <w:t xml:space="preserve">Isotonic calibrated</w:t>
            </w:r>
          </w:p>
        </w:tc>
        <w:tc>
          <w:tcPr>
            <w:tcW w:type="dxa" w:w="1600"/>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0.3073</w:t>
            </w:r>
          </w:p>
        </w:tc>
        <w:tc>
          <w:tcPr>
            <w:tcW w:type="dxa" w:w="1700"/>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0.0824</w:t>
            </w:r>
          </w:p>
        </w:tc>
        <w:tc>
          <w:tcPr>
            <w:tcW w:type="dxa" w:w="1800"/>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0.7829</w:t>
            </w:r>
          </w:p>
        </w:tc>
        <w:tc>
          <w:tcPr>
            <w:tcW w:type="dxa" w:w="1900"/>
            <w:tcBorders>
              <w:top w:val="single" w:color="D9DEE5" w:sz="4"/>
              <w:left w:val="none" w:color="FFFFFF" w:sz="0"/>
              <w:bottom w:val="single" w:color="D9DEE5" w:sz="4"/>
              <w:right w:val="none" w:color="FFFFFF" w:sz="0"/>
            </w:tcBorders>
            <w:shd w:fill="FFFFFF" w:color="auto" w:val="clear"/>
            <w:tcMar>
              <w:top w:type="dxa" w:w="100"/>
              <w:left w:type="dxa" w:w="140"/>
              <w:bottom w:type="dxa" w:w="100"/>
              <w:right w:type="dxa" w:w="140"/>
            </w:tcMar>
            <w:vAlign w:val="center"/>
          </w:tcPr>
          <w:p>
            <w:pPr>
              <w:keepNext/>
              <w:jc w:val="center"/>
            </w:pPr>
            <w:r>
              <w:rPr>
                <w:rFonts w:ascii="Calibri" w:cs="Calibri" w:eastAsia="Calibri" w:hAnsi="Calibri"/>
                <w:b w:val="false"/>
                <w:bCs w:val="false"/>
                <w:color w:val="3A4450"/>
                <w:sz w:val="20"/>
                <w:szCs w:val="20"/>
              </w:rPr>
              <w:t xml:space="preserve">≈133</w:t>
            </w:r>
          </w:p>
        </w:tc>
      </w:tr>
      <w:tr>
        <w:trPr>
          <w:cantSplit/>
        </w:trPr>
        <w:tc>
          <w:tcPr>
            <w:tcW w:type="dxa" w:w="2638"/>
            <w:tcBorders>
              <w:top w:val="single" w:color="D9DEE5" w:sz="4"/>
              <w:left w:val="none" w:color="FFFFFF" w:sz="0"/>
              <w:bottom w:val="single" w:color="D9DEE5" w:sz="4"/>
              <w:right w:val="none" w:color="FFFFFF" w:sz="0"/>
            </w:tcBorders>
            <w:shd w:fill="F2F4F7" w:color="auto" w:val="clear"/>
            <w:tcMar>
              <w:top w:type="dxa" w:w="100"/>
              <w:left w:type="dxa" w:w="140"/>
              <w:bottom w:type="dxa" w:w="100"/>
              <w:right w:type="dxa" w:w="140"/>
            </w:tcMar>
            <w:vAlign w:val="center"/>
          </w:tcPr>
          <w:p>
            <w:pPr>
              <w:keepNext w:val="false"/>
              <w:jc w:val="left"/>
            </w:pPr>
            <w:r>
              <w:rPr>
                <w:rFonts w:ascii="Calibri" w:cs="Calibri" w:eastAsia="Calibri" w:hAnsi="Calibri"/>
                <w:b/>
                <w:bCs/>
                <w:color w:val="0B2545"/>
                <w:sz w:val="20"/>
                <w:szCs w:val="20"/>
              </w:rPr>
              <w:t xml:space="preserve">StatsBomb xG</w:t>
            </w:r>
          </w:p>
        </w:tc>
        <w:tc>
          <w:tcPr>
            <w:tcW w:type="dxa" w:w="1600"/>
            <w:tcBorders>
              <w:top w:val="single" w:color="D9DEE5" w:sz="4"/>
              <w:left w:val="none" w:color="FFFFFF" w:sz="0"/>
              <w:bottom w:val="single" w:color="D9DEE5" w:sz="4"/>
              <w:right w:val="none" w:color="FFFFFF" w:sz="0"/>
            </w:tcBorders>
            <w:shd w:fill="E6F4EC" w:color="auto" w:val="clear"/>
            <w:tcMar>
              <w:top w:type="dxa" w:w="100"/>
              <w:left w:type="dxa" w:w="140"/>
              <w:bottom w:type="dxa" w:w="100"/>
              <w:right w:type="dxa" w:w="140"/>
            </w:tcMar>
            <w:vAlign w:val="center"/>
          </w:tcPr>
          <w:p>
            <w:pPr>
              <w:keepNext w:val="false"/>
              <w:jc w:val="center"/>
            </w:pPr>
            <w:r>
              <w:rPr>
                <w:rFonts w:ascii="Calibri" w:cs="Calibri" w:eastAsia="Calibri" w:hAnsi="Calibri"/>
                <w:b/>
                <w:bCs/>
                <w:color w:val="1B7F4B"/>
                <w:sz w:val="20"/>
                <w:szCs w:val="20"/>
              </w:rPr>
              <w:t xml:space="preserve">0.2665</w:t>
            </w:r>
          </w:p>
        </w:tc>
        <w:tc>
          <w:tcPr>
            <w:tcW w:type="dxa" w:w="1700"/>
            <w:tcBorders>
              <w:top w:val="single" w:color="D9DEE5" w:sz="4"/>
              <w:left w:val="none" w:color="FFFFFF" w:sz="0"/>
              <w:bottom w:val="single" w:color="D9DEE5" w:sz="4"/>
              <w:right w:val="none" w:color="FFFFFF" w:sz="0"/>
            </w:tcBorders>
            <w:shd w:fill="E6F4EC" w:color="auto" w:val="clear"/>
            <w:tcMar>
              <w:top w:type="dxa" w:w="100"/>
              <w:left w:type="dxa" w:w="140"/>
              <w:bottom w:type="dxa" w:w="100"/>
              <w:right w:type="dxa" w:w="140"/>
            </w:tcMar>
            <w:vAlign w:val="center"/>
          </w:tcPr>
          <w:p>
            <w:pPr>
              <w:keepNext w:val="false"/>
              <w:jc w:val="center"/>
            </w:pPr>
            <w:r>
              <w:rPr>
                <w:rFonts w:ascii="Calibri" w:cs="Calibri" w:eastAsia="Calibri" w:hAnsi="Calibri"/>
                <w:b/>
                <w:bCs/>
                <w:color w:val="1B7F4B"/>
                <w:sz w:val="20"/>
                <w:szCs w:val="20"/>
              </w:rPr>
              <w:t xml:space="preserve">0.0762</w:t>
            </w:r>
          </w:p>
        </w:tc>
        <w:tc>
          <w:tcPr>
            <w:tcW w:type="dxa" w:w="1800"/>
            <w:tcBorders>
              <w:top w:val="single" w:color="D9DEE5" w:sz="4"/>
              <w:left w:val="none" w:color="FFFFFF" w:sz="0"/>
              <w:bottom w:val="single" w:color="D9DEE5" w:sz="4"/>
              <w:right w:val="none" w:color="FFFFFF" w:sz="0"/>
            </w:tcBorders>
            <w:shd w:fill="E6F4EC" w:color="auto" w:val="clear"/>
            <w:tcMar>
              <w:top w:type="dxa" w:w="100"/>
              <w:left w:type="dxa" w:w="140"/>
              <w:bottom w:type="dxa" w:w="100"/>
              <w:right w:type="dxa" w:w="140"/>
            </w:tcMar>
            <w:vAlign w:val="center"/>
          </w:tcPr>
          <w:p>
            <w:pPr>
              <w:keepNext w:val="false"/>
              <w:jc w:val="center"/>
            </w:pPr>
            <w:r>
              <w:rPr>
                <w:rFonts w:ascii="Calibri" w:cs="Calibri" w:eastAsia="Calibri" w:hAnsi="Calibri"/>
                <w:b/>
                <w:bCs/>
                <w:color w:val="1B7F4B"/>
                <w:sz w:val="20"/>
                <w:szCs w:val="20"/>
              </w:rPr>
              <w:t xml:space="preserve">0.8148</w:t>
            </w:r>
          </w:p>
        </w:tc>
        <w:tc>
          <w:tcPr>
            <w:tcW w:type="dxa" w:w="1900"/>
            <w:tcBorders>
              <w:top w:val="single" w:color="D9DEE5" w:sz="4"/>
              <w:left w:val="none" w:color="FFFFFF" w:sz="0"/>
              <w:bottom w:val="single" w:color="D9DEE5" w:sz="4"/>
              <w:right w:val="none" w:color="FFFFFF" w:sz="0"/>
            </w:tcBorders>
            <w:shd w:fill="F2F4F7" w:color="auto" w:val="clear"/>
            <w:tcMar>
              <w:top w:type="dxa" w:w="100"/>
              <w:left w:type="dxa" w:w="140"/>
              <w:bottom w:type="dxa" w:w="100"/>
              <w:right w:type="dxa" w:w="140"/>
            </w:tcMar>
            <w:vAlign w:val="center"/>
          </w:tcPr>
          <w:p>
            <w:pPr>
              <w:keepNext w:val="false"/>
              <w:jc w:val="center"/>
            </w:pPr>
            <w:r>
              <w:rPr>
                <w:rFonts w:ascii="Calibri" w:cs="Calibri" w:eastAsia="Calibri" w:hAnsi="Calibri"/>
                <w:b w:val="false"/>
                <w:bCs w:val="false"/>
                <w:color w:val="3A4450"/>
                <w:sz w:val="20"/>
                <w:szCs w:val="20"/>
              </w:rPr>
              <w:t xml:space="preserve">137.88</w:t>
            </w:r>
          </w:p>
        </w:tc>
      </w:tr>
    </w:tbl>
    <w:p>
      <w:pPr>
        <w:spacing w:after="100" w:before="0"/>
      </w:pPr>
    </w:p>
    <w:p>
      <w:pPr>
        <w:spacing w:after="120" w:line="288"/>
      </w:pPr>
      <w:r>
        <w:rPr>
          <w:rFonts w:ascii="Calibri" w:cs="Calibri" w:eastAsia="Calibri" w:hAnsi="Calibri"/>
          <w:color w:val="3A4450"/>
          <w:sz w:val="21"/>
          <w:szCs w:val="21"/>
        </w:rPr>
        <w:t xml:space="preserve">Among the reported XGBoost variants, raw XGBoost has the best Log Loss and Brier Score. Sigmoid calibration has slightly higher ROC-AUC but worse Log Loss and Brier Score. StatsBomb scores best on all three reported metrics.</w:t>
      </w:r>
    </w:p>
    <w:p>
      <w:pPr>
        <w:pStyle w:val="Heading2"/>
        <w:keepNext/>
      </w:pPr>
      <w:r>
        <w:rPr>
          <w:rFonts w:ascii="Calibri" w:cs="Calibri" w:eastAsia="Calibri" w:hAnsi="Calibri"/>
        </w:rPr>
        <w:t xml:space="preserve">Hyperparameter tuning caveat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36"/>
              <w:bottom w:val="none" w:color="FFFFFF" w:sz="0"/>
              <w:right w:val="none" w:color="FFFFFF" w:sz="0"/>
            </w:tcBorders>
            <w:shd w:fill="FFF6E0" w:color="auto" w:val="clear"/>
            <w:tcMar>
              <w:top w:type="dxa" w:w="120"/>
              <w:left w:type="dxa" w:w="220"/>
              <w:bottom w:type="dxa" w:w="120"/>
              <w:right w:type="dxa" w:w="200"/>
            </w:tcMar>
          </w:tcPr>
          <w:p>
            <w:pPr>
              <w:spacing w:after="60"/>
            </w:pPr>
            <w:r>
              <w:rPr>
                <w:rFonts w:ascii="Calibri" w:cs="Calibri" w:eastAsia="Calibri" w:hAnsi="Calibri"/>
                <w:b/>
                <w:bCs/>
                <w:color w:val="B7791F"/>
                <w:spacing w:val="30"/>
                <w:sz w:val="17"/>
                <w:szCs w:val="17"/>
              </w:rPr>
              <w:t xml:space="preserve">CHECK BEFORE PRESENTING</w:t>
            </w:r>
          </w:p>
          <w:p>
            <w:pPr>
              <w:spacing w:after="0" w:line="280"/>
            </w:pPr>
            <w:r>
              <w:rPr>
                <w:rFonts w:ascii="Calibri" w:cs="Calibri" w:eastAsia="Calibri" w:hAnsi="Calibri"/>
                <w:color w:val="3A4450"/>
                <w:sz w:val="21"/>
                <w:szCs w:val="21"/>
              </w:rPr>
              <w:t xml:space="preserve">The notebook summary reports GroupKFold tuning by tournament. In the displayed grid results, </w:t>
            </w:r>
            <w:r>
              <w:rPr>
                <w:rFonts w:ascii="Consolas" w:cs="Consolas" w:eastAsia="Consolas" w:hAnsi="Consolas"/>
                <w:color w:val="0B2545"/>
                <w:sz w:val="19"/>
                <w:szCs w:val="19"/>
              </w:rPr>
              <w:t xml:space="preserve">max_depth=2</w:t>
            </w:r>
            <w:r>
              <w:rPr>
                <w:rFonts w:ascii="Calibri" w:cs="Calibri" w:eastAsia="Calibri" w:hAnsi="Calibri"/>
                <w:color w:val="3A4450"/>
                <w:sz w:val="21"/>
                <w:szCs w:val="21"/>
              </w:rPr>
              <w:t xml:space="preserve"> and </w:t>
            </w:r>
            <w:r>
              <w:rPr>
                <w:rFonts w:ascii="Consolas" w:cs="Consolas" w:eastAsia="Consolas" w:hAnsi="Consolas"/>
                <w:color w:val="0B2545"/>
                <w:sz w:val="19"/>
                <w:szCs w:val="19"/>
              </w:rPr>
              <w:t xml:space="preserve">learning_rate=0.02</w:t>
            </w:r>
            <w:r>
              <w:rPr>
                <w:rFonts w:ascii="Calibri" w:cs="Calibri" w:eastAsia="Calibri" w:hAnsi="Calibri"/>
                <w:color w:val="3A4450"/>
                <w:sz w:val="21"/>
                <w:szCs w:val="21"/>
              </w:rPr>
              <w:t xml:space="preserve"> has the lowest reported CV Log Loss (0.2542). However, the notebook prose reportedly gives a different best value, and the final model uses </w:t>
            </w:r>
            <w:r>
              <w:rPr>
                <w:rFonts w:ascii="Consolas" w:cs="Consolas" w:eastAsia="Consolas" w:hAnsi="Consolas"/>
                <w:color w:val="0B2545"/>
                <w:sz w:val="19"/>
                <w:szCs w:val="19"/>
              </w:rPr>
              <w:t xml:space="preserve">max_depth=3</w:t>
            </w:r>
            <w:r>
              <w:rPr>
                <w:rFonts w:ascii="Calibri" w:cs="Calibri" w:eastAsia="Calibri" w:hAnsi="Calibri"/>
                <w:color w:val="3A4450"/>
                <w:sz w:val="21"/>
                <w:szCs w:val="21"/>
              </w:rPr>
              <w:t xml:space="preserve"> with </w:t>
            </w:r>
            <w:r>
              <w:rPr>
                <w:rFonts w:ascii="Consolas" w:cs="Consolas" w:eastAsia="Consolas" w:hAnsi="Consolas"/>
                <w:color w:val="0B2545"/>
                <w:sz w:val="19"/>
                <w:szCs w:val="19"/>
              </w:rPr>
              <w:t xml:space="preserve">learning_rate=0.03</w:t>
            </w:r>
            <w:r>
              <w:rPr>
                <w:rFonts w:ascii="Calibri" w:cs="Calibri" w:eastAsia="Calibri" w:hAnsi="Calibri"/>
                <w:color w:val="3A4450"/>
                <w:sz w:val="21"/>
                <w:szCs w:val="21"/>
              </w:rPr>
              <w:t xml:space="preserve">. Recheck the notebook output and narrative before presenting the tuning result as definitive.</w:t>
            </w:r>
          </w:p>
        </w:tc>
      </w:tr>
    </w:tbl>
    <w:p>
      <w:pPr>
        <w:spacing w:after="120" w:before="0"/>
      </w:pPr>
    </w:p>
    <w:p>
      <w:pPr>
        <w:pStyle w:val="Heading1"/>
        <w:keepNext/>
      </w:pPr>
      <w:r>
        <w:rPr>
          <w:rFonts w:ascii="Calibri" w:cs="Calibri" w:eastAsia="Calibri" w:hAnsi="Calibri"/>
        </w:rPr>
        <w:t xml:space="preserve">7. Overall Findings</w:t>
      </w:r>
    </w:p>
    <w:p>
      <w:pPr>
        <w:pStyle w:val="ListParagraph"/>
        <w:numPr>
          <w:ilvl w:val="0"/>
          <w:numId w:val="2"/>
        </w:numPr>
        <w:spacing w:after="70" w:line="280"/>
      </w:pPr>
      <w:r>
        <w:rPr>
          <w:rFonts w:ascii="Calibri" w:cs="Calibri" w:eastAsia="Calibri" w:hAnsi="Calibri"/>
          <w:color w:val="3A4450"/>
          <w:sz w:val="21"/>
          <w:szCs w:val="21"/>
        </w:rPr>
        <w:t xml:space="preserve">Shot distance has a strong inverse relationship with observed goal rate and StatsBomb xG.</w:t>
      </w:r>
    </w:p>
    <w:p>
      <w:pPr>
        <w:pStyle w:val="ListParagraph"/>
        <w:numPr>
          <w:ilvl w:val="0"/>
          <w:numId w:val="2"/>
        </w:numPr>
        <w:spacing w:after="70" w:line="280"/>
      </w:pPr>
      <w:r>
        <w:rPr>
          <w:rFonts w:ascii="Calibri" w:cs="Calibri" w:eastAsia="Calibri" w:hAnsi="Calibri"/>
          <w:color w:val="3A4450"/>
          <w:sz w:val="21"/>
          <w:szCs w:val="21"/>
        </w:rPr>
        <w:t xml:space="preserve">Shots and goals are concentrated in and around the penalty area; distant attempts are less likely to score.</w:t>
      </w:r>
    </w:p>
    <w:p>
      <w:pPr>
        <w:pStyle w:val="ListParagraph"/>
        <w:numPr>
          <w:ilvl w:val="0"/>
          <w:numId w:val="2"/>
        </w:numPr>
        <w:spacing w:after="70" w:line="280"/>
      </w:pPr>
      <w:r>
        <w:rPr>
          <w:rFonts w:ascii="Calibri" w:cs="Calibri" w:eastAsia="Calibri" w:hAnsi="Calibri"/>
          <w:color w:val="3A4450"/>
          <w:sz w:val="21"/>
          <w:szCs w:val="21"/>
        </w:rPr>
        <w:t xml:space="preserve">The angle plot suggests that wider shooting angles can be associated with higher xG, but there is substantial variation at similar angles.</w:t>
      </w:r>
    </w:p>
    <w:p>
      <w:pPr>
        <w:pStyle w:val="ListParagraph"/>
        <w:numPr>
          <w:ilvl w:val="0"/>
          <w:numId w:val="2"/>
        </w:numPr>
        <w:spacing w:after="70" w:line="280"/>
      </w:pPr>
      <w:r>
        <w:rPr>
          <w:rFonts w:ascii="Calibri" w:cs="Calibri" w:eastAsia="Calibri" w:hAnsi="Calibri"/>
          <w:color w:val="3A4450"/>
          <w:sz w:val="21"/>
          <w:szCs w:val="21"/>
        </w:rPr>
        <w:t xml:space="preserve">Most predicted xG values are low, with a small number of high-probability chances.</w:t>
      </w:r>
    </w:p>
    <w:p>
      <w:pPr>
        <w:pStyle w:val="ListParagraph"/>
        <w:numPr>
          <w:ilvl w:val="0"/>
          <w:numId w:val="2"/>
        </w:numPr>
        <w:spacing w:after="70" w:line="280"/>
      </w:pPr>
      <w:r>
        <w:rPr>
          <w:rFonts w:ascii="Calibri" w:cs="Calibri" w:eastAsia="Calibri" w:hAnsi="Calibri"/>
          <w:color w:val="3A4450"/>
          <w:sz w:val="21"/>
          <w:szCs w:val="21"/>
        </w:rPr>
        <w:t xml:space="preserve">XGBoost slightly outperforms Logistic Regression on the reported Log Loss and ROC-AUC values.</w:t>
      </w:r>
    </w:p>
    <w:p>
      <w:pPr>
        <w:pStyle w:val="ListParagraph"/>
        <w:numPr>
          <w:ilvl w:val="0"/>
          <w:numId w:val="2"/>
        </w:numPr>
        <w:spacing w:after="70" w:line="280"/>
      </w:pPr>
      <w:r>
        <w:rPr>
          <w:rFonts w:ascii="Calibri" w:cs="Calibri" w:eastAsia="Calibri" w:hAnsi="Calibri"/>
          <w:color w:val="3A4450"/>
          <w:sz w:val="21"/>
          <w:szCs w:val="21"/>
        </w:rPr>
        <w:t xml:space="preserve">StatsBomb xG is the strongest of the three on the reported held-out test metrics.</w:t>
      </w:r>
    </w:p>
    <w:p>
      <w:pPr>
        <w:pStyle w:val="ListParagraph"/>
        <w:numPr>
          <w:ilvl w:val="0"/>
          <w:numId w:val="2"/>
        </w:numPr>
        <w:spacing w:after="70" w:line="280"/>
      </w:pPr>
      <w:r>
        <w:rPr>
          <w:rFonts w:ascii="Calibri" w:cs="Calibri" w:eastAsia="Calibri" w:hAnsi="Calibri"/>
          <w:color w:val="3A4450"/>
          <w:sz w:val="21"/>
          <w:szCs w:val="21"/>
        </w:rPr>
        <w:t xml:space="preserve">Summed xG need not equal actual goals for a tournament. A gap is normal for a probabilistic estimate and should be interpreted alongside shot-level metrics.</w:t>
      </w:r>
    </w:p>
    <w:p>
      <w:pPr>
        <w:pStyle w:val="Heading1"/>
        <w:keepNext/>
      </w:pPr>
      <w:r>
        <w:rPr>
          <w:rFonts w:ascii="Calibri" w:cs="Calibri" w:eastAsia="Calibri" w:hAnsi="Calibri"/>
        </w:rPr>
        <w:t xml:space="preserve">8. Limitations and Items to Verify</w:t>
      </w:r>
    </w:p>
    <w:p>
      <w:pPr>
        <w:pStyle w:val="ListParagraph"/>
        <w:numPr>
          <w:ilvl w:val="0"/>
          <w:numId w:val="2"/>
        </w:numPr>
        <w:spacing w:after="70" w:line="280"/>
      </w:pPr>
      <w:r>
        <w:rPr>
          <w:rFonts w:ascii="Calibri" w:cs="Calibri" w:eastAsia="Calibri" w:hAnsi="Calibri"/>
          <w:color w:val="3A4450"/>
          <w:sz w:val="21"/>
          <w:szCs w:val="21"/>
        </w:rPr>
        <w:t xml:space="preserve">The distance formula in the notebook was described as using StatsBomb coordinate units. The first screenshot labels distance in yards. Confirm that a coordinate conversion was applied before describing the buckets as yards.</w:t>
      </w:r>
    </w:p>
    <w:p>
      <w:pPr>
        <w:pStyle w:val="ListParagraph"/>
        <w:numPr>
          <w:ilvl w:val="0"/>
          <w:numId w:val="2"/>
        </w:numPr>
        <w:spacing w:after="70" w:line="280"/>
      </w:pPr>
      <w:r>
        <w:rPr>
          <w:rFonts w:ascii="Calibri" w:cs="Calibri" w:eastAsia="Calibri" w:hAnsi="Calibri"/>
          <w:color w:val="3A4450"/>
          <w:sz w:val="21"/>
          <w:szCs w:val="21"/>
        </w:rPr>
        <w:t xml:space="preserve">The tournament chart screenshot contains the label ‘Euro 2018’, while the notebook summary lists Euro 2020 and Euro 2024. Verify the label and underlying tournament data.</w:t>
      </w:r>
    </w:p>
    <w:p>
      <w:pPr>
        <w:pStyle w:val="ListParagraph"/>
        <w:numPr>
          <w:ilvl w:val="0"/>
          <w:numId w:val="2"/>
        </w:numPr>
        <w:spacing w:after="70" w:line="280"/>
      </w:pPr>
      <w:r>
        <w:rPr>
          <w:rFonts w:ascii="Calibri" w:cs="Calibri" w:eastAsia="Calibri" w:hAnsi="Calibri"/>
          <w:color w:val="3A4450"/>
          <w:sz w:val="21"/>
          <w:szCs w:val="21"/>
        </w:rPr>
        <w:t xml:space="preserve">The reported hyperparameter tuning table and accompanying prose are inconsistent; verify the best parameters and final model settings.</w:t>
      </w:r>
    </w:p>
    <w:p>
      <w:pPr>
        <w:pStyle w:val="ListParagraph"/>
        <w:numPr>
          <w:ilvl w:val="0"/>
          <w:numId w:val="2"/>
        </w:numPr>
        <w:spacing w:after="70" w:line="280"/>
      </w:pPr>
      <w:r>
        <w:rPr>
          <w:rFonts w:ascii="Calibri" w:cs="Calibri" w:eastAsia="Calibri" w:hAnsi="Calibri"/>
          <w:color w:val="3A4450"/>
          <w:sz w:val="21"/>
          <w:szCs w:val="21"/>
        </w:rPr>
        <w:t xml:space="preserve">The final XGBoost model does not use freeze-frame defender/goalkeeper features in the reported version.</w:t>
      </w:r>
    </w:p>
    <w:p>
      <w:pPr>
        <w:pStyle w:val="ListParagraph"/>
        <w:numPr>
          <w:ilvl w:val="0"/>
          <w:numId w:val="2"/>
        </w:numPr>
        <w:spacing w:after="70" w:line="280"/>
      </w:pPr>
      <w:r>
        <w:rPr>
          <w:rFonts w:ascii="Calibri" w:cs="Calibri" w:eastAsia="Calibri" w:hAnsi="Calibri"/>
          <w:color w:val="3A4450"/>
          <w:sz w:val="21"/>
          <w:szCs w:val="21"/>
        </w:rPr>
        <w:t xml:space="preserve">Results are based on the tournaments and split used in this notebook and may not generalise directly to club or league football.</w:t>
      </w:r>
    </w:p>
    <w:p>
      <w:pPr>
        <w:pStyle w:val="Heading1"/>
        <w:keepNext/>
      </w:pPr>
      <w:r>
        <w:rPr>
          <w:rFonts w:ascii="Calibri" w:cs="Calibri" w:eastAsia="Calibri" w:hAnsi="Calibri"/>
        </w:rPr>
        <w:t xml:space="preserve">9. Future Improvements</w:t>
      </w:r>
    </w:p>
    <w:p>
      <w:pPr>
        <w:pStyle w:val="ListParagraph"/>
        <w:numPr>
          <w:ilvl w:val="0"/>
          <w:numId w:val="2"/>
        </w:numPr>
        <w:spacing w:after="70" w:line="280"/>
      </w:pPr>
      <w:r>
        <w:rPr>
          <w:rFonts w:ascii="Calibri" w:cs="Calibri" w:eastAsia="Calibri" w:hAnsi="Calibri"/>
          <w:color w:val="3A4450"/>
          <w:sz w:val="21"/>
          <w:szCs w:val="21"/>
        </w:rPr>
        <w:t xml:space="preserve">Use verified coordinate conversion and document units clearly.</w:t>
      </w:r>
    </w:p>
    <w:p>
      <w:pPr>
        <w:pStyle w:val="ListParagraph"/>
        <w:numPr>
          <w:ilvl w:val="0"/>
          <w:numId w:val="2"/>
        </w:numPr>
        <w:spacing w:after="70" w:line="280"/>
      </w:pPr>
      <w:r>
        <w:rPr>
          <w:rFonts w:ascii="Calibri" w:cs="Calibri" w:eastAsia="Calibri" w:hAnsi="Calibri"/>
          <w:color w:val="3A4450"/>
          <w:sz w:val="21"/>
          <w:szCs w:val="21"/>
        </w:rPr>
        <w:t xml:space="preserve">Add defensive pressure, goalkeeper position and nearby defender features when reliable freeze-frame data is available.</w:t>
      </w:r>
    </w:p>
    <w:p>
      <w:pPr>
        <w:pStyle w:val="ListParagraph"/>
        <w:numPr>
          <w:ilvl w:val="0"/>
          <w:numId w:val="2"/>
        </w:numPr>
        <w:spacing w:after="70" w:line="280"/>
      </w:pPr>
      <w:r>
        <w:rPr>
          <w:rFonts w:ascii="Calibri" w:cs="Calibri" w:eastAsia="Calibri" w:hAnsi="Calibri"/>
          <w:color w:val="3A4450"/>
          <w:sz w:val="21"/>
          <w:szCs w:val="21"/>
        </w:rPr>
        <w:t xml:space="preserve">Validate across more held-out tournaments or use tournament-grouped cross-validation.</w:t>
      </w:r>
    </w:p>
    <w:p>
      <w:pPr>
        <w:pStyle w:val="ListParagraph"/>
        <w:numPr>
          <w:ilvl w:val="0"/>
          <w:numId w:val="2"/>
        </w:numPr>
        <w:spacing w:after="70" w:line="280"/>
      </w:pPr>
      <w:r>
        <w:rPr>
          <w:rFonts w:ascii="Calibri" w:cs="Calibri" w:eastAsia="Calibri" w:hAnsi="Calibri"/>
          <w:color w:val="3A4450"/>
          <w:sz w:val="21"/>
          <w:szCs w:val="21"/>
        </w:rPr>
        <w:t xml:space="preserve">Reconcile hyperparameter tuning outputs with the final model configuration.</w:t>
      </w:r>
    </w:p>
    <w:p>
      <w:pPr>
        <w:pStyle w:val="ListParagraph"/>
        <w:numPr>
          <w:ilvl w:val="0"/>
          <w:numId w:val="2"/>
        </w:numPr>
        <w:spacing w:after="70" w:line="280"/>
      </w:pPr>
      <w:r>
        <w:rPr>
          <w:rFonts w:ascii="Calibri" w:cs="Calibri" w:eastAsia="Calibri" w:hAnsi="Calibri"/>
          <w:color w:val="3A4450"/>
          <w:sz w:val="21"/>
          <w:szCs w:val="21"/>
        </w:rPr>
        <w:t xml:space="preserve">Investigate feature importance and permutation importance on held-out data.</w:t>
      </w:r>
    </w:p>
    <w:p>
      <w:pPr>
        <w:pStyle w:val="ListParagraph"/>
        <w:numPr>
          <w:ilvl w:val="0"/>
          <w:numId w:val="2"/>
        </w:numPr>
        <w:spacing w:after="70" w:line="280"/>
      </w:pPr>
      <w:r>
        <w:rPr>
          <w:rFonts w:ascii="Calibri" w:cs="Calibri" w:eastAsia="Calibri" w:hAnsi="Calibri"/>
          <w:color w:val="3A4450"/>
          <w:sz w:val="21"/>
          <w:szCs w:val="21"/>
        </w:rPr>
        <w:t xml:space="preserve">Build an interactive shot map or dashboard for football analysts.</w:t>
      </w:r>
    </w:p>
    <w:p>
      <w:pPr>
        <w:pStyle w:val="Heading1"/>
        <w:keepNext/>
      </w:pPr>
      <w:r>
        <w:rPr>
          <w:rFonts w:ascii="Calibri" w:cs="Calibri" w:eastAsia="Calibri" w:hAnsi="Calibri"/>
        </w:rPr>
        <w:t xml:space="preserve">10. Conclusion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B2545" w:sz="36"/>
              <w:bottom w:val="none" w:color="FFFFFF" w:sz="0"/>
              <w:right w:val="none" w:color="FFFFFF" w:sz="0"/>
            </w:tcBorders>
            <w:shd w:fill="F2F4F7" w:color="auto" w:val="clear"/>
            <w:tcMar>
              <w:top w:type="dxa" w:w="120"/>
              <w:left w:type="dxa" w:w="220"/>
              <w:bottom w:type="dxa" w:w="120"/>
              <w:right w:type="dxa" w:w="200"/>
            </w:tcMar>
          </w:tcPr>
          <w:p>
            <w:pPr>
              <w:spacing w:after="60"/>
            </w:pPr>
            <w:r>
              <w:rPr>
                <w:rFonts w:ascii="Calibri" w:cs="Calibri" w:eastAsia="Calibri" w:hAnsi="Calibri"/>
                <w:b/>
                <w:bCs/>
                <w:color w:val="0B2545"/>
                <w:spacing w:val="30"/>
                <w:sz w:val="17"/>
                <w:szCs w:val="17"/>
              </w:rPr>
              <w:t xml:space="preserve">SUMMARY</w:t>
            </w:r>
          </w:p>
          <w:p>
            <w:pPr>
              <w:spacing w:after="0" w:line="280"/>
            </w:pPr>
            <w:r>
              <w:rPr>
                <w:rFonts w:ascii="Calibri" w:cs="Calibri" w:eastAsia="Calibri" w:hAnsi="Calibri"/>
                <w:color w:val="3A4450"/>
                <w:sz w:val="21"/>
                <w:szCs w:val="21"/>
              </w:rPr>
              <w:t xml:space="preserve">This project demonstrates a football analytics workflow that combines event data collection, preprocessing, feature engineering, visual exploration, probabilistic modelling and evaluation. The graphs show that shot distance and location are strongly related to scoring probability. The custom XGBoost model slightly improves on the Logistic Regression baseline, but StatsBomb’s benchmark xG estimates perform best on the reported held-out test metrics. The project can be strengthened by verifying units and tournament labels, resolving the tuning inconsistency, and incorporating richer contextual features.</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5" w:sz="4" w:space="6"/>
      </w:pBdr>
      <w:tabs>
        <w:tab w:val="right" w:pos="9638"/>
      </w:tabs>
    </w:pPr>
    <w:r>
      <w:rPr>
        <w:rFonts w:ascii="Calibri" w:cs="Calibri" w:eastAsia="Calibri" w:hAnsi="Calibri"/>
        <w:color w:val="8A94A3"/>
        <w:sz w:val="16"/>
        <w:szCs w:val="16"/>
      </w:rPr>
      <w:t xml:space="preserve">StatsBomb Open Data  ·  Sports analytics portfolio</w:t>
    </w:r>
    <w:r>
      <w:rPr>
        <w:rFonts w:ascii="Calibri" w:cs="Calibri" w:eastAsia="Calibri" w:hAnsi="Calibri"/>
        <w:color w:val="8A94A3"/>
        <w:sz w:val="16"/>
        <w:szCs w:val="16"/>
      </w:rPr>
      <w:t xml:space="preserve">	Page </w:t>
    </w:r>
    <w:r>
      <w:rPr>
        <w:rFonts w:ascii="Calibri" w:cs="Calibri" w:eastAsia="Calibri" w:hAnsi="Calibri"/>
        <w:b/>
        <w:bCs/>
        <w:color w:val="8A94A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5" w:sz="4" w:space="6"/>
      </w:pBdr>
      <w:tabs>
        <w:tab w:val="right" w:pos="9638"/>
      </w:tabs>
    </w:pPr>
    <w:r>
      <w:rPr>
        <w:rFonts w:ascii="Calibri" w:cs="Calibri" w:eastAsia="Calibri" w:hAnsi="Calibri"/>
        <w:color w:val="8A94A3"/>
        <w:sz w:val="16"/>
        <w:szCs w:val="16"/>
      </w:rPr>
      <w:t xml:space="preserve">StatsBomb Open Data  ·  Sports analytics portfolio</w:t>
    </w:r>
    <w:r>
      <w:rPr>
        <w:rFonts w:ascii="Calibri" w:cs="Calibri" w:eastAsia="Calibri" w:hAnsi="Calibri"/>
        <w:color w:val="8A94A3"/>
        <w:sz w:val="16"/>
        <w:szCs w:val="16"/>
      </w:rPr>
      <w:t xml:space="preserve">	Page </w:t>
    </w:r>
    <w:r>
      <w:rPr>
        <w:rFonts w:ascii="Calibri" w:cs="Calibri" w:eastAsia="Calibri" w:hAnsi="Calibri"/>
        <w:b/>
        <w:bCs/>
        <w:color w:val="8A94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8A94A3"/>
        <w:sz w:val="16"/>
        <w:szCs w:val="16"/>
      </w:rPr>
      <w:t xml:space="preserve">Football xG Prediction Model  ·  Insights &amp; Visualisations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b/>
        <w:bCs/>
        <w:color w:val="1B7F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4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left w:val="single" w:color="1B7F4B" w:sz="36" w:space="10"/>
      </w:pBdr>
      <w:spacing w:after="140" w:before="360"/>
      <w:outlineLvl w:val="0"/>
    </w:pPr>
    <w:rPr>
      <w:rFonts w:ascii="Calibri" w:cs="Calibri" w:eastAsia="Calibri" w:hAnsi="Calibri"/>
      <w:b/>
      <w:bCs/>
      <w:color w:val="0B2545"/>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B7F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e5ca0a37fea42539f11778a604fe3fa9018331d.png"/><Relationship Id="rId12" Type="http://schemas.openxmlformats.org/officeDocument/2006/relationships/image" Target="media/769118b8233fdf7d23cea0df7d10e3a536907fb2.png"/><Relationship Id="rId13" Type="http://schemas.openxmlformats.org/officeDocument/2006/relationships/image" Target="media/36b2bddcd9f7c0b755aaae1d09a13613fb713764.png"/><Relationship Id="rId14" Type="http://schemas.openxmlformats.org/officeDocument/2006/relationships/image" Target="media/610b877afc9baeeafe6c41bdb04c5caf788276a4.png"/><Relationship Id="rId15" Type="http://schemas.openxmlformats.org/officeDocument/2006/relationships/image" Target="media/35b53fbf7370562e39ed4ce1c25d046514e02204.png"/><Relationship Id="rId16" Type="http://schemas.openxmlformats.org/officeDocument/2006/relationships/image" Target="media/199826819fcbaf38370c5cdd0e38a65d34e940d2.png"/><Relationship Id="rId17" Type="http://schemas.openxmlformats.org/officeDocument/2006/relationships/image" Target="media/008ed0814bd90debddcf87a56c6e8914db337858.png"/><Relationship Id="rId18" Type="http://schemas.openxmlformats.org/officeDocument/2006/relationships/image" Target="media/db37cb128aea72afa9c46b649e8e0beb340540e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Football xG Prediction Model — Insights and Visualisations</dc:title>
  <dc:creator>Abhi</dc:creator>
  <cp:lastModifiedBy>Un-named</cp:lastModifiedBy>
  <cp:revision>1</cp:revision>
  <dcterms:created xsi:type="dcterms:W3CDTF">2026-10-17T07:24:51.589Z</dcterms:created>
  <dcterms:modified xsi:type="dcterms:W3CDTF">2026-10-17T07:24:51.589Z</dcterms:modified>
</cp:coreProperties>
</file>

<file path=docProps/custom.xml><?xml version="1.0" encoding="utf-8"?>
<Properties xmlns="http://schemas.openxmlformats.org/officeDocument/2006/custom-properties" xmlns:vt="http://schemas.openxmlformats.org/officeDocument/2006/docPropsVTypes"/>
</file>