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29.png" ContentType="image/png"/>
  <Override PartName="/word/media/rId30.png" ContentType="image/png"/>
  <Override PartName="/word/media/rId31.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Analysis</w:t>
      </w:r>
      <w:r>
        <w:t xml:space="preserve"> </w:t>
      </w:r>
      <w:r>
        <w:t xml:space="preserve">Report</w:t>
      </w:r>
    </w:p>
    <w:p>
      <w:r>
        <w:rPr>
          <w:b/>
        </w:rPr>
        <w:t xml:space="preserve">Product:</w:t>
      </w:r>
      <w:r>
        <w:t xml:space="preserve"> </w:t>
      </w:r>
      <w:r>
        <w:t xml:space="preserve">Actemra DS_tocilizumab G5.2 (SC)</w:t>
      </w:r>
    </w:p>
    <w:p>
      <w:r>
        <w:rPr>
          <w:b/>
        </w:rPr>
        <w:t xml:space="preserve">Site:</w:t>
      </w:r>
      <w:r>
        <w:t xml:space="preserve"> </w:t>
      </w:r>
      <w:r>
        <w:t xml:space="preserve">OCN</w:t>
      </w:r>
    </w:p>
    <w:p>
      <w:r>
        <w:rPr>
          <w:b/>
        </w:rPr>
        <w:t xml:space="preserve">Author:</w:t>
      </w:r>
      <w:r>
        <w:t xml:space="preserve"> </w:t>
      </w:r>
      <w:r>
        <w:t xml:space="preserve">Yiming Peng</w:t>
      </w:r>
    </w:p>
    <w:p>
      <w:r>
        <w:rPr>
          <w:b/>
        </w:rPr>
        <w:t xml:space="preserve">Email Address:</w:t>
      </w:r>
      <w:r>
        <w:t xml:space="preserve"> </w:t>
      </w:r>
      <w:hyperlink r:id="rId21">
        <w:r>
          <w:rPr>
            <w:rStyle w:val="Link"/>
          </w:rPr>
          <w:t xml:space="preserve">pengy12@gene.com</w:t>
        </w:r>
      </w:hyperlink>
    </w:p>
    <w:p>
      <w:r>
        <w:rPr>
          <w:b/>
        </w:rPr>
        <w:t xml:space="preserve">Date:</w:t>
      </w:r>
      <w:r>
        <w:t xml:space="preserve"> </w:t>
      </w:r>
      <w:r>
        <w:t xml:space="preserve">03 October, 2017</w:t>
      </w:r>
    </w:p>
    <w:p>
      <w:r>
        <w:rPr>
          <w:b/>
        </w:rPr>
        <w:t xml:space="preserve">Report ID:</w:t>
      </w:r>
      <w:r>
        <w:t xml:space="preserve"> </w:t>
      </w:r>
      <w:r>
        <w:t xml:space="preserve">000596</w:t>
      </w:r>
    </w:p>
    <w:p>
      <w:r>
        <w:rPr>
          <w:b/>
        </w:rPr>
        <w:t xml:space="preserve">Analysis Period:</w:t>
      </w:r>
      <w:r>
        <w:t xml:space="preserve"> </w:t>
      </w:r>
      <w:r>
        <w:t xml:space="preserve">01-Jan-2016 To 31-Dec-2016</w:t>
      </w:r>
    </w:p>
    <w:p>
      <w:r>
        <w:rPr>
          <w:b/>
        </w:rPr>
        <w:t xml:space="preserve">Analysis Date Type:</w:t>
      </w:r>
      <w:r>
        <w:t xml:space="preserve"> </w:t>
      </w:r>
      <w:r>
        <w:t xml:space="preserve">Sampling</w:t>
      </w:r>
    </w:p>
    <w:p>
      <w:pPr>
        <w:pStyle w:val="Heading5"/>
      </w:pPr>
      <w:bookmarkStart w:id="22" w:name="section"/>
      <w:bookmarkEnd w:id="22"/>
      <w:r>
        <w:t xml:space="preserve">.</w:t>
      </w:r>
    </w:p>
    <w:p>
      <w:pPr>
        <w:pStyle w:val="Heading2"/>
      </w:pPr>
      <w:bookmarkStart w:id="23" w:name="purpose"/>
      <w:bookmarkEnd w:id="23"/>
      <w:r>
        <w:t xml:space="preserve">1. PURPOSE</w:t>
      </w:r>
    </w:p>
    <w:p>
      <w:r>
        <w:t xml:space="preserve">This performance analysis report summarizes the statistical analysis and evaluation of historical batch results for selected critical quality attributes (CQAs) for Actemra DS_tocilizumab G5.2 (SC) at OCN.</w:t>
      </w:r>
    </w:p>
    <w:p>
      <w:r>
        <w:t xml:space="preserve">The objective of performance analysis is to identify and prioritize potential supply chain interruption risks resulting from production of non-conforming lots in its pharmaceutical manufacturing network. This approach focuses on the proactive identification of opportunities for improvements through statistical analysis and evaluation of products’ historical results for critical quality attributes (CQAs) relative to their corresponding release criteria.</w:t>
      </w:r>
    </w:p>
    <w:p>
      <w:pPr>
        <w:pStyle w:val="Heading2"/>
      </w:pPr>
      <w:bookmarkStart w:id="24" w:name="performance-analysis"/>
      <w:bookmarkEnd w:id="24"/>
      <w:r>
        <w:t xml:space="preserve">2. PERFORMANCE ANALYSIS</w:t>
      </w:r>
    </w:p>
    <w:p>
      <w:r>
        <w:t xml:space="preserve">The PPMP and the strategy document are the source of CQAs defined for PA for each product.</w:t>
      </w:r>
    </w:p>
    <w:p>
      <w:r>
        <w:rPr>
          <w:b/>
        </w:rPr>
        <w:t xml:space="preserve">Table 1. Selected CQA Release Specifications for Actemra DS_tocilizumab G5.2 (SC) at OCN</w:t>
      </w:r>
    </w:p>
    <w:tbl>
      <w:tblPr>
        <w:tblStyle w:val="TableNormal"/>
        <w:tblW w:type="pct" w:w="4513.88888888889"/>
      </w:tblPr>
      <w:tblGrid>
        <w:gridCol w:w="3080"/>
        <w:gridCol w:w="1870"/>
        <w:gridCol w:w="660"/>
        <w:gridCol w:w="660"/>
        <w:gridCol w:w="880"/>
      </w:tblGrid>
      <w:tr>
        <w:tc>
          <w:tcPr>
            <w:tcBorders>
              <w:bottom w:val="single"/>
            </w:tcBorders>
            <w:vAlign w:val="bottom"/>
          </w:tcPr>
          <w:p>
            <w:pPr>
              <w:pStyle w:val="Compact"/>
              <w:jc w:val="center"/>
            </w:pPr>
            <w:r>
              <w:t xml:space="preserve">Product</w:t>
            </w:r>
          </w:p>
        </w:tc>
        <w:tc>
          <w:tcPr>
            <w:tcBorders>
              <w:bottom w:val="single"/>
            </w:tcBorders>
            <w:vAlign w:val="bottom"/>
          </w:tcPr>
          <w:p>
            <w:pPr>
              <w:pStyle w:val="Compact"/>
              <w:jc w:val="center"/>
            </w:pPr>
            <w:r>
              <w:t xml:space="preserve">Attribute Name</w:t>
            </w:r>
          </w:p>
        </w:tc>
        <w:tc>
          <w:tcPr>
            <w:tcBorders>
              <w:bottom w:val="single"/>
            </w:tcBorders>
            <w:vAlign w:val="bottom"/>
          </w:tcPr>
          <w:p>
            <w:pPr>
              <w:pStyle w:val="Compact"/>
              <w:jc w:val="center"/>
            </w:pPr>
            <w:r>
              <w:t xml:space="preserve">LSL</w:t>
            </w:r>
          </w:p>
        </w:tc>
        <w:tc>
          <w:tcPr>
            <w:tcBorders>
              <w:bottom w:val="single"/>
            </w:tcBorders>
            <w:vAlign w:val="bottom"/>
          </w:tcPr>
          <w:p>
            <w:pPr>
              <w:pStyle w:val="Compact"/>
              <w:jc w:val="center"/>
            </w:pPr>
            <w:r>
              <w:t xml:space="preserve">USL</w:t>
            </w:r>
          </w:p>
        </w:tc>
        <w:tc>
          <w:tcPr>
            <w:tcBorders>
              <w:bottom w:val="single"/>
            </w:tcBorders>
            <w:vAlign w:val="bottom"/>
          </w:tcPr>
          <w:p>
            <w:pPr>
              <w:pStyle w:val="Compact"/>
              <w:jc w:val="center"/>
            </w:pPr>
            <w:r>
              <w:t xml:space="preserve">Unit</w:t>
            </w:r>
          </w:p>
        </w:tc>
      </w:tr>
      <w:tr>
        <w:tc>
          <w:p>
            <w:pPr>
              <w:pStyle w:val="Compact"/>
              <w:jc w:val="center"/>
            </w:pPr>
            <w:r>
              <w:t xml:space="preserve">Actemra DS_tocilizumab G5.2 (SC)</w:t>
            </w:r>
          </w:p>
        </w:tc>
        <w:tc>
          <w:p>
            <w:pPr>
              <w:pStyle w:val="Compact"/>
              <w:jc w:val="center"/>
            </w:pPr>
            <w:r>
              <w:t xml:space="preserve">CE-SDS_Main_Peak</w:t>
            </w:r>
          </w:p>
        </w:tc>
        <w:tc>
          <w:p>
            <w:pPr>
              <w:pStyle w:val="Compact"/>
              <w:jc w:val="center"/>
            </w:pPr>
            <w:r>
              <w:t xml:space="preserve">95</w:t>
            </w:r>
          </w:p>
        </w:tc>
        <w:tc>
          <w:p>
            <w:pPr>
              <w:pStyle w:val="Compact"/>
              <w:jc w:val="center"/>
            </w:pPr>
            <w:r>
              <w:t xml:space="preserve">NA</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CE-SDS_Other</w:t>
            </w:r>
          </w:p>
        </w:tc>
        <w:tc>
          <w:p>
            <w:pPr>
              <w:pStyle w:val="Compact"/>
              <w:jc w:val="center"/>
            </w:pPr>
            <w:r>
              <w:t xml:space="preserve">NA</w:t>
            </w:r>
          </w:p>
        </w:tc>
        <w:tc>
          <w:p>
            <w:pPr>
              <w:pStyle w:val="Compact"/>
              <w:jc w:val="center"/>
            </w:pPr>
            <w:r>
              <w:t xml:space="preserve">1</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IC_Arg</w:t>
            </w:r>
          </w:p>
        </w:tc>
        <w:tc>
          <w:p>
            <w:pPr>
              <w:pStyle w:val="Compact"/>
              <w:jc w:val="center"/>
            </w:pPr>
            <w:r>
              <w:t xml:space="preserve">75</w:t>
            </w:r>
          </w:p>
        </w:tc>
        <w:tc>
          <w:p>
            <w:pPr>
              <w:pStyle w:val="Compact"/>
              <w:jc w:val="center"/>
            </w:pPr>
            <w:r>
              <w:t xml:space="preserve">125</w:t>
            </w:r>
          </w:p>
        </w:tc>
        <w:tc>
          <w:p>
            <w:pPr>
              <w:pStyle w:val="Compact"/>
              <w:jc w:val="center"/>
            </w:pPr>
            <w:r>
              <w:t xml:space="preserve">MMOL_L</w:t>
            </w:r>
          </w:p>
        </w:tc>
      </w:tr>
      <w:tr>
        <w:tc>
          <w:p>
            <w:pPr>
              <w:pStyle w:val="Compact"/>
              <w:jc w:val="center"/>
            </w:pPr>
            <w:r>
              <w:t xml:space="preserve">Actemra DS_tocilizumab G5.2 (SC)</w:t>
            </w:r>
          </w:p>
        </w:tc>
        <w:tc>
          <w:p>
            <w:pPr>
              <w:pStyle w:val="Compact"/>
              <w:jc w:val="center"/>
            </w:pPr>
            <w:r>
              <w:t xml:space="preserve">IC_His</w:t>
            </w:r>
          </w:p>
        </w:tc>
        <w:tc>
          <w:p>
            <w:pPr>
              <w:pStyle w:val="Compact"/>
              <w:jc w:val="center"/>
            </w:pPr>
            <w:r>
              <w:t xml:space="preserve">15</w:t>
            </w:r>
          </w:p>
        </w:tc>
        <w:tc>
          <w:p>
            <w:pPr>
              <w:pStyle w:val="Compact"/>
              <w:jc w:val="center"/>
            </w:pPr>
            <w:r>
              <w:t xml:space="preserve">25</w:t>
            </w:r>
          </w:p>
        </w:tc>
        <w:tc>
          <w:p>
            <w:pPr>
              <w:pStyle w:val="Compact"/>
              <w:jc w:val="center"/>
            </w:pPr>
            <w:r>
              <w:t xml:space="preserve">MMOL_L</w:t>
            </w:r>
          </w:p>
        </w:tc>
      </w:tr>
      <w:tr>
        <w:tc>
          <w:p>
            <w:pPr>
              <w:pStyle w:val="Compact"/>
              <w:jc w:val="center"/>
            </w:pPr>
            <w:r>
              <w:t xml:space="preserve">Actemra DS_tocilizumab G5.2 (SC)</w:t>
            </w:r>
          </w:p>
        </w:tc>
        <w:tc>
          <w:p>
            <w:pPr>
              <w:pStyle w:val="Compact"/>
              <w:jc w:val="center"/>
            </w:pPr>
            <w:r>
              <w:t xml:space="preserve">IC_Met</w:t>
            </w:r>
          </w:p>
        </w:tc>
        <w:tc>
          <w:p>
            <w:pPr>
              <w:pStyle w:val="Compact"/>
              <w:jc w:val="center"/>
            </w:pPr>
            <w:r>
              <w:t xml:space="preserve">22</w:t>
            </w:r>
          </w:p>
        </w:tc>
        <w:tc>
          <w:p>
            <w:pPr>
              <w:pStyle w:val="Compact"/>
              <w:jc w:val="center"/>
            </w:pPr>
            <w:r>
              <w:t xml:space="preserve">38</w:t>
            </w:r>
          </w:p>
        </w:tc>
        <w:tc>
          <w:p>
            <w:pPr>
              <w:pStyle w:val="Compact"/>
              <w:jc w:val="center"/>
            </w:pPr>
            <w:r>
              <w:t xml:space="preserve">MMOL_L</w:t>
            </w:r>
          </w:p>
        </w:tc>
      </w:tr>
      <w:tr>
        <w:tc>
          <w:p>
            <w:pPr>
              <w:pStyle w:val="Compact"/>
              <w:jc w:val="center"/>
            </w:pPr>
            <w:r>
              <w:t xml:space="preserve">Actemra DS_tocilizumab G5.2 (SC)</w:t>
            </w:r>
          </w:p>
        </w:tc>
        <w:tc>
          <w:p>
            <w:pPr>
              <w:pStyle w:val="Compact"/>
              <w:jc w:val="center"/>
            </w:pPr>
            <w:r>
              <w:t xml:space="preserve">IEC_1Q-H_Peak</w:t>
            </w:r>
          </w:p>
        </w:tc>
        <w:tc>
          <w:p>
            <w:pPr>
              <w:pStyle w:val="Compact"/>
              <w:jc w:val="center"/>
            </w:pPr>
            <w:r>
              <w:t xml:space="preserve">NA</w:t>
            </w:r>
          </w:p>
        </w:tc>
        <w:tc>
          <w:p>
            <w:pPr>
              <w:pStyle w:val="Compact"/>
              <w:jc w:val="center"/>
            </w:pPr>
            <w:r>
              <w:t xml:space="preserve">15</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IEC_Main_Peak</w:t>
            </w:r>
          </w:p>
        </w:tc>
        <w:tc>
          <w:p>
            <w:pPr>
              <w:pStyle w:val="Compact"/>
              <w:jc w:val="center"/>
            </w:pPr>
            <w:r>
              <w:t xml:space="preserve">50</w:t>
            </w:r>
          </w:p>
        </w:tc>
        <w:tc>
          <w:p>
            <w:pPr>
              <w:pStyle w:val="Compact"/>
              <w:jc w:val="center"/>
            </w:pPr>
            <w:r>
              <w:t xml:space="preserve">NA</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IEC_Other</w:t>
            </w:r>
          </w:p>
        </w:tc>
        <w:tc>
          <w:p>
            <w:pPr>
              <w:pStyle w:val="Compact"/>
              <w:jc w:val="center"/>
            </w:pPr>
            <w:r>
              <w:t xml:space="preserve">NA</w:t>
            </w:r>
          </w:p>
        </w:tc>
        <w:tc>
          <w:p>
            <w:pPr>
              <w:pStyle w:val="Compact"/>
              <w:jc w:val="center"/>
            </w:pPr>
            <w:r>
              <w:t xml:space="preserve">3</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IEC_Pre-Peak</w:t>
            </w:r>
          </w:p>
        </w:tc>
        <w:tc>
          <w:p>
            <w:pPr>
              <w:pStyle w:val="Compact"/>
              <w:jc w:val="center"/>
            </w:pPr>
            <w:r>
              <w:t xml:space="preserve">NA</w:t>
            </w:r>
          </w:p>
        </w:tc>
        <w:tc>
          <w:p>
            <w:pPr>
              <w:pStyle w:val="Compact"/>
              <w:jc w:val="center"/>
            </w:pPr>
            <w:r>
              <w:t xml:space="preserve">25</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IEC_R-1_Peak</w:t>
            </w:r>
          </w:p>
        </w:tc>
        <w:tc>
          <w:p>
            <w:pPr>
              <w:pStyle w:val="Compact"/>
              <w:jc w:val="center"/>
            </w:pPr>
            <w:r>
              <w:t xml:space="preserve">NA</w:t>
            </w:r>
          </w:p>
        </w:tc>
        <w:tc>
          <w:p>
            <w:pPr>
              <w:pStyle w:val="Compact"/>
              <w:jc w:val="center"/>
            </w:pPr>
            <w:r>
              <w:t xml:space="preserve">3</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IEC_Sub-1_Peak</w:t>
            </w:r>
          </w:p>
        </w:tc>
        <w:tc>
          <w:p>
            <w:pPr>
              <w:pStyle w:val="Compact"/>
              <w:jc w:val="center"/>
            </w:pPr>
            <w:r>
              <w:t xml:space="preserve">NA</w:t>
            </w:r>
          </w:p>
        </w:tc>
        <w:tc>
          <w:p>
            <w:pPr>
              <w:pStyle w:val="Compact"/>
              <w:jc w:val="center"/>
            </w:pPr>
            <w:r>
              <w:t xml:space="preserve">20</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IEC_Sub-2_Peak</w:t>
            </w:r>
          </w:p>
        </w:tc>
        <w:tc>
          <w:p>
            <w:pPr>
              <w:pStyle w:val="Compact"/>
              <w:jc w:val="center"/>
            </w:pPr>
            <w:r>
              <w:t xml:space="preserve">NA</w:t>
            </w:r>
          </w:p>
        </w:tc>
        <w:tc>
          <w:p>
            <w:pPr>
              <w:pStyle w:val="Compact"/>
              <w:jc w:val="center"/>
            </w:pPr>
            <w:r>
              <w:t xml:space="preserve">10</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pH</w:t>
            </w:r>
          </w:p>
        </w:tc>
        <w:tc>
          <w:p>
            <w:pPr>
              <w:pStyle w:val="Compact"/>
              <w:jc w:val="center"/>
            </w:pPr>
            <w:r>
              <w:t xml:space="preserve">5.5</w:t>
            </w:r>
          </w:p>
        </w:tc>
        <w:tc>
          <w:p>
            <w:pPr>
              <w:pStyle w:val="Compact"/>
              <w:jc w:val="center"/>
            </w:pPr>
            <w:r>
              <w:t xml:space="preserve">6.5</w:t>
            </w:r>
          </w:p>
        </w:tc>
        <w:tc>
          <w:p>
            <w:pPr>
              <w:pStyle w:val="Compact"/>
              <w:jc w:val="center"/>
            </w:pPr>
            <w:r>
              <w:t xml:space="preserve">NONE</w:t>
            </w:r>
          </w:p>
        </w:tc>
      </w:tr>
      <w:tr>
        <w:tc>
          <w:p>
            <w:pPr>
              <w:pStyle w:val="Compact"/>
              <w:jc w:val="center"/>
            </w:pPr>
            <w:r>
              <w:t xml:space="preserve">Actemra DS_tocilizumab G5.2 (SC)</w:t>
            </w:r>
          </w:p>
        </w:tc>
        <w:tc>
          <w:p>
            <w:pPr>
              <w:pStyle w:val="Compact"/>
              <w:jc w:val="center"/>
            </w:pPr>
            <w:r>
              <w:t xml:space="preserve">Potency_Bioassay</w:t>
            </w:r>
          </w:p>
        </w:tc>
        <w:tc>
          <w:p>
            <w:pPr>
              <w:pStyle w:val="Compact"/>
              <w:jc w:val="center"/>
            </w:pPr>
            <w:r>
              <w:t xml:space="preserve">0.7</w:t>
            </w:r>
          </w:p>
        </w:tc>
        <w:tc>
          <w:p>
            <w:pPr>
              <w:pStyle w:val="Compact"/>
              <w:jc w:val="center"/>
            </w:pPr>
            <w:r>
              <w:t xml:space="preserve">1.3</w:t>
            </w:r>
          </w:p>
        </w:tc>
        <w:tc>
          <w:p>
            <w:pPr>
              <w:pStyle w:val="Compact"/>
              <w:jc w:val="center"/>
            </w:pPr>
            <w:r>
              <w:t xml:space="preserve">10E3U_MG</w:t>
            </w:r>
          </w:p>
        </w:tc>
      </w:tr>
      <w:tr>
        <w:tc>
          <w:p>
            <w:pPr>
              <w:pStyle w:val="Compact"/>
              <w:jc w:val="center"/>
            </w:pPr>
            <w:r>
              <w:t xml:space="preserve">Actemra DS_tocilizumab G5.2 (SC)</w:t>
            </w:r>
          </w:p>
        </w:tc>
        <w:tc>
          <w:p>
            <w:pPr>
              <w:pStyle w:val="Compact"/>
              <w:jc w:val="center"/>
            </w:pPr>
            <w:r>
              <w:t xml:space="preserve">Protein_Conc</w:t>
            </w:r>
          </w:p>
        </w:tc>
        <w:tc>
          <w:p>
            <w:pPr>
              <w:pStyle w:val="Compact"/>
              <w:jc w:val="center"/>
            </w:pPr>
            <w:r>
              <w:t xml:space="preserve">162</w:t>
            </w:r>
          </w:p>
        </w:tc>
        <w:tc>
          <w:p>
            <w:pPr>
              <w:pStyle w:val="Compact"/>
              <w:jc w:val="center"/>
            </w:pPr>
            <w:r>
              <w:t xml:space="preserve">198</w:t>
            </w:r>
          </w:p>
        </w:tc>
        <w:tc>
          <w:p>
            <w:pPr>
              <w:pStyle w:val="Compact"/>
              <w:jc w:val="center"/>
            </w:pPr>
            <w:r>
              <w:t xml:space="preserve">MG_ML</w:t>
            </w:r>
          </w:p>
        </w:tc>
      </w:tr>
      <w:tr>
        <w:tc>
          <w:p>
            <w:pPr>
              <w:pStyle w:val="Compact"/>
              <w:jc w:val="center"/>
            </w:pPr>
            <w:r>
              <w:t xml:space="preserve">Actemra DS_tocilizumab G5.2 (SC)</w:t>
            </w:r>
          </w:p>
        </w:tc>
        <w:tc>
          <w:p>
            <w:pPr>
              <w:pStyle w:val="Compact"/>
              <w:jc w:val="center"/>
            </w:pPr>
            <w:r>
              <w:t xml:space="preserve">PS_80</w:t>
            </w:r>
          </w:p>
        </w:tc>
        <w:tc>
          <w:p>
            <w:pPr>
              <w:pStyle w:val="Compact"/>
              <w:jc w:val="center"/>
            </w:pPr>
            <w:r>
              <w:t xml:space="preserve">0.1</w:t>
            </w:r>
          </w:p>
        </w:tc>
        <w:tc>
          <w:p>
            <w:pPr>
              <w:pStyle w:val="Compact"/>
              <w:jc w:val="center"/>
            </w:pPr>
            <w:r>
              <w:t xml:space="preserve">0.3</w:t>
            </w:r>
          </w:p>
        </w:tc>
        <w:tc>
          <w:p>
            <w:pPr>
              <w:pStyle w:val="Compact"/>
              <w:jc w:val="center"/>
            </w:pPr>
            <w:r>
              <w:t xml:space="preserve">MG_ML</w:t>
            </w:r>
          </w:p>
        </w:tc>
      </w:tr>
      <w:tr>
        <w:tc>
          <w:p>
            <w:pPr>
              <w:pStyle w:val="Compact"/>
              <w:jc w:val="center"/>
            </w:pPr>
            <w:r>
              <w:t xml:space="preserve">Actemra DS_tocilizumab G5.2 (SC)</w:t>
            </w:r>
          </w:p>
        </w:tc>
        <w:tc>
          <w:p>
            <w:pPr>
              <w:pStyle w:val="Compact"/>
              <w:jc w:val="center"/>
            </w:pPr>
            <w:r>
              <w:t xml:space="preserve">SEC_Dimer</w:t>
            </w:r>
          </w:p>
        </w:tc>
        <w:tc>
          <w:p>
            <w:pPr>
              <w:pStyle w:val="Compact"/>
              <w:jc w:val="center"/>
            </w:pPr>
            <w:r>
              <w:t xml:space="preserve">NA</w:t>
            </w:r>
          </w:p>
        </w:tc>
        <w:tc>
          <w:p>
            <w:pPr>
              <w:pStyle w:val="Compact"/>
              <w:jc w:val="center"/>
            </w:pPr>
            <w:r>
              <w:t xml:space="preserve">1.3</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SEC_Monomer</w:t>
            </w:r>
          </w:p>
        </w:tc>
        <w:tc>
          <w:p>
            <w:pPr>
              <w:pStyle w:val="Compact"/>
              <w:jc w:val="center"/>
            </w:pPr>
            <w:r>
              <w:t xml:space="preserve">98</w:t>
            </w:r>
          </w:p>
        </w:tc>
        <w:tc>
          <w:p>
            <w:pPr>
              <w:pStyle w:val="Compact"/>
              <w:jc w:val="center"/>
            </w:pPr>
            <w:r>
              <w:t xml:space="preserve">NA</w:t>
            </w:r>
          </w:p>
        </w:tc>
        <w:tc>
          <w:p>
            <w:pPr>
              <w:pStyle w:val="Compact"/>
              <w:jc w:val="center"/>
            </w:pPr>
            <w:r>
              <w:t xml:space="preserve">PERCENT</w:t>
            </w:r>
          </w:p>
        </w:tc>
      </w:tr>
      <w:tr>
        <w:tc>
          <w:p>
            <w:pPr>
              <w:pStyle w:val="Compact"/>
              <w:jc w:val="center"/>
            </w:pPr>
            <w:r>
              <w:t xml:space="preserve">Actemra DS_tocilizumab G5.2 (SC)</w:t>
            </w:r>
          </w:p>
        </w:tc>
        <w:tc>
          <w:p>
            <w:pPr>
              <w:pStyle w:val="Compact"/>
              <w:jc w:val="center"/>
            </w:pPr>
            <w:r>
              <w:t xml:space="preserve">SEC_Other</w:t>
            </w:r>
          </w:p>
        </w:tc>
        <w:tc>
          <w:p>
            <w:pPr>
              <w:pStyle w:val="Compact"/>
              <w:jc w:val="center"/>
            </w:pPr>
            <w:r>
              <w:t xml:space="preserve">NA</w:t>
            </w:r>
          </w:p>
        </w:tc>
        <w:tc>
          <w:p>
            <w:pPr>
              <w:pStyle w:val="Compact"/>
              <w:jc w:val="center"/>
            </w:pPr>
            <w:r>
              <w:t xml:space="preserve">0.5</w:t>
            </w:r>
          </w:p>
        </w:tc>
        <w:tc>
          <w:p>
            <w:pPr>
              <w:pStyle w:val="Compact"/>
              <w:jc w:val="center"/>
            </w:pPr>
            <w:r>
              <w:t xml:space="preserve">PERCENT</w:t>
            </w:r>
          </w:p>
        </w:tc>
      </w:tr>
    </w:tbl>
    <w:p>
      <w:r>
        <w:t xml:space="preserve">The production period selected for performance analysis are listed in Table below. These timeframes represent all available data at the time from [LIMS, data source].</w:t>
      </w:r>
    </w:p>
    <w:p>
      <w:r>
        <w:rPr>
          <w:b/>
        </w:rPr>
        <w:t xml:space="preserve">Table 2. Date Range in Performance Analysis</w:t>
      </w:r>
    </w:p>
    <w:tbl>
      <w:tblPr>
        <w:tblStyle w:val="TableNormal"/>
        <w:tblW w:type="pct" w:w="5000.0"/>
      </w:tblPr>
      <w:tblGrid>
        <w:gridCol w:w="2520"/>
        <w:gridCol w:w="1440"/>
        <w:gridCol w:w="2250"/>
        <w:gridCol w:w="1710"/>
      </w:tblGrid>
      <w:tr>
        <w:tc>
          <w:tcPr>
            <w:tcBorders>
              <w:bottom w:val="single"/>
            </w:tcBorders>
            <w:vAlign w:val="bottom"/>
          </w:tcPr>
          <w:p>
            <w:pPr>
              <w:pStyle w:val="Compact"/>
              <w:jc w:val="center"/>
            </w:pPr>
            <w:r>
              <w:t xml:space="preserve">Product</w:t>
            </w:r>
          </w:p>
        </w:tc>
        <w:tc>
          <w:tcPr>
            <w:tcBorders>
              <w:bottom w:val="single"/>
            </w:tcBorders>
            <w:vAlign w:val="bottom"/>
          </w:tcPr>
          <w:p>
            <w:pPr>
              <w:pStyle w:val="Compact"/>
              <w:jc w:val="center"/>
            </w:pPr>
            <w:r>
              <w:t xml:space="preserve">Analysis Year</w:t>
            </w:r>
          </w:p>
        </w:tc>
        <w:tc>
          <w:tcPr>
            <w:tcBorders>
              <w:bottom w:val="single"/>
            </w:tcBorders>
            <w:vAlign w:val="bottom"/>
          </w:tcPr>
          <w:p>
            <w:pPr>
              <w:pStyle w:val="Compact"/>
              <w:jc w:val="center"/>
            </w:pPr>
            <w:r>
              <w:t xml:space="preserve">Date Range</w:t>
            </w:r>
          </w:p>
        </w:tc>
        <w:tc>
          <w:tcPr>
            <w:tcBorders>
              <w:bottom w:val="single"/>
            </w:tcBorders>
            <w:vAlign w:val="bottom"/>
          </w:tcPr>
          <w:p>
            <w:pPr>
              <w:pStyle w:val="Compact"/>
              <w:jc w:val="center"/>
            </w:pPr>
            <w:r>
              <w:t xml:space="preserve">Number of Batches</w:t>
            </w:r>
          </w:p>
        </w:tc>
      </w:tr>
      <w:tr>
        <w:tc>
          <w:p>
            <w:pPr>
              <w:pStyle w:val="Compact"/>
              <w:jc w:val="center"/>
            </w:pPr>
            <w:r>
              <w:t xml:space="preserve">Actemra DS_tocilizumab G5.2 (SC)</w:t>
            </w:r>
          </w:p>
        </w:tc>
        <w:tc>
          <w:p>
            <w:pPr>
              <w:pStyle w:val="Compact"/>
              <w:jc w:val="center"/>
            </w:pPr>
            <w:r>
              <w:t xml:space="preserve">2016</w:t>
            </w:r>
          </w:p>
        </w:tc>
        <w:tc>
          <w:p>
            <w:pPr>
              <w:pStyle w:val="Compact"/>
              <w:jc w:val="center"/>
            </w:pPr>
            <w:r>
              <w:t xml:space="preserve">2016-01-01 To 2016-08-11</w:t>
            </w:r>
          </w:p>
        </w:tc>
        <w:tc>
          <w:p>
            <w:pPr>
              <w:pStyle w:val="Compact"/>
              <w:jc w:val="center"/>
            </w:pPr>
            <w:r>
              <w:t xml:space="preserve">96</w:t>
            </w:r>
          </w:p>
        </w:tc>
      </w:tr>
    </w:tbl>
    <w:p>
      <w:r>
        <w:t xml:space="preserve">The Method Monitoring data used for Rho calculation is from Analysis Year 2016 .</w:t>
      </w:r>
    </w:p>
    <w:p>
      <w:pPr>
        <w:pStyle w:val="Heading5"/>
      </w:pPr>
      <w:bookmarkStart w:id="25" w:name="section-1"/>
      <w:bookmarkEnd w:id="25"/>
      <w:r>
        <w:t xml:space="preserve">.</w:t>
      </w:r>
    </w:p>
    <w:p>
      <w:r>
        <w:rPr>
          <w:b/>
        </w:rPr>
        <w:t xml:space="preserve">Table 3. Performance Analysis Summary for Actemra DS_tocilizumab G5.2 (SC)</w:t>
      </w:r>
    </w:p>
    <w:tbl>
      <w:tblPr>
        <w:tblStyle w:val="TableNormal"/>
        <w:tblW w:type="pct" w:w="4999.999999999999"/>
      </w:tblPr>
      <w:tblGrid>
        <w:gridCol w:w="1004"/>
        <w:gridCol w:w="1063"/>
        <w:gridCol w:w="945"/>
        <w:gridCol w:w="1182"/>
        <w:gridCol w:w="827"/>
        <w:gridCol w:w="1714"/>
        <w:gridCol w:w="1182"/>
      </w:tblGrid>
      <w:tr>
        <w:tc>
          <w:tcPr>
            <w:tcBorders>
              <w:bottom w:val="single"/>
            </w:tcBorders>
            <w:vAlign w:val="bottom"/>
          </w:tcPr>
          <w:p>
            <w:pPr>
              <w:pStyle w:val="Compact"/>
              <w:jc w:val="center"/>
            </w:pPr>
            <w:r>
              <w:t xml:space="preserve">Attribute</w:t>
            </w:r>
          </w:p>
        </w:tc>
        <w:tc>
          <w:tcPr>
            <w:tcBorders>
              <w:bottom w:val="single"/>
            </w:tcBorders>
            <w:vAlign w:val="bottom"/>
          </w:tcPr>
          <w:p>
            <w:pPr>
              <w:pStyle w:val="Compact"/>
              <w:jc w:val="center"/>
            </w:pPr>
            <w:r>
              <w:t xml:space="preserve">2015 APQR Rpk *</w:t>
            </w:r>
          </w:p>
        </w:tc>
        <w:tc>
          <w:tcPr>
            <w:tcBorders>
              <w:bottom w:val="single"/>
            </w:tcBorders>
            <w:vAlign w:val="bottom"/>
          </w:tcPr>
          <w:p>
            <w:pPr>
              <w:pStyle w:val="Compact"/>
              <w:jc w:val="center"/>
            </w:pPr>
            <w:r>
              <w:t xml:space="preserve">2016 APQR Rpk</w:t>
            </w:r>
          </w:p>
        </w:tc>
        <w:tc>
          <w:tcPr>
            <w:tcBorders>
              <w:bottom w:val="single"/>
            </w:tcBorders>
            <w:vAlign w:val="bottom"/>
          </w:tcPr>
          <w:p>
            <w:pPr>
              <w:pStyle w:val="Compact"/>
              <w:jc w:val="center"/>
            </w:pPr>
            <w:r>
              <w:t xml:space="preserve">SME Assigned Risk</w:t>
            </w:r>
          </w:p>
        </w:tc>
        <w:tc>
          <w:tcPr>
            <w:tcBorders>
              <w:bottom w:val="single"/>
            </w:tcBorders>
            <w:vAlign w:val="bottom"/>
          </w:tcPr>
          <w:p>
            <w:pPr>
              <w:pStyle w:val="Compact"/>
              <w:jc w:val="center"/>
            </w:pPr>
            <w:r>
              <w:t xml:space="preserve">Overall OOS</w:t>
            </w:r>
          </w:p>
        </w:tc>
        <w:tc>
          <w:tcPr>
            <w:tcBorders>
              <w:bottom w:val="single"/>
            </w:tcBorders>
            <w:vAlign w:val="bottom"/>
          </w:tcPr>
          <w:p>
            <w:pPr>
              <w:pStyle w:val="Compact"/>
              <w:jc w:val="center"/>
            </w:pPr>
            <w:r>
              <w:t xml:space="preserve">Rationale for SME Assigned Risk</w:t>
            </w:r>
          </w:p>
        </w:tc>
        <w:tc>
          <w:tcPr>
            <w:tcBorders>
              <w:bottom w:val="single"/>
            </w:tcBorders>
            <w:vAlign w:val="bottom"/>
          </w:tcPr>
          <w:p>
            <w:pPr>
              <w:pStyle w:val="Compact"/>
              <w:jc w:val="center"/>
            </w:pPr>
            <w:r>
              <w:t xml:space="preserve">Recommended action</w:t>
            </w:r>
          </w:p>
        </w:tc>
      </w:tr>
      <w:tr>
        <w:tc>
          <w:p>
            <w:pPr>
              <w:pStyle w:val="Compact"/>
              <w:jc w:val="center"/>
            </w:pPr>
            <w:r>
              <w:t xml:space="preserve">Potency_Bioassay</w:t>
            </w:r>
          </w:p>
        </w:tc>
        <w:tc>
          <w:p>
            <w:pPr>
              <w:pStyle w:val="Compact"/>
              <w:jc w:val="center"/>
            </w:pPr>
            <w:r>
              <w:t xml:space="preserve">Invalid APQR year</w:t>
            </w:r>
          </w:p>
        </w:tc>
        <w:tc>
          <w:p>
            <w:pPr>
              <w:pStyle w:val="Compact"/>
              <w:jc w:val="center"/>
            </w:pPr>
            <w:r>
              <w:t xml:space="preserve">0.61</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pH</w:t>
            </w:r>
          </w:p>
        </w:tc>
        <w:tc>
          <w:p>
            <w:pPr>
              <w:pStyle w:val="Compact"/>
              <w:jc w:val="center"/>
            </w:pPr>
            <w:r>
              <w:t xml:space="preserve">Invalid APQR year</w:t>
            </w:r>
          </w:p>
        </w:tc>
        <w:tc>
          <w:p>
            <w:pPr>
              <w:pStyle w:val="Compact"/>
              <w:jc w:val="center"/>
            </w:pPr>
            <w:r>
              <w:t xml:space="preserve">0.47</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IEC_Pre-Peak</w:t>
            </w:r>
          </w:p>
        </w:tc>
        <w:tc>
          <w:p>
            <w:pPr>
              <w:pStyle w:val="Compact"/>
              <w:jc w:val="center"/>
            </w:pPr>
            <w:r>
              <w:t xml:space="preserve">Invalid APQR year</w:t>
            </w:r>
          </w:p>
        </w:tc>
        <w:tc>
          <w:p>
            <w:pPr>
              <w:pStyle w:val="Compact"/>
              <w:jc w:val="center"/>
            </w:pPr>
            <w:r>
              <w:t xml:space="preserve">0.35</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PS_80</w:t>
            </w:r>
          </w:p>
        </w:tc>
        <w:tc>
          <w:p>
            <w:pPr>
              <w:pStyle w:val="Compact"/>
              <w:jc w:val="center"/>
            </w:pPr>
            <w:r>
              <w:t xml:space="preserve">Invalid APQR year</w:t>
            </w:r>
          </w:p>
        </w:tc>
        <w:tc>
          <w:p>
            <w:pPr>
              <w:pStyle w:val="Compact"/>
              <w:jc w:val="center"/>
            </w:pPr>
            <w:r>
              <w:t xml:space="preserve">0.28</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IC_His</w:t>
            </w:r>
          </w:p>
        </w:tc>
        <w:tc>
          <w:p>
            <w:pPr>
              <w:pStyle w:val="Compact"/>
              <w:jc w:val="center"/>
            </w:pPr>
            <w:r>
              <w:t xml:space="preserve">Invalid APQR year</w:t>
            </w:r>
          </w:p>
        </w:tc>
        <w:tc>
          <w:p>
            <w:pPr>
              <w:pStyle w:val="Compact"/>
              <w:jc w:val="center"/>
            </w:pPr>
            <w:r>
              <w:t xml:space="preserve">0.23</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IC_Arg</w:t>
            </w:r>
          </w:p>
        </w:tc>
        <w:tc>
          <w:p>
            <w:pPr>
              <w:pStyle w:val="Compact"/>
              <w:jc w:val="center"/>
            </w:pPr>
            <w:r>
              <w:t xml:space="preserve">Invalid APQR year</w:t>
            </w:r>
          </w:p>
        </w:tc>
        <w:tc>
          <w:p>
            <w:pPr>
              <w:pStyle w:val="Compact"/>
              <w:jc w:val="center"/>
            </w:pPr>
            <w:r>
              <w:t xml:space="preserve">0.22</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CE-SDS_Main_Peak</w:t>
            </w:r>
          </w:p>
        </w:tc>
        <w:tc>
          <w:p>
            <w:pPr>
              <w:pStyle w:val="Compact"/>
              <w:jc w:val="center"/>
            </w:pPr>
            <w:r>
              <w:t xml:space="preserve">Invalid APQR year</w:t>
            </w:r>
          </w:p>
        </w:tc>
        <w:tc>
          <w:p>
            <w:pPr>
              <w:pStyle w:val="Compact"/>
              <w:jc w:val="center"/>
            </w:pPr>
            <w:r>
              <w:t xml:space="preserve">0.21</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Protein_Conc</w:t>
            </w:r>
          </w:p>
        </w:tc>
        <w:tc>
          <w:p>
            <w:pPr>
              <w:pStyle w:val="Compact"/>
              <w:jc w:val="center"/>
            </w:pPr>
            <w:r>
              <w:t xml:space="preserve">Invalid APQR year</w:t>
            </w:r>
          </w:p>
        </w:tc>
        <w:tc>
          <w:p>
            <w:pPr>
              <w:pStyle w:val="Compact"/>
              <w:jc w:val="center"/>
            </w:pPr>
            <w:r>
              <w:t xml:space="preserve">0.21</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IC_Met</w:t>
            </w:r>
          </w:p>
        </w:tc>
        <w:tc>
          <w:p>
            <w:pPr>
              <w:pStyle w:val="Compact"/>
              <w:jc w:val="center"/>
            </w:pPr>
            <w:r>
              <w:t xml:space="preserve">Invalid APQR year</w:t>
            </w:r>
          </w:p>
        </w:tc>
        <w:tc>
          <w:p>
            <w:pPr>
              <w:pStyle w:val="Compact"/>
              <w:jc w:val="center"/>
            </w:pPr>
            <w:r>
              <w:t xml:space="preserve">0.20</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IEC_1Q-H_Peak</w:t>
            </w:r>
          </w:p>
        </w:tc>
        <w:tc>
          <w:p>
            <w:pPr>
              <w:pStyle w:val="Compact"/>
              <w:jc w:val="center"/>
            </w:pPr>
            <w:r>
              <w:t xml:space="preserve">Invalid APQR year</w:t>
            </w:r>
          </w:p>
        </w:tc>
        <w:tc>
          <w:p>
            <w:pPr>
              <w:pStyle w:val="Compact"/>
              <w:jc w:val="center"/>
            </w:pPr>
            <w:r>
              <w:t xml:space="preserve">0.20</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IEC_Main_Peak</w:t>
            </w:r>
          </w:p>
        </w:tc>
        <w:tc>
          <w:p>
            <w:pPr>
              <w:pStyle w:val="Compact"/>
              <w:jc w:val="center"/>
            </w:pPr>
            <w:r>
              <w:t xml:space="preserve">Invalid APQR year</w:t>
            </w:r>
          </w:p>
        </w:tc>
        <w:tc>
          <w:p>
            <w:pPr>
              <w:pStyle w:val="Compact"/>
              <w:jc w:val="center"/>
            </w:pPr>
            <w:r>
              <w:t xml:space="preserve">0.20</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IEC_R-1_Peak</w:t>
            </w:r>
          </w:p>
        </w:tc>
        <w:tc>
          <w:p>
            <w:pPr>
              <w:pStyle w:val="Compact"/>
              <w:jc w:val="center"/>
            </w:pPr>
            <w:r>
              <w:t xml:space="preserve">Invalid APQR year</w:t>
            </w:r>
          </w:p>
        </w:tc>
        <w:tc>
          <w:p>
            <w:pPr>
              <w:pStyle w:val="Compact"/>
              <w:jc w:val="center"/>
            </w:pPr>
            <w:r>
              <w:t xml:space="preserve">0.15</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IEC_Sub-1_Peak</w:t>
            </w:r>
          </w:p>
        </w:tc>
        <w:tc>
          <w:p>
            <w:pPr>
              <w:pStyle w:val="Compact"/>
              <w:jc w:val="center"/>
            </w:pPr>
            <w:r>
              <w:t xml:space="preserve">Invalid APQR year</w:t>
            </w:r>
          </w:p>
        </w:tc>
        <w:tc>
          <w:p>
            <w:pPr>
              <w:pStyle w:val="Compact"/>
              <w:jc w:val="center"/>
            </w:pPr>
            <w:r>
              <w:t xml:space="preserve">0.10</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CE-SDS_Other</w:t>
            </w:r>
          </w:p>
        </w:tc>
        <w:tc>
          <w:p>
            <w:pPr>
              <w:pStyle w:val="Compact"/>
              <w:jc w:val="center"/>
            </w:pPr>
            <w:r>
              <w:t xml:space="preserve">Invalid APQR year</w:t>
            </w:r>
          </w:p>
        </w:tc>
        <w:tc>
          <w:p>
            <w:pPr>
              <w:pStyle w:val="Compact"/>
              <w:jc w:val="center"/>
            </w:pPr>
            <w:r>
              <w:t xml:space="preserve">0.09</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IEC_Other</w:t>
            </w:r>
          </w:p>
        </w:tc>
        <w:tc>
          <w:p>
            <w:pPr>
              <w:pStyle w:val="Compact"/>
              <w:jc w:val="center"/>
            </w:pPr>
            <w:r>
              <w:t xml:space="preserve">Invalid APQR year</w:t>
            </w:r>
          </w:p>
        </w:tc>
        <w:tc>
          <w:p>
            <w:pPr>
              <w:pStyle w:val="Compact"/>
              <w:jc w:val="center"/>
            </w:pPr>
            <w:r>
              <w:t xml:space="preserve">0.08</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IEC_Sub-2_Peak</w:t>
            </w:r>
          </w:p>
        </w:tc>
        <w:tc>
          <w:p>
            <w:pPr>
              <w:pStyle w:val="Compact"/>
              <w:jc w:val="center"/>
            </w:pPr>
            <w:r>
              <w:t xml:space="preserve">Invalid APQR year</w:t>
            </w:r>
          </w:p>
        </w:tc>
        <w:tc>
          <w:p>
            <w:pPr>
              <w:pStyle w:val="Compact"/>
              <w:jc w:val="center"/>
            </w:pPr>
            <w:r>
              <w:t xml:space="preserve">0.06</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SEC_Dimer</w:t>
            </w:r>
          </w:p>
        </w:tc>
        <w:tc>
          <w:p>
            <w:pPr>
              <w:pStyle w:val="Compact"/>
              <w:jc w:val="center"/>
            </w:pPr>
            <w:r>
              <w:t xml:space="preserve">Invalid APQR year</w:t>
            </w:r>
          </w:p>
        </w:tc>
        <w:tc>
          <w:p>
            <w:pPr>
              <w:pStyle w:val="Compact"/>
              <w:jc w:val="center"/>
            </w:pPr>
            <w:r>
              <w:t xml:space="preserve">0.04</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SEC_Monomer</w:t>
            </w:r>
          </w:p>
        </w:tc>
        <w:tc>
          <w:p>
            <w:pPr>
              <w:pStyle w:val="Compact"/>
              <w:jc w:val="center"/>
            </w:pPr>
            <w:r>
              <w:t xml:space="preserve">Invalid APQR year</w:t>
            </w:r>
          </w:p>
        </w:tc>
        <w:tc>
          <w:p>
            <w:pPr>
              <w:pStyle w:val="Compact"/>
              <w:jc w:val="center"/>
            </w:pPr>
            <w:r>
              <w:t xml:space="preserve">0.02</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r>
        <w:tc>
          <w:p>
            <w:pPr>
              <w:pStyle w:val="Compact"/>
              <w:jc w:val="center"/>
            </w:pPr>
            <w:r>
              <w:t xml:space="preserve">SEC_Other</w:t>
            </w:r>
          </w:p>
        </w:tc>
        <w:tc>
          <w:p>
            <w:pPr>
              <w:pStyle w:val="Compact"/>
              <w:jc w:val="center"/>
            </w:pPr>
            <w:r>
              <w:t xml:space="preserve">Invalid APQR year</w:t>
            </w:r>
          </w:p>
        </w:tc>
        <w:tc>
          <w:p>
            <w:pPr>
              <w:pStyle w:val="Compact"/>
              <w:jc w:val="center"/>
            </w:pPr>
            <w:r>
              <w:t xml:space="preserve">0.00</w:t>
            </w:r>
          </w:p>
        </w:tc>
        <w:tc>
          <w:p>
            <w:pPr>
              <w:pStyle w:val="Compact"/>
              <w:jc w:val="center"/>
            </w:pPr>
            <w:r>
              <w:t xml:space="preserve">[assign risk]</w:t>
            </w:r>
          </w:p>
        </w:tc>
        <w:tc>
          <w:p>
            <w:pPr>
              <w:pStyle w:val="Compact"/>
              <w:jc w:val="center"/>
            </w:pPr>
            <w:r>
              <w:t xml:space="preserve">0.000</w:t>
            </w:r>
          </w:p>
        </w:tc>
        <w:tc>
          <w:p>
            <w:pPr>
              <w:pStyle w:val="Compact"/>
              <w:jc w:val="center"/>
            </w:pPr>
            <w:r>
              <w:t xml:space="preserve">[insert rationale]</w:t>
            </w:r>
          </w:p>
        </w:tc>
        <w:tc>
          <w:p>
            <w:pPr>
              <w:pStyle w:val="Compact"/>
              <w:jc w:val="center"/>
            </w:pPr>
            <w:r>
              <w:t xml:space="preserve">[insert action]</w:t>
            </w:r>
          </w:p>
        </w:tc>
      </w:tr>
    </w:tbl>
    <w:p>
      <w:r>
        <w:t xml:space="preserve">The * indicates number of batches N &lt; 20</w:t>
      </w:r>
    </w:p>
    <w:p>
      <w:r>
        <w:t xml:space="preserve">[add notes as needed]</w:t>
      </w:r>
    </w:p>
    <w:p>
      <w:r>
        <w:t xml:space="preserve">[Please change this page orientation to the landscape and delete this sentence.]</w:t>
      </w:r>
    </w:p>
    <w:p>
      <w:pPr>
        <w:pStyle w:val="Heading5"/>
      </w:pPr>
      <w:bookmarkStart w:id="26" w:name="section-2"/>
      <w:bookmarkEnd w:id="26"/>
      <w:r>
        <w:t xml:space="preserve">.</w:t>
      </w:r>
    </w:p>
    <w:p>
      <w:pPr>
        <w:pStyle w:val="Heading2"/>
      </w:pPr>
      <w:bookmarkStart w:id="27" w:name="appendix"/>
      <w:bookmarkEnd w:id="27"/>
      <w:r>
        <w:t xml:space="preserve">3. APPENDIX:</w:t>
      </w:r>
    </w:p>
    <w:p>
      <w:r>
        <w:drawing>
          <wp:inline>
            <wp:extent cx="5440680" cy="3706463"/>
            <wp:effectExtent b="0" l="0" r="0" t="0"/>
            <wp:docPr descr="" id="1" name="Picture"/>
            <a:graphic>
              <a:graphicData uri="http://schemas.openxmlformats.org/drawingml/2006/picture">
                <pic:pic>
                  <pic:nvPicPr>
                    <pic:cNvPr descr="/tmp/Rtmpl2MeOt/file3fe1728ecf6c_files/figure-docx/unnamed-chunk-15-1.png" id="0" name="Picture"/>
                    <pic:cNvPicPr>
                      <a:picLocks noChangeArrowheads="1" noChangeAspect="1"/>
                    </pic:cNvPicPr>
                  </pic:nvPicPr>
                  <pic:blipFill>
                    <a:blip r:embed="rId28"/>
                    <a:stretch>
                      <a:fillRect/>
                    </a:stretch>
                  </pic:blipFill>
                  <pic:spPr bwMode="auto">
                    <a:xfrm>
                      <a:off x="0" y="0"/>
                      <a:ext cx="5440680" cy="3706463"/>
                    </a:xfrm>
                    <a:prstGeom prst="rect">
                      <a:avLst/>
                    </a:prstGeom>
                    <a:noFill/>
                    <a:ln w="9525">
                      <a:noFill/>
                      <a:headEnd/>
                      <a:tailEnd/>
                    </a:ln>
                  </pic:spPr>
                </pic:pic>
              </a:graphicData>
            </a:graphic>
          </wp:inline>
        </w:drawing>
      </w:r>
      <w:r>
        <w:drawing>
          <wp:inline>
            <wp:extent cx="5440680" cy="3706463"/>
            <wp:effectExtent b="0" l="0" r="0" t="0"/>
            <wp:docPr descr="" id="1" name="Picture"/>
            <a:graphic>
              <a:graphicData uri="http://schemas.openxmlformats.org/drawingml/2006/picture">
                <pic:pic>
                  <pic:nvPicPr>
                    <pic:cNvPr descr="/tmp/Rtmpl2MeOt/file3fe1728ecf6c_files/figure-docx/unnamed-chunk-15-2.png" id="0" name="Picture"/>
                    <pic:cNvPicPr>
                      <a:picLocks noChangeArrowheads="1" noChangeAspect="1"/>
                    </pic:cNvPicPr>
                  </pic:nvPicPr>
                  <pic:blipFill>
                    <a:blip r:embed="rId29"/>
                    <a:stretch>
                      <a:fillRect/>
                    </a:stretch>
                  </pic:blipFill>
                  <pic:spPr bwMode="auto">
                    <a:xfrm>
                      <a:off x="0" y="0"/>
                      <a:ext cx="5440680" cy="3706463"/>
                    </a:xfrm>
                    <a:prstGeom prst="rect">
                      <a:avLst/>
                    </a:prstGeom>
                    <a:noFill/>
                    <a:ln w="9525">
                      <a:noFill/>
                      <a:headEnd/>
                      <a:tailEnd/>
                    </a:ln>
                  </pic:spPr>
                </pic:pic>
              </a:graphicData>
            </a:graphic>
          </wp:inline>
        </w:drawing>
      </w:r>
      <w:r>
        <w:drawing>
          <wp:inline>
            <wp:extent cx="5440680" cy="3706463"/>
            <wp:effectExtent b="0" l="0" r="0" t="0"/>
            <wp:docPr descr="" id="1" name="Picture"/>
            <a:graphic>
              <a:graphicData uri="http://schemas.openxmlformats.org/drawingml/2006/picture">
                <pic:pic>
                  <pic:nvPicPr>
                    <pic:cNvPr descr="/tmp/Rtmpl2MeOt/file3fe1728ecf6c_files/figure-docx/unnamed-chunk-15-3.png" id="0" name="Picture"/>
                    <pic:cNvPicPr>
                      <a:picLocks noChangeArrowheads="1" noChangeAspect="1"/>
                    </pic:cNvPicPr>
                  </pic:nvPicPr>
                  <pic:blipFill>
                    <a:blip r:embed="rId30"/>
                    <a:stretch>
                      <a:fillRect/>
                    </a:stretch>
                  </pic:blipFill>
                  <pic:spPr bwMode="auto">
                    <a:xfrm>
                      <a:off x="0" y="0"/>
                      <a:ext cx="5440680" cy="3706463"/>
                    </a:xfrm>
                    <a:prstGeom prst="rect">
                      <a:avLst/>
                    </a:prstGeom>
                    <a:noFill/>
                    <a:ln w="9525">
                      <a:noFill/>
                      <a:headEnd/>
                      <a:tailEnd/>
                    </a:ln>
                  </pic:spPr>
                </pic:pic>
              </a:graphicData>
            </a:graphic>
          </wp:inline>
        </w:drawing>
      </w:r>
      <w:r>
        <w:drawing>
          <wp:inline>
            <wp:extent cx="5440680" cy="3706463"/>
            <wp:effectExtent b="0" l="0" r="0" t="0"/>
            <wp:docPr descr="" id="1" name="Picture"/>
            <a:graphic>
              <a:graphicData uri="http://schemas.openxmlformats.org/drawingml/2006/picture">
                <pic:pic>
                  <pic:nvPicPr>
                    <pic:cNvPr descr="/tmp/Rtmpl2MeOt/file3fe1728ecf6c_files/figure-docx/unnamed-chunk-15-4.png" id="0" name="Picture"/>
                    <pic:cNvPicPr>
                      <a:picLocks noChangeArrowheads="1" noChangeAspect="1"/>
                    </pic:cNvPicPr>
                  </pic:nvPicPr>
                  <pic:blipFill>
                    <a:blip r:embed="rId31"/>
                    <a:stretch>
                      <a:fillRect/>
                    </a:stretch>
                  </pic:blipFill>
                  <pic:spPr bwMode="auto">
                    <a:xfrm>
                      <a:off x="0" y="0"/>
                      <a:ext cx="5440680" cy="3706463"/>
                    </a:xfrm>
                    <a:prstGeom prst="rect">
                      <a:avLst/>
                    </a:prstGeom>
                    <a:noFill/>
                    <a:ln w="9525">
                      <a:noFill/>
                      <a:headEnd/>
                      <a:tailEnd/>
                    </a:ln>
                  </pic:spPr>
                </pic:pic>
              </a:graphicData>
            </a:graphic>
          </wp:inline>
        </w:drawing>
      </w:r>
    </w:p>
    <w:sectPr>
      <w:headerReference w:type="default" r:id="rId10"/>
      <w:footerReference w:type="default" r:id="rId11"/>
      <w:type w:val="nextPage"/>
      <w:pgSz w:w="11906" w:h="16838"/>
      <w:pgMar w:left="1134" w:right="1134" w:header="562" w:top="2838" w:footer="1930" w:bottom="213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byssinica SIL">
    <w:charset w:val="01"/>
    <w:family w:val="roman"/>
    <w:pitch w:val="variable"/>
  </w:font>
  <w:font w:name="Calibri">
    <w:charset w:val="01"/>
    <w:family w:val="roman"/>
    <w:pitch w:val="variable"/>
  </w:font>
  <w:font w:name="Caladea">
    <w:altName w:val="Cambria"/>
    <w:charset w:val="01"/>
    <w:family w:val="roman"/>
    <w:pitch w:val="variable"/>
  </w:font>
  <w:font w:name="Consolas">
    <w:charset w:val="01"/>
    <w:family w:val="roman"/>
    <w:pitch w:val="variable"/>
  </w:font>
  <w:font w:name="Liberation Sans">
    <w:altName w:val="Arial"/>
    <w:charset w:val="01"/>
    <w:family w:val="swiss"/>
    <w:pitch w:val="variable"/>
  </w:font>
  <w:font w:name="wf segoe-ui normal">
    <w:altName w:val="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spacing w:before="0" w:after="200"/>
      <w:ind w:left="0" w:right="0" w:hanging="0"/>
    </w:pP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This is not for </w:t>
    </w:r>
    <w:r>
      <w:rPr>
        <w:b w:val="false"/>
        <w:i w:val="false"/>
        <w:caps w:val="false"/>
        <w:smallCaps w:val="false"/>
        <w:color w:val="212121"/>
        <w:spacing w:val="0"/>
        <w:sz w:val="23"/>
      </w:rPr>
      <w:t>GMP</w:t>
    </w:r>
    <w:r>
      <w:rPr>
        <w:rFonts w:ascii="wf segoe-ui normal;Segoe UI;Segoe WP;Tahoma;Arial;sans-serif;serif;EmojiFont" w:hAnsi="wf segoe-ui normal;Segoe UI;Segoe WP;Tahoma;Arial;sans-serif;serif;EmojiFont"/>
        <w:b w:val="false"/>
        <w:i w:val="false"/>
        <w:caps w:val="false"/>
        <w:smallCaps w:val="false"/>
        <w:color w:val="212121"/>
        <w:spacing w:val="0"/>
        <w:sz w:val="23"/>
      </w:rPr>
      <w:t xml:space="preserve"> use</w:t>
    </w: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pPr>
    <w:r>
      <w:rPr/>
    </w: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7f4f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Abyssinica SIL" w:hAnsi="Abyssinica SIL" w:eastAsia="" w:cs="" w:cstheme="majorBidi" w:eastAsiaTheme="majorEastAsia"/>
      <w:b/>
      <w:bCs/>
      <w:i/>
      <w:color w:val="FF8D00" w:themeShade="b5"/>
      <w:sz w:val="26"/>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0093D9"/>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E376B"/>
      <w:sz w:val="28"/>
      <w:szCs w:val="28"/>
    </w:rPr>
  </w:style>
  <w:style w:type="paragraph" w:styleId="Heading4">
    <w:name w:val="Heading 4"/>
    <w:basedOn w:val="Normal"/>
    <w:uiPriority w:val="9"/>
    <w:unhideWhenUsed/>
    <w:qFormat/>
    <w:pPr>
      <w:keepNext/>
      <w:keepLines/>
      <w:spacing w:before="200" w:after="0"/>
      <w:jc w:val="center"/>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pageBreakBefore/>
      <w:shd w:fill="FFFFFF" w:val="clear"/>
      <w:spacing w:before="200" w:after="0"/>
      <w:outlineLvl w:val="4"/>
    </w:pPr>
    <w:rPr>
      <w:rFonts w:ascii="Caladea" w:hAnsi="Caladea" w:eastAsia="" w:cs="" w:cstheme="majorBidi" w:eastAsiaTheme="majorEastAsia"/>
      <w:i w:val="false"/>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rPr>
      <w:rFonts w:cs="Symbol"/>
    </w:rPr>
  </w:style>
  <w:style w:type="character" w:styleId="ListLabel37">
    <w:name w:val="ListLabel 37"/>
    <w:rPr>
      <w:rFonts w:cs="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link w:val="BodyTextChar"/>
    <w:qFormat/>
    <w:pPr>
      <w:spacing w:lineRule="auto" w:line="288"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uppressLineNumbers/>
      <w:spacing w:before="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jc w:val="both"/>
    </w:pPr>
    <w:rPr/>
  </w:style>
  <w:style w:type="paragraph" w:styleId="Compact" w:customStyle="1">
    <w:name w:val="Compact"/>
    <w:basedOn w:val="TextBody"/>
    <w:qFormat/>
    <w:pPr>
      <w:spacing w:before="36" w:after="36"/>
    </w:pPr>
    <w:rPr>
      <w:color w:val="000000"/>
    </w:rPr>
  </w:style>
  <w:style w:type="paragraph" w:styleId="Title">
    <w:name w:val="Title"/>
    <w:basedOn w:val="Normal"/>
    <w:qFormat/>
    <w:pPr>
      <w:keepNext/>
      <w:keepLines/>
      <w:shd w:fill="FFFFFF" w:val="clear"/>
      <w:spacing w:before="0" w:after="1440"/>
      <w:jc w:val="left"/>
    </w:pPr>
    <w:rPr>
      <w:rFonts w:ascii="Calibri" w:hAnsi="Calibri" w:eastAsia="" w:cs="" w:asciiTheme="majorHAnsi" w:cstheme="majorBidi" w:eastAsiaTheme="majorEastAsia" w:hAnsiTheme="majorHAnsi"/>
      <w:b/>
      <w:bCs/>
      <w:i w:val="false"/>
      <w:color w:val="0084D1" w:themeShade="b5"/>
      <w:sz w:val="44"/>
      <w:szCs w:val="36"/>
    </w:rPr>
  </w:style>
  <w:style w:type="paragraph" w:styleId="Subtitle">
    <w:name w:val="Subtitle"/>
    <w:basedOn w:val="Title"/>
    <w:qFormat/>
    <w:pPr>
      <w:keepNext/>
      <w:keepLines/>
      <w:shd w:fill="FFFFFF" w:val="clear"/>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2"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fill="F8F8F8" w:val="clear"/>
    </w:pPr>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jc w:val="center"/>
    </w:pPr>
    <w:rPr>
      <w:rFonts w:ascii="Caladea" w:hAnsi="Caladea"/>
      <w:b w:val="false"/>
      <w:i w:val="false"/>
    </w:rPr>
  </w:style>
  <w:style w:type="paragraph" w:styleId="Header">
    <w:name w:val="Header"/>
    <w:basedOn w:val="Normal"/>
    <w:pPr/>
    <w:rPr/>
  </w:style>
  <w:style w:type="table" w:default="1" w:styleId="TableNormal">
    <w:name w:val="Normal Table"/>
    <w:semiHidden/>
    <w:unhideWhenUsed/>
    <w:qFormat/>
    <w:tblPr>
      <w:tblInd w:type="dxa" w:w="0"/>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mailto:pengy12@gene.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pengy12@gen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LibreOffice/4.3.7.2$Linux_X86_64 LibreOffice_project/430$Build-2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Analysis Report</dc:title>
  <dc:creator/>
</cp:coreProperties>
</file>