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CySec.env</w:t>
      </w:r>
    </w:p>
    <w:p>
      <w:pPr>
        <w:jc w:val="center"/>
      </w:pPr>
      <w:r>
        <w:rPr>
          <w:i/>
        </w:rPr>
        <w:t>One Environment. Every Tool.</w:t>
      </w:r>
    </w:p>
    <w:p>
      <w:pPr>
        <w:pStyle w:val="Title"/>
      </w:pPr>
      <w:r>
        <w:t>Software Requirements Specification (SRS)</w:t>
      </w:r>
    </w:p>
    <w:p>
      <w:r>
        <w:t>Version 1.0 — Baseline Project Documentation</w:t>
      </w:r>
    </w:p>
    <w:p>
      <w:pPr>
        <w:pStyle w:val="Heading1"/>
      </w:pPr>
      <w:r>
        <w:t>1. Scope</w:t>
      </w:r>
    </w:p>
    <w:p>
      <w:r>
        <w:t>Defines functional, non-functional, security, data, platform and future compatibility requirements.</w:t>
      </w:r>
    </w:p>
    <w:p>
      <w:pPr>
        <w:pStyle w:val="Heading1"/>
      </w:pPr>
      <w:r>
        <w:t>2. Functional Requirements</w:t>
      </w:r>
    </w:p>
    <w:p>
      <w:r>
        <w:t>FR-01 cysec starts the environment. FR-02 list/search/info/install/uninstall/update commands. FR-03 installed state tracking. FR-04 registry lookup. FR-05 missing-tool installation offer. FR-06 direct command shims/wrappers. FR-07 persistent workspace. FR-08 cache status and cleanup. FR-09 audit logs. FR-10 platform capability detection. FR-11 explicit VPN profile management where supported.</w:t>
      </w:r>
    </w:p>
    <w:p>
      <w:pPr>
        <w:pStyle w:val="Heading1"/>
      </w:pPr>
      <w:r>
        <w:t>3. Tool Registry Requirements</w:t>
      </w:r>
    </w:p>
    <w:p>
      <w:r>
        <w:t>Fields: id, name, display_name, aliases, category, description, official website/source/repository, license, platforms, architectures, install adapter, entry command, dependencies, version, checksum/signature metadata, verification status, maintainer metadata, last verified date, deprecation/replacement fields.</w:t>
      </w:r>
    </w:p>
    <w:p>
      <w:pPr>
        <w:pStyle w:val="Heading1"/>
      </w:pPr>
      <w:r>
        <w:t>4. Installation Requirements</w:t>
      </w:r>
    </w:p>
    <w:p>
      <w:r>
        <w:t>Prefer verified package managers or official releases. Support adapter model for Python, Go, Rust, Node.js, binaries, containers and curated custom manifests. Validate dependencies and run post-install health checks.</w:t>
      </w:r>
    </w:p>
    <w:p>
      <w:pPr>
        <w:pStyle w:val="Heading1"/>
      </w:pPr>
      <w:r>
        <w:t>5. Unknown Source Requirements</w:t>
      </w:r>
    </w:p>
    <w:p>
      <w:r>
        <w:t>Validate URL and accessibility; classify VERIFIED/COMMUNITY/UNVERIFIED/INVALID; display source details; require explicit confirmation for unverified installation; never silently trust arbitrary setup scripts.</w:t>
      </w:r>
    </w:p>
    <w:p>
      <w:pPr>
        <w:pStyle w:val="Heading1"/>
      </w:pPr>
      <w:r>
        <w:t>6. Security Requirements</w:t>
      </w:r>
    </w:p>
    <w:p>
      <w:r>
        <w:t>Least privilege; secret redaction; checksum/signature verification when available; source provenance; immutable audit records where practical; dependency risk reporting; explicit destructive operations.</w:t>
      </w:r>
    </w:p>
    <w:p>
      <w:pPr>
        <w:pStyle w:val="Heading1"/>
      </w:pPr>
      <w:r>
        <w:t>7. Non-Functional Requirements</w:t>
      </w:r>
    </w:p>
    <w:p>
      <w:r>
        <w:t>Modular, maintainable, observable, recoverable, performant, storage-aware and accessible. Fail gracefully with actionable diagnostics.</w:t>
      </w:r>
    </w:p>
    <w:p>
      <w:pPr>
        <w:pStyle w:val="Heading1"/>
      </w:pPr>
      <w:r>
        <w:t>8. Data Requirements</w:t>
      </w:r>
    </w:p>
    <w:p>
      <w:r>
        <w:t>Separate system state, registry cache, tool installations, logs, temporary data and user workspace. Cache cleanup must never remove protected workspace data.</w:t>
      </w:r>
    </w:p>
    <w:p>
      <w:pPr>
        <w:pStyle w:val="Heading1"/>
      </w:pPr>
      <w:r>
        <w:t>9. Compatibility</w:t>
      </w:r>
    </w:p>
    <w:p>
      <w:r>
        <w:t>Platform support matrix per tool. Unsupported combinations must fail clearly. Architecture detection is required.</w:t>
      </w:r>
    </w:p>
    <w:p>
      <w:pPr>
        <w:pStyle w:val="Heading1"/>
      </w:pPr>
      <w:r>
        <w:t>10. Future Compatibility</w:t>
      </w:r>
    </w:p>
    <w:p>
      <w:r>
        <w:t>Stable registry schema versions, installer adapter interfaces, migration strategy and feature flags.</w:t>
      </w:r>
    </w:p>
    <w:p>
      <w:pPr>
        <w:pStyle w:val="Heading1"/>
      </w:pPr>
      <w:r>
        <w:t>Change Control</w:t>
      </w:r>
    </w:p>
    <w:p>
      <w:r>
        <w:t>This baseline should evolve through versioned changes, Architecture Decision Records (ADRs), registry schema migrations and release notes. The documents should be maintained, not recreated from scratch.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