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CySec.env</w:t>
      </w:r>
    </w:p>
    <w:p>
      <w:pPr>
        <w:jc w:val="center"/>
      </w:pPr>
      <w:r>
        <w:rPr>
          <w:i/>
        </w:rPr>
        <w:t>One Environment. Every Tool.</w:t>
      </w:r>
    </w:p>
    <w:p>
      <w:pPr>
        <w:pStyle w:val="Title"/>
      </w:pPr>
      <w:r>
        <w:t>System Architecture</w:t>
      </w:r>
    </w:p>
    <w:p>
      <w:r>
        <w:t>Version 1.0 — Baseline Project Documentation</w:t>
      </w:r>
    </w:p>
    <w:p>
      <w:pPr>
        <w:pStyle w:val="Heading1"/>
      </w:pPr>
      <w:r>
        <w:t>1. Logical Architecture</w:t>
      </w:r>
    </w:p>
    <w:p>
      <w:r>
        <w:t>CLI -&gt; Command Router -&gt; Environment Manager -&gt; Tool Resolver -&gt; Installed State + Registry -&gt; Verification Engine -&gt; Installer Engine -&gt; Runtime/Platform Adapters -&gt; Tool Store -&gt; Command Shim -&gt; Execution.</w:t>
      </w:r>
    </w:p>
    <w:p>
      <w:pPr>
        <w:pStyle w:val="Heading1"/>
      </w:pPr>
      <w:r>
        <w:t>2. Components</w:t>
      </w:r>
    </w:p>
    <w:p>
      <w:r>
        <w:t>CLI, Config Manager, Environment Manager, Tool Resolver, Registry Manager, Installed Tool Database, Installer Engine, Installer Adapters, Verification Engine, Runtime Manager, Platform Adapter, Workspace Manager, Cache Manager, VPN Manager, Update Manager, Logging/Audit subsystem.</w:t>
      </w:r>
    </w:p>
    <w:p>
      <w:pPr>
        <w:pStyle w:val="Heading1"/>
      </w:pPr>
      <w:r>
        <w:t>3. Tool Resolution Flow</w:t>
      </w:r>
    </w:p>
    <w:p>
      <w:r>
        <w:t>Input command -&gt; builtin command check -&gt; installed shim check -&gt; alias resolution -&gt; registry lookup -&gt; supported-missing prompt -&gt; verified install -&gt; health check -&gt; shim creation -&gt; execute. Unknown commands may enter a separate explicit discovery flow.</w:t>
      </w:r>
    </w:p>
    <w:p>
      <w:pPr>
        <w:pStyle w:val="Heading1"/>
      </w:pPr>
      <w:r>
        <w:t>4. Storage Architecture</w:t>
      </w:r>
    </w:p>
    <w:p>
      <w:r>
        <w:t>Core application; shared runtimes; managed tools; command shims; registry snapshots; download/build cache; logs; configuration; persistent user workspace. Paths are platform-specific and must not be hard-coded in UX.</w:t>
      </w:r>
    </w:p>
    <w:p>
      <w:pPr>
        <w:pStyle w:val="Heading1"/>
      </w:pPr>
      <w:r>
        <w:t>5. Registry Architecture</w:t>
      </w:r>
    </w:p>
    <w:p>
      <w:r>
        <w:t>Versioned signed/verified metadata snapshots with local cache. Registry entries are data, not arbitrary executable shell scripts. Complex installation behavior uses reviewed manifests/adapters.</w:t>
      </w:r>
    </w:p>
    <w:p>
      <w:pPr>
        <w:pStyle w:val="Heading1"/>
      </w:pPr>
      <w:r>
        <w:t>6. Trust Architecture</w:t>
      </w:r>
    </w:p>
    <w:p>
      <w:r>
        <w:t>Official source evidence and integrity metadata are evaluated separately from mere repository existence. User-provided repositories remain untrusted unless verification criteria are met.</w:t>
      </w:r>
    </w:p>
    <w:p>
      <w:pPr>
        <w:pStyle w:val="Heading1"/>
      </w:pPr>
      <w:r>
        <w:t>7. Cross-Platform Architecture</w:t>
      </w:r>
    </w:p>
    <w:p>
      <w:r>
        <w:t>Common core plus Linux/macOS/Windows adapters. Native execution preferred. Containers/subsystems are explicit fallback strategies, not hidden behavior.</w:t>
      </w:r>
    </w:p>
    <w:p>
      <w:pPr>
        <w:pStyle w:val="Heading1"/>
      </w:pPr>
      <w:r>
        <w:t>8. Update Architecture</w:t>
      </w:r>
    </w:p>
    <w:p>
      <w:r>
        <w:t>Core, registry and tools update independently. Transactions should support rollback or safe failure where feasible.</w:t>
      </w:r>
    </w:p>
    <w:p>
      <w:pPr>
        <w:pStyle w:val="Heading1"/>
      </w:pPr>
      <w:r>
        <w:t>9. VPN Architecture</w:t>
      </w:r>
    </w:p>
    <w:p>
      <w:r>
        <w:t>Profile store, platform backend adapters, connection state and explicit routing policy. Credentials use platform secure storage when available.</w:t>
      </w:r>
    </w:p>
    <w:p>
      <w:pPr>
        <w:pStyle w:val="Heading1"/>
      </w:pPr>
      <w:r>
        <w:t>10. Future Architecture</w:t>
      </w:r>
    </w:p>
    <w:p>
      <w:r>
        <w:t>Plugin SDK, policy engine, remote registry mirror, offline repository and optional graphical client.</w:t>
      </w:r>
    </w:p>
    <w:p>
      <w:pPr>
        <w:pStyle w:val="Heading1"/>
      </w:pPr>
      <w:r>
        <w:t>Change Control</w:t>
      </w:r>
    </w:p>
    <w:p>
      <w:r>
        <w:t>This baseline should evolve through versioned changes, Architecture Decision Records (ADRs), registry schema migrations and release notes. The documents should be maintained, not recreated from scratch.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