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72A6" w14:textId="77777777" w:rsidR="002511C9" w:rsidRDefault="00000000">
      <w:pPr>
        <w:spacing w:after="160"/>
        <w:jc w:val="center"/>
      </w:pPr>
      <w:r>
        <w:rPr>
          <w:b/>
          <w:color w:val="0F2B5C"/>
          <w:sz w:val="36"/>
        </w:rPr>
        <w:t>Explainable Classification Models for Medical Diagnosis Prediction: A Multi-Domain Benchmark with SHAP and LIME Frameworks</w:t>
      </w:r>
    </w:p>
    <w:p w14:paraId="1E91F039" w14:textId="77777777" w:rsidR="002511C9" w:rsidRDefault="00000000">
      <w:pPr>
        <w:spacing w:after="60"/>
        <w:jc w:val="center"/>
      </w:pPr>
      <w:r>
        <w:rPr>
          <w:b/>
        </w:rPr>
        <w:t>Saraf Abhinav, Jai Vardhan, Srimaan, Ananya</w:t>
      </w:r>
    </w:p>
    <w:p w14:paraId="5FB96ABC" w14:textId="77777777" w:rsidR="002511C9" w:rsidRDefault="00000000">
      <w:pPr>
        <w:spacing w:after="40"/>
        <w:jc w:val="center"/>
      </w:pPr>
      <w:r>
        <w:rPr>
          <w:i/>
          <w:color w:val="555555"/>
          <w:sz w:val="20"/>
        </w:rPr>
        <w:t>Department of Computer Science and Engineering, Koneru Lakshmaiah Education Foundation (KLH University), Hyderabad, India</w:t>
      </w:r>
    </w:p>
    <w:p w14:paraId="674098B1" w14:textId="77777777" w:rsidR="002511C9" w:rsidRDefault="00000000">
      <w:pPr>
        <w:spacing w:after="40"/>
        <w:jc w:val="center"/>
      </w:pPr>
      <w:r>
        <w:rPr>
          <w:i/>
          <w:color w:val="555555"/>
          <w:sz w:val="20"/>
        </w:rPr>
        <w:t>Engineering Capstone Project – 1 (24DSB3101) — Project Research Paper</w:t>
      </w:r>
    </w:p>
    <w:p w14:paraId="342EBBCF" w14:textId="77777777" w:rsidR="002511C9" w:rsidRDefault="002511C9">
      <w:pPr>
        <w:pBdr>
          <w:bottom w:val="single" w:sz="12" w:space="1" w:color="0F2B5C"/>
        </w:pBdr>
        <w:spacing w:before="80" w:after="200"/>
      </w:pPr>
    </w:p>
    <w:tbl>
      <w:tblPr>
        <w:tblW w:w="0" w:type="auto"/>
        <w:jc w:val="center"/>
        <w:tblLook w:val="04A0" w:firstRow="1" w:lastRow="0" w:firstColumn="1" w:lastColumn="0" w:noHBand="0" w:noVBand="1"/>
      </w:tblPr>
      <w:tblGrid>
        <w:gridCol w:w="9360"/>
      </w:tblGrid>
      <w:tr w:rsidR="002511C9" w14:paraId="798374E4" w14:textId="77777777">
        <w:trPr>
          <w:jc w:val="center"/>
        </w:trPr>
        <w:tc>
          <w:tcPr>
            <w:tcW w:w="9360" w:type="dxa"/>
            <w:shd w:val="clear" w:color="auto" w:fill="F2F5F9"/>
            <w:tcMar>
              <w:top w:w="140" w:type="dxa"/>
              <w:left w:w="180" w:type="dxa"/>
              <w:bottom w:w="140" w:type="dxa"/>
              <w:right w:w="180" w:type="dxa"/>
            </w:tcMar>
          </w:tcPr>
          <w:p w14:paraId="7FE7B130" w14:textId="77777777" w:rsidR="002511C9" w:rsidRDefault="00000000">
            <w:pPr>
              <w:spacing w:after="80"/>
              <w:jc w:val="both"/>
            </w:pPr>
            <w:r>
              <w:rPr>
                <w:b/>
                <w:color w:val="0F2B5C"/>
                <w:sz w:val="20"/>
              </w:rPr>
              <w:t xml:space="preserve">ABSTRACT— </w:t>
            </w:r>
            <w:r>
              <w:rPr>
                <w:sz w:val="20"/>
              </w:rPr>
              <w:t>Clinical decision support systems increasingly leverage machine learning (ML) to improve early disease detection; however, clinical adoption remains heavily restricted by the opaque 'black-box' nature of complex predictive models. Physicians cannot blindly act upon algorithmic diagnoses without understanding the underlying physiological and clinical features driving that decision. This paper introduces a comprehensive, multi-domain framework leveraging Explainable Artificial Intelligence (XAI) to build transparent, high-performing classification pipelines across three distinct benchmark domains: cardiovascular pathology (Cleveland Heart Disease), endocrine metabolism (Pima Indians Diabetes), and tissue cytology oncology (Wisconsin Breast Cancer Diagnostic). The pipeline integrates missing clinical record imputation using Multivariate Imputation by Chained Equations (MICE), synthetic minority oversampling with Tomek link cleaning (SMOTE-Tomek), and robust interquartile scaling. We benchmark five diverse classification architectures: Logistic Regression, Decision Trees (CART), Random Forests, XGBoost, and CatBoost. To bridge predictive accuracy and clinical trust, the architecture incorporates dual-layer XAI using TreeSHAP and tabular LIME to decode both cohort-wide biomarker rankings and localized, patient-specific diagnostic rationales. Empirical results demonstrate that CatBoost and XGBoost achieve superior diagnostic discrimination, reaching ROC-AUC scores of 0.932 (Heart Disease), 0.884 (Diabetes), and 0.991 (Breast Cancer), paired with high clinical recall (0.912, 0.846, and 0.982, respectively) to mitigate critical diagnostic false negatives. Global SHAP analysis identified serum fluoroscopy vessel count, fasting glucose, and concave points worst as the most salient physiological drivers. The framework culminates in an interactive clinical decision support dashboard providing real-time local explanations to assist medical practitioners in making evidence-based diagnoses.</w:t>
            </w:r>
          </w:p>
          <w:p w14:paraId="76857918" w14:textId="77777777" w:rsidR="002511C9" w:rsidRDefault="00000000">
            <w:pPr>
              <w:spacing w:before="80" w:after="0"/>
            </w:pPr>
            <w:r>
              <w:rPr>
                <w:b/>
                <w:color w:val="0F2B5C"/>
                <w:sz w:val="19"/>
              </w:rPr>
              <w:t xml:space="preserve">Keywords: </w:t>
            </w:r>
            <w:r>
              <w:rPr>
                <w:i/>
                <w:sz w:val="19"/>
              </w:rPr>
              <w:t>Explainable Artificial Intelligence (XAI); Medical Diagnosis Prediction; SHAP; LIME; Gradient Boosting; Machine Learning in Healthcare; Clinical Decision Support Systems.</w:t>
            </w:r>
          </w:p>
        </w:tc>
      </w:tr>
    </w:tbl>
    <w:p w14:paraId="432853AD" w14:textId="77777777" w:rsidR="002511C9" w:rsidRDefault="002511C9">
      <w:pPr>
        <w:spacing w:after="80"/>
      </w:pPr>
    </w:p>
    <w:p w14:paraId="7D1EEFA2" w14:textId="77777777" w:rsidR="002511C9" w:rsidRDefault="00000000">
      <w:pPr>
        <w:keepNext/>
        <w:spacing w:before="280" w:after="80"/>
      </w:pPr>
      <w:r>
        <w:rPr>
          <w:b/>
          <w:color w:val="0F2B5C"/>
          <w:sz w:val="26"/>
        </w:rPr>
        <w:t>1. INTRODUCTION</w:t>
      </w:r>
    </w:p>
    <w:p w14:paraId="26DC0740" w14:textId="77777777" w:rsidR="002511C9" w:rsidRDefault="00000000">
      <w:pPr>
        <w:keepNext/>
        <w:spacing w:before="200" w:after="60"/>
      </w:pPr>
      <w:r>
        <w:rPr>
          <w:b/>
          <w:color w:val="1A3D7C"/>
          <w:sz w:val="23"/>
        </w:rPr>
        <w:t>1.1 Background</w:t>
      </w:r>
    </w:p>
    <w:p w14:paraId="620EDD38" w14:textId="77777777" w:rsidR="002511C9" w:rsidRDefault="00000000">
      <w:pPr>
        <w:jc w:val="both"/>
      </w:pPr>
      <w:r>
        <w:t xml:space="preserve">The integration of artificial intelligence and machine learning into healthcare informatics has accelerated early disease detection, clinical risk triage, and targeted therapeutic planning. Modern diagnostic workflows handle high-dimensional physiological datasets containing serum biomarkers, imaging parameters, dynamic vital signs, and longitudinal electronic health records (EHR). While complex ensemble algorithms and deep neural networks routinely outperform traditional linear clinical risk scoring models, their practical utility in direct patient care remains constrained. The non-linear transformations </w:t>
      </w:r>
      <w:r>
        <w:lastRenderedPageBreak/>
        <w:t>inherent to deep tree ensembles produce an opaque 'black-box' dynamic. In high-stakes healthcare scenarios, opaque algorithmic predictions are unacceptable; medical practitioners require justifiable physiological rationales before initiating invasive interventions or altering pharmacological regimens.</w:t>
      </w:r>
    </w:p>
    <w:p w14:paraId="6F49854F" w14:textId="77777777" w:rsidR="002511C9" w:rsidRDefault="00000000">
      <w:pPr>
        <w:keepNext/>
        <w:spacing w:before="200" w:after="60"/>
      </w:pPr>
      <w:r>
        <w:rPr>
          <w:b/>
          <w:color w:val="1A3D7C"/>
          <w:sz w:val="23"/>
        </w:rPr>
        <w:t>1.2 Problem Statement</w:t>
      </w:r>
    </w:p>
    <w:p w14:paraId="728C0AFA" w14:textId="77777777" w:rsidR="002511C9" w:rsidRDefault="00000000">
      <w:pPr>
        <w:jc w:val="both"/>
      </w:pPr>
      <w:r>
        <w:t>Despite high predictive accuracy, existing clinical machine learning deployments fail to bridge the semantic divide between statistical risk probability and pathophysiological etiology. When a model outputs a positive diagnosis without explaining the underlying clinical markers driving that output, healthcare practitioners cannot reliably detect algorithmic hallucinations, data leakage, or systemic clinical biases. The central research problem addressed herein is: How can ensemble classification pipelines achieve state-of-the-art diagnostic discrimination across varied physiological domains while delivering granular, mathematically rigorous, and clinically interpretable patient-level explanations without performance degradation?</w:t>
      </w:r>
    </w:p>
    <w:p w14:paraId="018E0C97" w14:textId="77777777" w:rsidR="002511C9" w:rsidRDefault="00000000">
      <w:pPr>
        <w:keepNext/>
        <w:spacing w:before="200" w:after="60"/>
      </w:pPr>
      <w:r>
        <w:rPr>
          <w:b/>
          <w:color w:val="1A3D7C"/>
          <w:sz w:val="23"/>
        </w:rPr>
        <w:t>1.3 Research Gap</w:t>
      </w:r>
    </w:p>
    <w:p w14:paraId="4185A265" w14:textId="77777777" w:rsidR="002511C9" w:rsidRDefault="00000000">
      <w:pPr>
        <w:jc w:val="both"/>
      </w:pPr>
      <w:r>
        <w:t>A thorough evaluation of existing medical informatics literature reveals three primary structural limitations. First, the majority of published studies validate diagnostic architectures on a single physiological condition (e.g., isolated cardiac risk or diabetic screening), failing to prove cross-domain generalizability across diverse data structures (tabular lab values vs. continuous cytologic geometries). Second, post-hoc interpretability is frequently treated as an auxiliary qualitative visualization rather than an integrated, mathematically aligned component of the diagnostic workflow. Third, standard evaluations focus disproportionately on raw accuracy, obscuring clinical cost asymmetry where false negatives (missed diagnoses) carry severe clinical risks compared to false positives.</w:t>
      </w:r>
    </w:p>
    <w:p w14:paraId="3EB3D69B" w14:textId="77777777" w:rsidR="002511C9" w:rsidRDefault="00000000">
      <w:pPr>
        <w:keepNext/>
        <w:spacing w:before="200" w:after="60"/>
      </w:pPr>
      <w:r>
        <w:rPr>
          <w:b/>
          <w:color w:val="1A3D7C"/>
          <w:sz w:val="23"/>
        </w:rPr>
        <w:t>1.4 Research Objectives</w:t>
      </w:r>
    </w:p>
    <w:p w14:paraId="143CDC6A" w14:textId="77777777" w:rsidR="002511C9" w:rsidRDefault="00000000">
      <w:pPr>
        <w:pStyle w:val="ListBullet"/>
        <w:spacing w:after="80"/>
      </w:pPr>
      <w:r>
        <w:rPr>
          <w:b/>
        </w:rPr>
        <w:t xml:space="preserve">Objective 1: </w:t>
      </w:r>
      <w:r>
        <w:t>Design an end-to-end medical classification architecture that incorporates clinical data preprocessing, robust exploratory analysis, and multi-model benchmarking across cardiovascular, metabolic, and oncological domains.</w:t>
      </w:r>
    </w:p>
    <w:p w14:paraId="7DE09BC1" w14:textId="77777777" w:rsidR="002511C9" w:rsidRDefault="00000000">
      <w:pPr>
        <w:pStyle w:val="ListBullet"/>
        <w:spacing w:after="80"/>
      </w:pPr>
      <w:r>
        <w:rPr>
          <w:b/>
        </w:rPr>
        <w:t xml:space="preserve">Objective 2: </w:t>
      </w:r>
      <w:r>
        <w:t>Evaluate and compare five baseline and advanced classification algorithms: Logistic Regression, Decision Trees, Random Forests, XGBoost, and CatBoost across clinical performance benchmarks.</w:t>
      </w:r>
    </w:p>
    <w:p w14:paraId="2CC445BB" w14:textId="77777777" w:rsidR="002511C9" w:rsidRDefault="00000000">
      <w:pPr>
        <w:pStyle w:val="ListBullet"/>
        <w:spacing w:after="80"/>
      </w:pPr>
      <w:r>
        <w:rPr>
          <w:b/>
        </w:rPr>
        <w:t xml:space="preserve">Objective 3: </w:t>
      </w:r>
      <w:r>
        <w:t>Implement dual-layer Explainable Artificial Intelligence (XAI) using Kernel SHAP, TreeSHAP, and tabular LIME to extract global cohort-level feature hierarchies and local patient-specific explanations.</w:t>
      </w:r>
    </w:p>
    <w:p w14:paraId="00B3F246" w14:textId="77777777" w:rsidR="002511C9" w:rsidRDefault="00000000">
      <w:pPr>
        <w:pStyle w:val="ListBullet"/>
        <w:spacing w:after="80"/>
      </w:pPr>
      <w:r>
        <w:rPr>
          <w:b/>
        </w:rPr>
        <w:t xml:space="preserve">Objective 4: </w:t>
      </w:r>
      <w:r>
        <w:t>Measure diagnostic efficacy using clinical-grade metrics prioritizing ROC-AUC, sensitivity/recall (minimizing false negatives), precision, F1-score, and calibration error.</w:t>
      </w:r>
    </w:p>
    <w:p w14:paraId="12622B05" w14:textId="77777777" w:rsidR="002511C9" w:rsidRDefault="00000000">
      <w:pPr>
        <w:pStyle w:val="ListBullet"/>
        <w:spacing w:after="80"/>
      </w:pPr>
      <w:r>
        <w:rPr>
          <w:b/>
        </w:rPr>
        <w:t xml:space="preserve">Objective 5: </w:t>
      </w:r>
      <w:r>
        <w:t>Deliver an interactive, evidence-based diagnostic support dashboard displaying model predictions alongside intelligible local biomarker attribution summaries for clinicians.</w:t>
      </w:r>
    </w:p>
    <w:p w14:paraId="5B190C26" w14:textId="77777777" w:rsidR="002511C9" w:rsidRDefault="00000000">
      <w:pPr>
        <w:keepNext/>
        <w:spacing w:before="200" w:after="60"/>
      </w:pPr>
      <w:r>
        <w:rPr>
          <w:b/>
          <w:color w:val="1A3D7C"/>
          <w:sz w:val="23"/>
        </w:rPr>
        <w:t>1.5 Research Questions</w:t>
      </w:r>
    </w:p>
    <w:p w14:paraId="6AF3EF06" w14:textId="77777777" w:rsidR="002511C9" w:rsidRDefault="00000000">
      <w:pPr>
        <w:pStyle w:val="ListBullet"/>
        <w:spacing w:after="80"/>
      </w:pPr>
      <w:r>
        <w:rPr>
          <w:b/>
        </w:rPr>
        <w:t xml:space="preserve">RQ1: </w:t>
      </w:r>
      <w:r>
        <w:t>How do advanced gradient boosted decision trees (XGBoost, CatBoost) compare to traditional statistical and linear classifiers in diagnostic accuracy, recall, and calibration across distinct clinical domains?</w:t>
      </w:r>
    </w:p>
    <w:p w14:paraId="2B2599D7" w14:textId="77777777" w:rsidR="002511C9" w:rsidRDefault="00000000">
      <w:pPr>
        <w:pStyle w:val="ListBullet"/>
        <w:spacing w:after="80"/>
      </w:pPr>
      <w:r>
        <w:rPr>
          <w:b/>
        </w:rPr>
        <w:lastRenderedPageBreak/>
        <w:t xml:space="preserve">RQ2: </w:t>
      </w:r>
      <w:r>
        <w:t>Do game-theoretic Shapley attributions (SHAP) and perturbation-based local linear approximations (LIME) converge on consistent critical biomarker sets for individual patient predictions?</w:t>
      </w:r>
    </w:p>
    <w:p w14:paraId="5C8B8CDE" w14:textId="77777777" w:rsidR="002511C9" w:rsidRDefault="00000000">
      <w:pPr>
        <w:pStyle w:val="ListBullet"/>
        <w:spacing w:after="80"/>
      </w:pPr>
      <w:r>
        <w:rPr>
          <w:b/>
        </w:rPr>
        <w:t xml:space="preserve">RQ3: </w:t>
      </w:r>
      <w:r>
        <w:t>Does the implementation of domain-agnostic tabular preprocessing pipelines maintain diagnostic robustness against imbalanced cohorts and high-dimensional clinical noise?</w:t>
      </w:r>
    </w:p>
    <w:p w14:paraId="70A81097" w14:textId="77777777" w:rsidR="002511C9" w:rsidRDefault="00000000">
      <w:pPr>
        <w:pStyle w:val="ListBullet"/>
        <w:spacing w:after="80"/>
      </w:pPr>
      <w:r>
        <w:rPr>
          <w:b/>
        </w:rPr>
        <w:t xml:space="preserve">RQ4: </w:t>
      </w:r>
      <w:r>
        <w:t>How can local feature attribution breakdowns be structured into clinical user interfaces to accelerate clinical diagnostic validation?</w:t>
      </w:r>
    </w:p>
    <w:p w14:paraId="7A9158ED" w14:textId="77777777" w:rsidR="002511C9" w:rsidRDefault="00000000">
      <w:pPr>
        <w:keepNext/>
        <w:spacing w:before="200" w:after="60"/>
      </w:pPr>
      <w:r>
        <w:rPr>
          <w:b/>
          <w:color w:val="1A3D7C"/>
          <w:sz w:val="23"/>
        </w:rPr>
        <w:t>1.6 Contributions</w:t>
      </w:r>
    </w:p>
    <w:p w14:paraId="350D87D7" w14:textId="77777777" w:rsidR="002511C9" w:rsidRDefault="00000000">
      <w:pPr>
        <w:pStyle w:val="ListBullet"/>
        <w:spacing w:after="80"/>
      </w:pPr>
      <w:r>
        <w:rPr>
          <w:b/>
        </w:rPr>
        <w:t xml:space="preserve">Multi-Domain Clinical Benchmark: </w:t>
      </w:r>
      <w:r>
        <w:t>An empirical evaluation demonstrating model transferability across three clinical archetypes: cardiovascular pathology (Cleveland Clinic), endocrine metabolism (Pima Indians Diabetes), and tissue cytology oncology (Wisconsin Breast Cancer).</w:t>
      </w:r>
    </w:p>
    <w:p w14:paraId="632113CD" w14:textId="77777777" w:rsidR="002511C9" w:rsidRDefault="00000000">
      <w:pPr>
        <w:pStyle w:val="ListBullet"/>
        <w:spacing w:after="80"/>
      </w:pPr>
      <w:r>
        <w:rPr>
          <w:b/>
        </w:rPr>
        <w:t xml:space="preserve">Dual-XAI Reconciliation: </w:t>
      </w:r>
      <w:r>
        <w:t>An empirical comparison between TreeSHAP and tabular LIME that assesses explanatory convergence, stability, and computational latency in production clinical environments.</w:t>
      </w:r>
    </w:p>
    <w:p w14:paraId="0701915E" w14:textId="77777777" w:rsidR="002511C9" w:rsidRDefault="00000000">
      <w:pPr>
        <w:pStyle w:val="ListBullet"/>
        <w:spacing w:after="80"/>
      </w:pPr>
      <w:r>
        <w:rPr>
          <w:b/>
        </w:rPr>
        <w:t xml:space="preserve">Clinical Calibration &amp; Asymmetric Optimization: </w:t>
      </w:r>
      <w:r>
        <w:t>A tuning strategy tailored for medical decision thresholds that minimizes false-negative rates without triggering high false-positive alarms.</w:t>
      </w:r>
    </w:p>
    <w:p w14:paraId="62327A38" w14:textId="77777777" w:rsidR="002511C9" w:rsidRDefault="00000000">
      <w:pPr>
        <w:pStyle w:val="ListBullet"/>
        <w:spacing w:after="80"/>
      </w:pPr>
      <w:r>
        <w:rPr>
          <w:b/>
        </w:rPr>
        <w:t xml:space="preserve">Interactive Clinical Dashboard: </w:t>
      </w:r>
      <w:r>
        <w:t>A deployed software prototype that renders real-time multi-model diagnostic inferences alongside force plots, waterfall charts, and local risk factor breakdowns for clinicians.</w:t>
      </w:r>
    </w:p>
    <w:p w14:paraId="4587A397" w14:textId="77777777" w:rsidR="002511C9" w:rsidRDefault="00000000">
      <w:pPr>
        <w:keepNext/>
        <w:spacing w:before="200" w:after="60"/>
      </w:pPr>
      <w:r>
        <w:rPr>
          <w:b/>
          <w:color w:val="1A3D7C"/>
          <w:sz w:val="23"/>
        </w:rPr>
        <w:t>1.7 Organization of the Paper</w:t>
      </w:r>
    </w:p>
    <w:p w14:paraId="7F9BAB3F" w14:textId="77777777" w:rsidR="002511C9" w:rsidRDefault="00000000">
      <w:pPr>
        <w:jc w:val="both"/>
      </w:pPr>
      <w:r>
        <w:t>Section 2 systematically reviews 20 foundational and recent works across medical AI and interpretability frameworks. Section 3 details the end-to-end methodology, dataset architectures, preprocessing protocols, exploratory analysis, and mathematical formulations. Section 4 describes the experimental setup, hardware specifications, hyperparameter tuning, and validation strategies. Section 5 presents empirical performance results, cross-model comparisons, and XAI visualizations. Section 6 provides an in-depth clinical discussion. Section 7 identifies study limitations, and Section 8 concludes with directions for future research.</w:t>
      </w:r>
    </w:p>
    <w:p w14:paraId="12059676" w14:textId="77777777" w:rsidR="002511C9" w:rsidRDefault="00000000">
      <w:pPr>
        <w:keepNext/>
        <w:spacing w:before="280" w:after="80"/>
      </w:pPr>
      <w:r>
        <w:rPr>
          <w:b/>
          <w:color w:val="0F2B5C"/>
          <w:sz w:val="26"/>
        </w:rPr>
        <w:t>2. RELATED WORK</w:t>
      </w:r>
    </w:p>
    <w:p w14:paraId="7B69E908" w14:textId="77777777" w:rsidR="002511C9" w:rsidRDefault="00000000">
      <w:pPr>
        <w:keepNext/>
        <w:spacing w:before="200" w:after="60"/>
      </w:pPr>
      <w:r>
        <w:rPr>
          <w:b/>
          <w:color w:val="1A3D7C"/>
          <w:sz w:val="23"/>
        </w:rPr>
        <w:t>2.1 Existing Approaches</w:t>
      </w:r>
    </w:p>
    <w:p w14:paraId="291DD2A4" w14:textId="77777777" w:rsidR="002511C9" w:rsidRDefault="00000000">
      <w:pPr>
        <w:jc w:val="both"/>
      </w:pPr>
      <w:r>
        <w:t>Early clinical decision support systems relied heavily on expert heuristic rules, Bayesian networks, and generalized linear models [1], [4]. Classical scoring protocols such as the Framingham Risk Score and APACHE indices gained widespread clinical adoption due to their linear transparency. However, linear models assume additive biomarker independence, limiting their capacity to model complex synergistic biochemical pathways and non-linear disease progressions [3], [17].</w:t>
      </w:r>
    </w:p>
    <w:p w14:paraId="7826A56E" w14:textId="77777777" w:rsidR="002511C9" w:rsidRDefault="00000000">
      <w:pPr>
        <w:keepNext/>
        <w:spacing w:before="200" w:after="60"/>
      </w:pPr>
      <w:r>
        <w:rPr>
          <w:b/>
          <w:color w:val="1A3D7C"/>
          <w:sz w:val="23"/>
        </w:rPr>
        <w:t>2.2 Machine Learning and Computational Approaches</w:t>
      </w:r>
    </w:p>
    <w:p w14:paraId="7DA57494" w14:textId="77777777" w:rsidR="002511C9" w:rsidRDefault="00000000">
      <w:pPr>
        <w:jc w:val="both"/>
      </w:pPr>
      <w:r>
        <w:t xml:space="preserve">The development of tree ensemble algorithms established new standards in tabular clinical predictive performance [5], [6]. Breiman demonstrated that Random Forests mitigate variance and combat overfitting across noisy medical records [5]. Subsequent gradient boosting paradigms, specifically XGBoost [6] and CatBoost [8], introduced advanced regularization and categorical feature handling that </w:t>
      </w:r>
      <w:r>
        <w:lastRenderedPageBreak/>
        <w:t>routinely outperform deep neural networks on tabular electronic health records [12]. Recent studies by Nassif et al. [23] and Almustafa [24] verified the high classification accuracy of ensemble models across cardiology and diabetology benchmarks.</w:t>
      </w:r>
    </w:p>
    <w:p w14:paraId="4F764947" w14:textId="77777777" w:rsidR="002511C9" w:rsidRDefault="00000000">
      <w:pPr>
        <w:keepNext/>
        <w:spacing w:before="200" w:after="60"/>
      </w:pPr>
      <w:r>
        <w:rPr>
          <w:b/>
          <w:color w:val="1A3D7C"/>
          <w:sz w:val="23"/>
        </w:rPr>
        <w:t>2.3 Advanced and Deep Healthcare Analytics</w:t>
      </w:r>
    </w:p>
    <w:p w14:paraId="07E5F7D9" w14:textId="77777777" w:rsidR="002511C9" w:rsidRDefault="00000000">
      <w:pPr>
        <w:jc w:val="both"/>
      </w:pPr>
      <w:r>
        <w:t>Deep learning architectures have revolutionized medical computer vision, including dermatology screening [9] and radiographic chest diagnostics [11]. In intensive care monitoring, deep learning models capture temporal physiological trends [10], [21]. However, on bounded tabular panels, deep neural networks often suffer from overfitting, extensive hyperparameter sensitivity, and excessive computational demands [12], making regularized gradient boosted decision trees the preferred choice for clinical tabular data.</w:t>
      </w:r>
    </w:p>
    <w:p w14:paraId="1C61E526" w14:textId="77777777" w:rsidR="002511C9" w:rsidRDefault="00000000">
      <w:pPr>
        <w:keepNext/>
        <w:spacing w:before="200" w:after="60"/>
      </w:pPr>
      <w:r>
        <w:rPr>
          <w:b/>
          <w:color w:val="1A3D7C"/>
          <w:sz w:val="23"/>
        </w:rPr>
        <w:t>2.4 Explainability and Interpretability in Medical AI</w:t>
      </w:r>
    </w:p>
    <w:p w14:paraId="72A0A7D0" w14:textId="77777777" w:rsidR="002511C9" w:rsidRDefault="00000000">
      <w:pPr>
        <w:jc w:val="both"/>
      </w:pPr>
      <w:r>
        <w:t>To address the black-box dilemma in healthcare, post-hoc explainability has become a vital research focus [13], [14], [22]. Ribeiro et al. formulated LIME, utilizing localized perturbations to approximate complex decision boundaries with interpretable linear surrogates [13]. Lundberg and Lee introduced SHAP, applying cooperative game theory to satisfy local accuracy, missingness, and consistency axioms [14]. Lundberg et al. extended this with TreeSHAP, enabling exact polynomial-time Shapley computation for tree ensembles in critical care medicine [15]. Ahmad et al. [16] and Amann et al. [32] emphasized that for algorithmic tools to gain clinical trust, post-hoc explanations must demonstrate mathematical consistency and clinical alignment.</w:t>
      </w:r>
    </w:p>
    <w:p w14:paraId="1852BB92" w14:textId="77777777" w:rsidR="002511C9" w:rsidRDefault="00000000">
      <w:pPr>
        <w:keepNext/>
        <w:spacing w:before="200" w:after="60"/>
      </w:pPr>
      <w:r>
        <w:rPr>
          <w:b/>
          <w:color w:val="1A3D7C"/>
          <w:sz w:val="23"/>
        </w:rPr>
        <w:t>2.5 Critical Comparison</w:t>
      </w:r>
    </w:p>
    <w:p w14:paraId="38F27DD2" w14:textId="77777777" w:rsidR="002511C9" w:rsidRDefault="00000000">
      <w:pPr>
        <w:jc w:val="both"/>
      </w:pPr>
      <w:r>
        <w:t>Table 1 summarizes 20 representative benchmark studies in clinical machine learning and XAI, highlighting their primary contributions and identified research gaps.</w:t>
      </w:r>
    </w:p>
    <w:tbl>
      <w:tblPr>
        <w:tblW w:w="0" w:type="auto"/>
        <w:jc w:val="center"/>
        <w:tblLook w:val="04A0" w:firstRow="1" w:lastRow="0" w:firstColumn="1" w:lastColumn="0" w:noHBand="0" w:noVBand="1"/>
      </w:tblPr>
      <w:tblGrid>
        <w:gridCol w:w="576"/>
        <w:gridCol w:w="3168"/>
        <w:gridCol w:w="3168"/>
        <w:gridCol w:w="2448"/>
      </w:tblGrid>
      <w:tr w:rsidR="002511C9" w14:paraId="17D0C952" w14:textId="77777777">
        <w:trPr>
          <w:jc w:val="center"/>
        </w:trPr>
        <w:tc>
          <w:tcPr>
            <w:tcW w:w="576" w:type="dxa"/>
            <w:shd w:val="clear" w:color="auto" w:fill="0F2B5C"/>
            <w:tcMar>
              <w:top w:w="100" w:type="dxa"/>
              <w:left w:w="100" w:type="dxa"/>
              <w:bottom w:w="100" w:type="dxa"/>
              <w:right w:w="100" w:type="dxa"/>
            </w:tcMar>
          </w:tcPr>
          <w:p w14:paraId="49D1BA74" w14:textId="77777777" w:rsidR="002511C9" w:rsidRDefault="00000000">
            <w:pPr>
              <w:jc w:val="center"/>
            </w:pPr>
            <w:r>
              <w:rPr>
                <w:b/>
                <w:color w:val="FFFFFF"/>
                <w:sz w:val="19"/>
              </w:rPr>
              <w:t>#</w:t>
            </w:r>
          </w:p>
        </w:tc>
        <w:tc>
          <w:tcPr>
            <w:tcW w:w="3168" w:type="dxa"/>
            <w:shd w:val="clear" w:color="auto" w:fill="0F2B5C"/>
            <w:tcMar>
              <w:top w:w="100" w:type="dxa"/>
              <w:left w:w="100" w:type="dxa"/>
              <w:bottom w:w="100" w:type="dxa"/>
              <w:right w:w="100" w:type="dxa"/>
            </w:tcMar>
          </w:tcPr>
          <w:p w14:paraId="0DEAD3D4" w14:textId="77777777" w:rsidR="002511C9" w:rsidRDefault="00000000">
            <w:pPr>
              <w:jc w:val="center"/>
            </w:pPr>
            <w:r>
              <w:rPr>
                <w:b/>
                <w:color w:val="FFFFFF"/>
                <w:sz w:val="19"/>
              </w:rPr>
              <w:t>Study / Publication</w:t>
            </w:r>
          </w:p>
        </w:tc>
        <w:tc>
          <w:tcPr>
            <w:tcW w:w="3168" w:type="dxa"/>
            <w:shd w:val="clear" w:color="auto" w:fill="0F2B5C"/>
            <w:tcMar>
              <w:top w:w="100" w:type="dxa"/>
              <w:left w:w="100" w:type="dxa"/>
              <w:bottom w:w="100" w:type="dxa"/>
              <w:right w:w="100" w:type="dxa"/>
            </w:tcMar>
          </w:tcPr>
          <w:p w14:paraId="04CD1DC6" w14:textId="77777777" w:rsidR="002511C9" w:rsidRDefault="00000000">
            <w:pPr>
              <w:jc w:val="center"/>
            </w:pPr>
            <w:r>
              <w:rPr>
                <w:b/>
                <w:color w:val="FFFFFF"/>
                <w:sz w:val="19"/>
              </w:rPr>
              <w:t>Key Contribution</w:t>
            </w:r>
          </w:p>
        </w:tc>
        <w:tc>
          <w:tcPr>
            <w:tcW w:w="2448" w:type="dxa"/>
            <w:shd w:val="clear" w:color="auto" w:fill="0F2B5C"/>
            <w:tcMar>
              <w:top w:w="100" w:type="dxa"/>
              <w:left w:w="100" w:type="dxa"/>
              <w:bottom w:w="100" w:type="dxa"/>
              <w:right w:w="100" w:type="dxa"/>
            </w:tcMar>
          </w:tcPr>
          <w:p w14:paraId="4BFBD96B" w14:textId="77777777" w:rsidR="002511C9" w:rsidRDefault="00000000">
            <w:pPr>
              <w:jc w:val="center"/>
            </w:pPr>
            <w:r>
              <w:rPr>
                <w:b/>
                <w:color w:val="FFFFFF"/>
                <w:sz w:val="19"/>
              </w:rPr>
              <w:t>Identified Limitation</w:t>
            </w:r>
          </w:p>
        </w:tc>
      </w:tr>
      <w:tr w:rsidR="002511C9" w14:paraId="3A15FB62" w14:textId="77777777">
        <w:trPr>
          <w:jc w:val="center"/>
        </w:trPr>
        <w:tc>
          <w:tcPr>
            <w:tcW w:w="576" w:type="dxa"/>
            <w:shd w:val="clear" w:color="auto" w:fill="F9FAFC"/>
            <w:tcMar>
              <w:top w:w="60" w:type="dxa"/>
              <w:left w:w="80" w:type="dxa"/>
              <w:bottom w:w="60" w:type="dxa"/>
              <w:right w:w="80" w:type="dxa"/>
            </w:tcMar>
          </w:tcPr>
          <w:p w14:paraId="3FC81466" w14:textId="77777777" w:rsidR="002511C9" w:rsidRDefault="00000000">
            <w:pPr>
              <w:spacing w:after="0" w:line="264" w:lineRule="auto"/>
              <w:jc w:val="center"/>
            </w:pPr>
            <w:r>
              <w:rPr>
                <w:sz w:val="17"/>
              </w:rPr>
              <w:t>1</w:t>
            </w:r>
          </w:p>
        </w:tc>
        <w:tc>
          <w:tcPr>
            <w:tcW w:w="3168" w:type="dxa"/>
            <w:shd w:val="clear" w:color="auto" w:fill="F9FAFC"/>
            <w:tcMar>
              <w:top w:w="60" w:type="dxa"/>
              <w:left w:w="80" w:type="dxa"/>
              <w:bottom w:w="60" w:type="dxa"/>
              <w:right w:w="80" w:type="dxa"/>
            </w:tcMar>
          </w:tcPr>
          <w:p w14:paraId="79C35D13" w14:textId="77777777" w:rsidR="002511C9" w:rsidRDefault="00000000">
            <w:pPr>
              <w:spacing w:after="0" w:line="264" w:lineRule="auto"/>
            </w:pPr>
            <w:r>
              <w:rPr>
                <w:sz w:val="17"/>
              </w:rPr>
              <w:t>Detrano et al. (1989) [17]</w:t>
            </w:r>
          </w:p>
        </w:tc>
        <w:tc>
          <w:tcPr>
            <w:tcW w:w="3168" w:type="dxa"/>
            <w:shd w:val="clear" w:color="auto" w:fill="F9FAFC"/>
            <w:tcMar>
              <w:top w:w="60" w:type="dxa"/>
              <w:left w:w="80" w:type="dxa"/>
              <w:bottom w:w="60" w:type="dxa"/>
              <w:right w:w="80" w:type="dxa"/>
            </w:tcMar>
          </w:tcPr>
          <w:p w14:paraId="56D6A1CE" w14:textId="77777777" w:rsidR="002511C9" w:rsidRDefault="00000000">
            <w:pPr>
              <w:spacing w:after="0" w:line="264" w:lineRule="auto"/>
            </w:pPr>
            <w:r>
              <w:rPr>
                <w:sz w:val="17"/>
              </w:rPr>
              <w:t>Established Cleveland CAD diagnostic baseline.</w:t>
            </w:r>
          </w:p>
        </w:tc>
        <w:tc>
          <w:tcPr>
            <w:tcW w:w="2448" w:type="dxa"/>
            <w:shd w:val="clear" w:color="auto" w:fill="F9FAFC"/>
            <w:tcMar>
              <w:top w:w="60" w:type="dxa"/>
              <w:left w:w="80" w:type="dxa"/>
              <w:bottom w:w="60" w:type="dxa"/>
              <w:right w:w="80" w:type="dxa"/>
            </w:tcMar>
          </w:tcPr>
          <w:p w14:paraId="030A3814" w14:textId="77777777" w:rsidR="002511C9" w:rsidRDefault="00000000">
            <w:pPr>
              <w:spacing w:after="0" w:line="264" w:lineRule="auto"/>
            </w:pPr>
            <w:r>
              <w:rPr>
                <w:sz w:val="17"/>
              </w:rPr>
              <w:t>Strict linear assumptions miss non-linear physiological cascades.</w:t>
            </w:r>
          </w:p>
        </w:tc>
      </w:tr>
      <w:tr w:rsidR="002511C9" w14:paraId="47B27339" w14:textId="77777777">
        <w:trPr>
          <w:jc w:val="center"/>
        </w:trPr>
        <w:tc>
          <w:tcPr>
            <w:tcW w:w="576" w:type="dxa"/>
            <w:shd w:val="clear" w:color="auto" w:fill="FFFFFF"/>
            <w:tcMar>
              <w:top w:w="60" w:type="dxa"/>
              <w:left w:w="80" w:type="dxa"/>
              <w:bottom w:w="60" w:type="dxa"/>
              <w:right w:w="80" w:type="dxa"/>
            </w:tcMar>
          </w:tcPr>
          <w:p w14:paraId="7859A735" w14:textId="77777777" w:rsidR="002511C9" w:rsidRDefault="00000000">
            <w:pPr>
              <w:spacing w:after="0" w:line="264" w:lineRule="auto"/>
              <w:jc w:val="center"/>
            </w:pPr>
            <w:r>
              <w:rPr>
                <w:sz w:val="17"/>
              </w:rPr>
              <w:t>2</w:t>
            </w:r>
          </w:p>
        </w:tc>
        <w:tc>
          <w:tcPr>
            <w:tcW w:w="3168" w:type="dxa"/>
            <w:shd w:val="clear" w:color="auto" w:fill="FFFFFF"/>
            <w:tcMar>
              <w:top w:w="60" w:type="dxa"/>
              <w:left w:w="80" w:type="dxa"/>
              <w:bottom w:w="60" w:type="dxa"/>
              <w:right w:w="80" w:type="dxa"/>
            </w:tcMar>
          </w:tcPr>
          <w:p w14:paraId="22708D79" w14:textId="77777777" w:rsidR="002511C9" w:rsidRDefault="00000000">
            <w:pPr>
              <w:spacing w:after="0" w:line="264" w:lineRule="auto"/>
            </w:pPr>
            <w:r>
              <w:rPr>
                <w:sz w:val="17"/>
              </w:rPr>
              <w:t>Smith et al. (1988) [18]</w:t>
            </w:r>
          </w:p>
        </w:tc>
        <w:tc>
          <w:tcPr>
            <w:tcW w:w="3168" w:type="dxa"/>
            <w:shd w:val="clear" w:color="auto" w:fill="FFFFFF"/>
            <w:tcMar>
              <w:top w:w="60" w:type="dxa"/>
              <w:left w:w="80" w:type="dxa"/>
              <w:bottom w:w="60" w:type="dxa"/>
              <w:right w:w="80" w:type="dxa"/>
            </w:tcMar>
          </w:tcPr>
          <w:p w14:paraId="52F0201D" w14:textId="77777777" w:rsidR="002511C9" w:rsidRDefault="00000000">
            <w:pPr>
              <w:spacing w:after="0" w:line="264" w:lineRule="auto"/>
            </w:pPr>
            <w:r>
              <w:rPr>
                <w:sz w:val="17"/>
              </w:rPr>
              <w:t>Evaluated early ADAP neural network on Pima data.</w:t>
            </w:r>
          </w:p>
        </w:tc>
        <w:tc>
          <w:tcPr>
            <w:tcW w:w="2448" w:type="dxa"/>
            <w:shd w:val="clear" w:color="auto" w:fill="FFFFFF"/>
            <w:tcMar>
              <w:top w:w="60" w:type="dxa"/>
              <w:left w:w="80" w:type="dxa"/>
              <w:bottom w:w="60" w:type="dxa"/>
              <w:right w:w="80" w:type="dxa"/>
            </w:tcMar>
          </w:tcPr>
          <w:p w14:paraId="610CEB79" w14:textId="77777777" w:rsidR="002511C9" w:rsidRDefault="00000000">
            <w:pPr>
              <w:spacing w:after="0" w:line="264" w:lineRule="auto"/>
            </w:pPr>
            <w:r>
              <w:rPr>
                <w:sz w:val="17"/>
              </w:rPr>
              <w:t>High false-negative rate; zero clinical interpretability.</w:t>
            </w:r>
          </w:p>
        </w:tc>
      </w:tr>
      <w:tr w:rsidR="002511C9" w14:paraId="6D0EC71A" w14:textId="77777777">
        <w:trPr>
          <w:jc w:val="center"/>
        </w:trPr>
        <w:tc>
          <w:tcPr>
            <w:tcW w:w="576" w:type="dxa"/>
            <w:shd w:val="clear" w:color="auto" w:fill="F9FAFC"/>
            <w:tcMar>
              <w:top w:w="60" w:type="dxa"/>
              <w:left w:w="80" w:type="dxa"/>
              <w:bottom w:w="60" w:type="dxa"/>
              <w:right w:w="80" w:type="dxa"/>
            </w:tcMar>
          </w:tcPr>
          <w:p w14:paraId="23FB2B9F" w14:textId="77777777" w:rsidR="002511C9" w:rsidRDefault="00000000">
            <w:pPr>
              <w:spacing w:after="0" w:line="264" w:lineRule="auto"/>
              <w:jc w:val="center"/>
            </w:pPr>
            <w:r>
              <w:rPr>
                <w:sz w:val="17"/>
              </w:rPr>
              <w:t>3</w:t>
            </w:r>
          </w:p>
        </w:tc>
        <w:tc>
          <w:tcPr>
            <w:tcW w:w="3168" w:type="dxa"/>
            <w:shd w:val="clear" w:color="auto" w:fill="F9FAFC"/>
            <w:tcMar>
              <w:top w:w="60" w:type="dxa"/>
              <w:left w:w="80" w:type="dxa"/>
              <w:bottom w:w="60" w:type="dxa"/>
              <w:right w:w="80" w:type="dxa"/>
            </w:tcMar>
          </w:tcPr>
          <w:p w14:paraId="75C54B66" w14:textId="77777777" w:rsidR="002511C9" w:rsidRDefault="00000000">
            <w:pPr>
              <w:spacing w:after="0" w:line="264" w:lineRule="auto"/>
            </w:pPr>
            <w:r>
              <w:rPr>
                <w:sz w:val="17"/>
              </w:rPr>
              <w:t>Street et al. (1993) [19]</w:t>
            </w:r>
          </w:p>
        </w:tc>
        <w:tc>
          <w:tcPr>
            <w:tcW w:w="3168" w:type="dxa"/>
            <w:shd w:val="clear" w:color="auto" w:fill="F9FAFC"/>
            <w:tcMar>
              <w:top w:w="60" w:type="dxa"/>
              <w:left w:w="80" w:type="dxa"/>
              <w:bottom w:w="60" w:type="dxa"/>
              <w:right w:w="80" w:type="dxa"/>
            </w:tcMar>
          </w:tcPr>
          <w:p w14:paraId="2CEA83B0" w14:textId="77777777" w:rsidR="002511C9" w:rsidRDefault="00000000">
            <w:pPr>
              <w:spacing w:after="0" w:line="264" w:lineRule="auto"/>
            </w:pPr>
            <w:r>
              <w:rPr>
                <w:sz w:val="17"/>
              </w:rPr>
              <w:t>Formulated nuclear features from FNA images.</w:t>
            </w:r>
          </w:p>
        </w:tc>
        <w:tc>
          <w:tcPr>
            <w:tcW w:w="2448" w:type="dxa"/>
            <w:shd w:val="clear" w:color="auto" w:fill="F9FAFC"/>
            <w:tcMar>
              <w:top w:w="60" w:type="dxa"/>
              <w:left w:w="80" w:type="dxa"/>
              <w:bottom w:w="60" w:type="dxa"/>
              <w:right w:w="80" w:type="dxa"/>
            </w:tcMar>
          </w:tcPr>
          <w:p w14:paraId="3BCAC5B0" w14:textId="77777777" w:rsidR="002511C9" w:rsidRDefault="00000000">
            <w:pPr>
              <w:spacing w:after="0" w:line="264" w:lineRule="auto"/>
            </w:pPr>
            <w:r>
              <w:rPr>
                <w:sz w:val="17"/>
              </w:rPr>
              <w:t>Lacked non-linear ensemble modeling and probabilistic calibration.</w:t>
            </w:r>
          </w:p>
        </w:tc>
      </w:tr>
      <w:tr w:rsidR="002511C9" w14:paraId="213C9EC9" w14:textId="77777777">
        <w:trPr>
          <w:jc w:val="center"/>
        </w:trPr>
        <w:tc>
          <w:tcPr>
            <w:tcW w:w="576" w:type="dxa"/>
            <w:shd w:val="clear" w:color="auto" w:fill="FFFFFF"/>
            <w:tcMar>
              <w:top w:w="60" w:type="dxa"/>
              <w:left w:w="80" w:type="dxa"/>
              <w:bottom w:w="60" w:type="dxa"/>
              <w:right w:w="80" w:type="dxa"/>
            </w:tcMar>
          </w:tcPr>
          <w:p w14:paraId="6AF92C4D" w14:textId="77777777" w:rsidR="002511C9" w:rsidRDefault="00000000">
            <w:pPr>
              <w:spacing w:after="0" w:line="264" w:lineRule="auto"/>
              <w:jc w:val="center"/>
            </w:pPr>
            <w:r>
              <w:rPr>
                <w:sz w:val="17"/>
              </w:rPr>
              <w:t>4</w:t>
            </w:r>
          </w:p>
        </w:tc>
        <w:tc>
          <w:tcPr>
            <w:tcW w:w="3168" w:type="dxa"/>
            <w:shd w:val="clear" w:color="auto" w:fill="FFFFFF"/>
            <w:tcMar>
              <w:top w:w="60" w:type="dxa"/>
              <w:left w:w="80" w:type="dxa"/>
              <w:bottom w:w="60" w:type="dxa"/>
              <w:right w:w="80" w:type="dxa"/>
            </w:tcMar>
          </w:tcPr>
          <w:p w14:paraId="7425698D" w14:textId="77777777" w:rsidR="002511C9" w:rsidRDefault="00000000">
            <w:pPr>
              <w:spacing w:after="0" w:line="264" w:lineRule="auto"/>
            </w:pPr>
            <w:r>
              <w:rPr>
                <w:sz w:val="17"/>
              </w:rPr>
              <w:t>Caruana et al. (2015) [20]</w:t>
            </w:r>
          </w:p>
        </w:tc>
        <w:tc>
          <w:tcPr>
            <w:tcW w:w="3168" w:type="dxa"/>
            <w:shd w:val="clear" w:color="auto" w:fill="FFFFFF"/>
            <w:tcMar>
              <w:top w:w="60" w:type="dxa"/>
              <w:left w:w="80" w:type="dxa"/>
              <w:bottom w:w="60" w:type="dxa"/>
              <w:right w:w="80" w:type="dxa"/>
            </w:tcMar>
          </w:tcPr>
          <w:p w14:paraId="5A4F2F7F" w14:textId="77777777" w:rsidR="002511C9" w:rsidRDefault="00000000">
            <w:pPr>
              <w:spacing w:after="0" w:line="264" w:lineRule="auto"/>
            </w:pPr>
            <w:r>
              <w:rPr>
                <w:sz w:val="17"/>
              </w:rPr>
              <w:t>Generalized Additive Models (GA2Ms) for pneumonia.</w:t>
            </w:r>
          </w:p>
        </w:tc>
        <w:tc>
          <w:tcPr>
            <w:tcW w:w="2448" w:type="dxa"/>
            <w:shd w:val="clear" w:color="auto" w:fill="FFFFFF"/>
            <w:tcMar>
              <w:top w:w="60" w:type="dxa"/>
              <w:left w:w="80" w:type="dxa"/>
              <w:bottom w:w="60" w:type="dxa"/>
              <w:right w:w="80" w:type="dxa"/>
            </w:tcMar>
          </w:tcPr>
          <w:p w14:paraId="2ADDFCEB" w14:textId="77777777" w:rsidR="002511C9" w:rsidRDefault="00000000">
            <w:pPr>
              <w:spacing w:after="0" w:line="264" w:lineRule="auto"/>
            </w:pPr>
            <w:r>
              <w:rPr>
                <w:sz w:val="17"/>
              </w:rPr>
              <w:t>Scales poorly to high dimensions; restricted model hypothesis space.</w:t>
            </w:r>
          </w:p>
        </w:tc>
      </w:tr>
      <w:tr w:rsidR="002511C9" w14:paraId="2704A509" w14:textId="77777777">
        <w:trPr>
          <w:jc w:val="center"/>
        </w:trPr>
        <w:tc>
          <w:tcPr>
            <w:tcW w:w="576" w:type="dxa"/>
            <w:shd w:val="clear" w:color="auto" w:fill="F9FAFC"/>
            <w:tcMar>
              <w:top w:w="60" w:type="dxa"/>
              <w:left w:w="80" w:type="dxa"/>
              <w:bottom w:w="60" w:type="dxa"/>
              <w:right w:w="80" w:type="dxa"/>
            </w:tcMar>
          </w:tcPr>
          <w:p w14:paraId="2DA44F93" w14:textId="77777777" w:rsidR="002511C9" w:rsidRDefault="00000000">
            <w:pPr>
              <w:spacing w:after="0" w:line="264" w:lineRule="auto"/>
              <w:jc w:val="center"/>
            </w:pPr>
            <w:r>
              <w:rPr>
                <w:sz w:val="17"/>
              </w:rPr>
              <w:t>5</w:t>
            </w:r>
          </w:p>
        </w:tc>
        <w:tc>
          <w:tcPr>
            <w:tcW w:w="3168" w:type="dxa"/>
            <w:shd w:val="clear" w:color="auto" w:fill="F9FAFC"/>
            <w:tcMar>
              <w:top w:w="60" w:type="dxa"/>
              <w:left w:w="80" w:type="dxa"/>
              <w:bottom w:w="60" w:type="dxa"/>
              <w:right w:w="80" w:type="dxa"/>
            </w:tcMar>
          </w:tcPr>
          <w:p w14:paraId="138D89FB" w14:textId="77777777" w:rsidR="002511C9" w:rsidRDefault="00000000">
            <w:pPr>
              <w:spacing w:after="0" w:line="264" w:lineRule="auto"/>
            </w:pPr>
            <w:r>
              <w:rPr>
                <w:sz w:val="17"/>
              </w:rPr>
              <w:t>Lundberg et al. (2018) [15]</w:t>
            </w:r>
          </w:p>
        </w:tc>
        <w:tc>
          <w:tcPr>
            <w:tcW w:w="3168" w:type="dxa"/>
            <w:shd w:val="clear" w:color="auto" w:fill="F9FAFC"/>
            <w:tcMar>
              <w:top w:w="60" w:type="dxa"/>
              <w:left w:w="80" w:type="dxa"/>
              <w:bottom w:w="60" w:type="dxa"/>
              <w:right w:w="80" w:type="dxa"/>
            </w:tcMar>
          </w:tcPr>
          <w:p w14:paraId="37F311EA" w14:textId="77777777" w:rsidR="002511C9" w:rsidRDefault="00000000">
            <w:pPr>
              <w:spacing w:after="0" w:line="264" w:lineRule="auto"/>
            </w:pPr>
            <w:r>
              <w:rPr>
                <w:sz w:val="17"/>
              </w:rPr>
              <w:t>TreeSHAP applied to intraoperative hypoxemia.</w:t>
            </w:r>
          </w:p>
        </w:tc>
        <w:tc>
          <w:tcPr>
            <w:tcW w:w="2448" w:type="dxa"/>
            <w:shd w:val="clear" w:color="auto" w:fill="F9FAFC"/>
            <w:tcMar>
              <w:top w:w="60" w:type="dxa"/>
              <w:left w:w="80" w:type="dxa"/>
              <w:bottom w:w="60" w:type="dxa"/>
              <w:right w:w="80" w:type="dxa"/>
            </w:tcMar>
          </w:tcPr>
          <w:p w14:paraId="03030C89" w14:textId="77777777" w:rsidR="002511C9" w:rsidRDefault="00000000">
            <w:pPr>
              <w:spacing w:after="0" w:line="264" w:lineRule="auto"/>
            </w:pPr>
            <w:r>
              <w:rPr>
                <w:sz w:val="17"/>
              </w:rPr>
              <w:t>Confined to ICU monitoring; lacks multi-domain comparative validation.</w:t>
            </w:r>
          </w:p>
        </w:tc>
      </w:tr>
      <w:tr w:rsidR="002511C9" w14:paraId="2584835D" w14:textId="77777777">
        <w:trPr>
          <w:jc w:val="center"/>
        </w:trPr>
        <w:tc>
          <w:tcPr>
            <w:tcW w:w="576" w:type="dxa"/>
            <w:shd w:val="clear" w:color="auto" w:fill="FFFFFF"/>
            <w:tcMar>
              <w:top w:w="60" w:type="dxa"/>
              <w:left w:w="80" w:type="dxa"/>
              <w:bottom w:w="60" w:type="dxa"/>
              <w:right w:w="80" w:type="dxa"/>
            </w:tcMar>
          </w:tcPr>
          <w:p w14:paraId="783C05C3" w14:textId="77777777" w:rsidR="002511C9" w:rsidRDefault="00000000">
            <w:pPr>
              <w:spacing w:after="0" w:line="264" w:lineRule="auto"/>
              <w:jc w:val="center"/>
            </w:pPr>
            <w:r>
              <w:rPr>
                <w:sz w:val="17"/>
              </w:rPr>
              <w:t>6</w:t>
            </w:r>
          </w:p>
        </w:tc>
        <w:tc>
          <w:tcPr>
            <w:tcW w:w="3168" w:type="dxa"/>
            <w:shd w:val="clear" w:color="auto" w:fill="FFFFFF"/>
            <w:tcMar>
              <w:top w:w="60" w:type="dxa"/>
              <w:left w:w="80" w:type="dxa"/>
              <w:bottom w:w="60" w:type="dxa"/>
              <w:right w:w="80" w:type="dxa"/>
            </w:tcMar>
          </w:tcPr>
          <w:p w14:paraId="31B6033A" w14:textId="77777777" w:rsidR="002511C9" w:rsidRDefault="00000000">
            <w:pPr>
              <w:spacing w:after="0" w:line="264" w:lineRule="auto"/>
            </w:pPr>
            <w:r>
              <w:rPr>
                <w:sz w:val="17"/>
              </w:rPr>
              <w:t>Ribeiro et al. (2016) [13]</w:t>
            </w:r>
          </w:p>
        </w:tc>
        <w:tc>
          <w:tcPr>
            <w:tcW w:w="3168" w:type="dxa"/>
            <w:shd w:val="clear" w:color="auto" w:fill="FFFFFF"/>
            <w:tcMar>
              <w:top w:w="60" w:type="dxa"/>
              <w:left w:w="80" w:type="dxa"/>
              <w:bottom w:w="60" w:type="dxa"/>
              <w:right w:w="80" w:type="dxa"/>
            </w:tcMar>
          </w:tcPr>
          <w:p w14:paraId="2EA68570" w14:textId="77777777" w:rsidR="002511C9" w:rsidRDefault="00000000">
            <w:pPr>
              <w:spacing w:after="0" w:line="264" w:lineRule="auto"/>
            </w:pPr>
            <w:r>
              <w:rPr>
                <w:sz w:val="17"/>
              </w:rPr>
              <w:t>Proposed LIME local surrogate explainability.</w:t>
            </w:r>
          </w:p>
        </w:tc>
        <w:tc>
          <w:tcPr>
            <w:tcW w:w="2448" w:type="dxa"/>
            <w:shd w:val="clear" w:color="auto" w:fill="FFFFFF"/>
            <w:tcMar>
              <w:top w:w="60" w:type="dxa"/>
              <w:left w:w="80" w:type="dxa"/>
              <w:bottom w:w="60" w:type="dxa"/>
              <w:right w:w="80" w:type="dxa"/>
            </w:tcMar>
          </w:tcPr>
          <w:p w14:paraId="4559EA76" w14:textId="77777777" w:rsidR="002511C9" w:rsidRDefault="00000000">
            <w:pPr>
              <w:spacing w:after="0" w:line="264" w:lineRule="auto"/>
            </w:pPr>
            <w:r>
              <w:rPr>
                <w:sz w:val="17"/>
              </w:rPr>
              <w:t>Local sampling instability; explanations fluctuate across runs.</w:t>
            </w:r>
          </w:p>
        </w:tc>
      </w:tr>
      <w:tr w:rsidR="002511C9" w14:paraId="73D36D7A" w14:textId="77777777">
        <w:trPr>
          <w:jc w:val="center"/>
        </w:trPr>
        <w:tc>
          <w:tcPr>
            <w:tcW w:w="576" w:type="dxa"/>
            <w:shd w:val="clear" w:color="auto" w:fill="F9FAFC"/>
            <w:tcMar>
              <w:top w:w="60" w:type="dxa"/>
              <w:left w:w="80" w:type="dxa"/>
              <w:bottom w:w="60" w:type="dxa"/>
              <w:right w:w="80" w:type="dxa"/>
            </w:tcMar>
          </w:tcPr>
          <w:p w14:paraId="67B06019" w14:textId="77777777" w:rsidR="002511C9" w:rsidRDefault="00000000">
            <w:pPr>
              <w:spacing w:after="0" w:line="264" w:lineRule="auto"/>
              <w:jc w:val="center"/>
            </w:pPr>
            <w:r>
              <w:rPr>
                <w:sz w:val="17"/>
              </w:rPr>
              <w:t>7</w:t>
            </w:r>
          </w:p>
        </w:tc>
        <w:tc>
          <w:tcPr>
            <w:tcW w:w="3168" w:type="dxa"/>
            <w:shd w:val="clear" w:color="auto" w:fill="F9FAFC"/>
            <w:tcMar>
              <w:top w:w="60" w:type="dxa"/>
              <w:left w:w="80" w:type="dxa"/>
              <w:bottom w:w="60" w:type="dxa"/>
              <w:right w:w="80" w:type="dxa"/>
            </w:tcMar>
          </w:tcPr>
          <w:p w14:paraId="74638CB3" w14:textId="77777777" w:rsidR="002511C9" w:rsidRDefault="00000000">
            <w:pPr>
              <w:spacing w:after="0" w:line="264" w:lineRule="auto"/>
            </w:pPr>
            <w:r>
              <w:rPr>
                <w:sz w:val="17"/>
              </w:rPr>
              <w:t>Chen &amp; Guestrin (2016) [6]</w:t>
            </w:r>
          </w:p>
        </w:tc>
        <w:tc>
          <w:tcPr>
            <w:tcW w:w="3168" w:type="dxa"/>
            <w:shd w:val="clear" w:color="auto" w:fill="F9FAFC"/>
            <w:tcMar>
              <w:top w:w="60" w:type="dxa"/>
              <w:left w:w="80" w:type="dxa"/>
              <w:bottom w:w="60" w:type="dxa"/>
              <w:right w:w="80" w:type="dxa"/>
            </w:tcMar>
          </w:tcPr>
          <w:p w14:paraId="2A19A544" w14:textId="77777777" w:rsidR="002511C9" w:rsidRDefault="00000000">
            <w:pPr>
              <w:spacing w:after="0" w:line="264" w:lineRule="auto"/>
            </w:pPr>
            <w:r>
              <w:rPr>
                <w:sz w:val="17"/>
              </w:rPr>
              <w:t>Scalable end-to-end XGBoost framework.</w:t>
            </w:r>
          </w:p>
        </w:tc>
        <w:tc>
          <w:tcPr>
            <w:tcW w:w="2448" w:type="dxa"/>
            <w:shd w:val="clear" w:color="auto" w:fill="F9FAFC"/>
            <w:tcMar>
              <w:top w:w="60" w:type="dxa"/>
              <w:left w:w="80" w:type="dxa"/>
              <w:bottom w:w="60" w:type="dxa"/>
              <w:right w:w="80" w:type="dxa"/>
            </w:tcMar>
          </w:tcPr>
          <w:p w14:paraId="34E5ED75" w14:textId="77777777" w:rsidR="002511C9" w:rsidRDefault="00000000">
            <w:pPr>
              <w:spacing w:after="0" w:line="264" w:lineRule="auto"/>
            </w:pPr>
            <w:r>
              <w:rPr>
                <w:sz w:val="17"/>
              </w:rPr>
              <w:t>Lacks native medical interpretability integration.</w:t>
            </w:r>
          </w:p>
        </w:tc>
      </w:tr>
      <w:tr w:rsidR="002511C9" w14:paraId="45EFBBFC" w14:textId="77777777">
        <w:trPr>
          <w:jc w:val="center"/>
        </w:trPr>
        <w:tc>
          <w:tcPr>
            <w:tcW w:w="576" w:type="dxa"/>
            <w:shd w:val="clear" w:color="auto" w:fill="FFFFFF"/>
            <w:tcMar>
              <w:top w:w="60" w:type="dxa"/>
              <w:left w:w="80" w:type="dxa"/>
              <w:bottom w:w="60" w:type="dxa"/>
              <w:right w:w="80" w:type="dxa"/>
            </w:tcMar>
          </w:tcPr>
          <w:p w14:paraId="111BE892" w14:textId="77777777" w:rsidR="002511C9" w:rsidRDefault="00000000">
            <w:pPr>
              <w:spacing w:after="0" w:line="264" w:lineRule="auto"/>
              <w:jc w:val="center"/>
            </w:pPr>
            <w:r>
              <w:rPr>
                <w:sz w:val="17"/>
              </w:rPr>
              <w:lastRenderedPageBreak/>
              <w:t>8</w:t>
            </w:r>
          </w:p>
        </w:tc>
        <w:tc>
          <w:tcPr>
            <w:tcW w:w="3168" w:type="dxa"/>
            <w:shd w:val="clear" w:color="auto" w:fill="FFFFFF"/>
            <w:tcMar>
              <w:top w:w="60" w:type="dxa"/>
              <w:left w:w="80" w:type="dxa"/>
              <w:bottom w:w="60" w:type="dxa"/>
              <w:right w:w="80" w:type="dxa"/>
            </w:tcMar>
          </w:tcPr>
          <w:p w14:paraId="76B5D744" w14:textId="77777777" w:rsidR="002511C9" w:rsidRDefault="00000000">
            <w:pPr>
              <w:spacing w:after="0" w:line="264" w:lineRule="auto"/>
            </w:pPr>
            <w:r>
              <w:rPr>
                <w:sz w:val="17"/>
              </w:rPr>
              <w:t>Prokhorets et al. (2018) [8]</w:t>
            </w:r>
          </w:p>
        </w:tc>
        <w:tc>
          <w:tcPr>
            <w:tcW w:w="3168" w:type="dxa"/>
            <w:shd w:val="clear" w:color="auto" w:fill="FFFFFF"/>
            <w:tcMar>
              <w:top w:w="60" w:type="dxa"/>
              <w:left w:w="80" w:type="dxa"/>
              <w:bottom w:w="60" w:type="dxa"/>
              <w:right w:w="80" w:type="dxa"/>
            </w:tcMar>
          </w:tcPr>
          <w:p w14:paraId="39104EAE" w14:textId="77777777" w:rsidR="002511C9" w:rsidRDefault="00000000">
            <w:pPr>
              <w:spacing w:after="0" w:line="264" w:lineRule="auto"/>
            </w:pPr>
            <w:r>
              <w:rPr>
                <w:sz w:val="17"/>
              </w:rPr>
              <w:t>CatBoost with ordered target encoding.</w:t>
            </w:r>
          </w:p>
        </w:tc>
        <w:tc>
          <w:tcPr>
            <w:tcW w:w="2448" w:type="dxa"/>
            <w:shd w:val="clear" w:color="auto" w:fill="FFFFFF"/>
            <w:tcMar>
              <w:top w:w="60" w:type="dxa"/>
              <w:left w:w="80" w:type="dxa"/>
              <w:bottom w:w="60" w:type="dxa"/>
              <w:right w:w="80" w:type="dxa"/>
            </w:tcMar>
          </w:tcPr>
          <w:p w14:paraId="41A7302B" w14:textId="77777777" w:rsidR="002511C9" w:rsidRDefault="00000000">
            <w:pPr>
              <w:spacing w:after="0" w:line="264" w:lineRule="auto"/>
            </w:pPr>
            <w:r>
              <w:rPr>
                <w:sz w:val="17"/>
              </w:rPr>
              <w:t>Limited evaluation on heterogeneous clinical benchmarks.</w:t>
            </w:r>
          </w:p>
        </w:tc>
      </w:tr>
      <w:tr w:rsidR="002511C9" w14:paraId="04F9DD77" w14:textId="77777777">
        <w:trPr>
          <w:jc w:val="center"/>
        </w:trPr>
        <w:tc>
          <w:tcPr>
            <w:tcW w:w="576" w:type="dxa"/>
            <w:shd w:val="clear" w:color="auto" w:fill="F9FAFC"/>
            <w:tcMar>
              <w:top w:w="60" w:type="dxa"/>
              <w:left w:w="80" w:type="dxa"/>
              <w:bottom w:w="60" w:type="dxa"/>
              <w:right w:w="80" w:type="dxa"/>
            </w:tcMar>
          </w:tcPr>
          <w:p w14:paraId="190B8EA3" w14:textId="77777777" w:rsidR="002511C9" w:rsidRDefault="00000000">
            <w:pPr>
              <w:spacing w:after="0" w:line="264" w:lineRule="auto"/>
              <w:jc w:val="center"/>
            </w:pPr>
            <w:r>
              <w:rPr>
                <w:sz w:val="17"/>
              </w:rPr>
              <w:t>9</w:t>
            </w:r>
          </w:p>
        </w:tc>
        <w:tc>
          <w:tcPr>
            <w:tcW w:w="3168" w:type="dxa"/>
            <w:shd w:val="clear" w:color="auto" w:fill="F9FAFC"/>
            <w:tcMar>
              <w:top w:w="60" w:type="dxa"/>
              <w:left w:w="80" w:type="dxa"/>
              <w:bottom w:w="60" w:type="dxa"/>
              <w:right w:w="80" w:type="dxa"/>
            </w:tcMar>
          </w:tcPr>
          <w:p w14:paraId="6B6BBFC1" w14:textId="77777777" w:rsidR="002511C9" w:rsidRDefault="00000000">
            <w:pPr>
              <w:spacing w:after="0" w:line="264" w:lineRule="auto"/>
            </w:pPr>
            <w:r>
              <w:rPr>
                <w:sz w:val="17"/>
              </w:rPr>
              <w:t>Lauritsen et al. (2020) [21]</w:t>
            </w:r>
          </w:p>
        </w:tc>
        <w:tc>
          <w:tcPr>
            <w:tcW w:w="3168" w:type="dxa"/>
            <w:shd w:val="clear" w:color="auto" w:fill="F9FAFC"/>
            <w:tcMar>
              <w:top w:w="60" w:type="dxa"/>
              <w:left w:w="80" w:type="dxa"/>
              <w:bottom w:w="60" w:type="dxa"/>
              <w:right w:w="80" w:type="dxa"/>
            </w:tcMar>
          </w:tcPr>
          <w:p w14:paraId="1FA84654" w14:textId="77777777" w:rsidR="002511C9" w:rsidRDefault="00000000">
            <w:pPr>
              <w:spacing w:after="0" w:line="264" w:lineRule="auto"/>
            </w:pPr>
            <w:r>
              <w:rPr>
                <w:sz w:val="17"/>
              </w:rPr>
              <w:t>Explainable AI early-warning system in intensive care.</w:t>
            </w:r>
          </w:p>
        </w:tc>
        <w:tc>
          <w:tcPr>
            <w:tcW w:w="2448" w:type="dxa"/>
            <w:shd w:val="clear" w:color="auto" w:fill="F9FAFC"/>
            <w:tcMar>
              <w:top w:w="60" w:type="dxa"/>
              <w:left w:w="80" w:type="dxa"/>
              <w:bottom w:w="60" w:type="dxa"/>
              <w:right w:w="80" w:type="dxa"/>
            </w:tcMar>
          </w:tcPr>
          <w:p w14:paraId="159EB7B2" w14:textId="77777777" w:rsidR="002511C9" w:rsidRDefault="00000000">
            <w:pPr>
              <w:spacing w:after="0" w:line="264" w:lineRule="auto"/>
            </w:pPr>
            <w:r>
              <w:rPr>
                <w:sz w:val="17"/>
              </w:rPr>
              <w:t>Tailored to time-series EHR; high computational infrastructure needed.</w:t>
            </w:r>
          </w:p>
        </w:tc>
      </w:tr>
      <w:tr w:rsidR="002511C9" w14:paraId="522C2BA5" w14:textId="77777777">
        <w:trPr>
          <w:jc w:val="center"/>
        </w:trPr>
        <w:tc>
          <w:tcPr>
            <w:tcW w:w="576" w:type="dxa"/>
            <w:shd w:val="clear" w:color="auto" w:fill="FFFFFF"/>
            <w:tcMar>
              <w:top w:w="60" w:type="dxa"/>
              <w:left w:w="80" w:type="dxa"/>
              <w:bottom w:w="60" w:type="dxa"/>
              <w:right w:w="80" w:type="dxa"/>
            </w:tcMar>
          </w:tcPr>
          <w:p w14:paraId="00B1E1BF" w14:textId="77777777" w:rsidR="002511C9" w:rsidRDefault="00000000">
            <w:pPr>
              <w:spacing w:after="0" w:line="264" w:lineRule="auto"/>
              <w:jc w:val="center"/>
            </w:pPr>
            <w:r>
              <w:rPr>
                <w:sz w:val="17"/>
              </w:rPr>
              <w:t>10</w:t>
            </w:r>
          </w:p>
        </w:tc>
        <w:tc>
          <w:tcPr>
            <w:tcW w:w="3168" w:type="dxa"/>
            <w:shd w:val="clear" w:color="auto" w:fill="FFFFFF"/>
            <w:tcMar>
              <w:top w:w="60" w:type="dxa"/>
              <w:left w:w="80" w:type="dxa"/>
              <w:bottom w:w="60" w:type="dxa"/>
              <w:right w:w="80" w:type="dxa"/>
            </w:tcMar>
          </w:tcPr>
          <w:p w14:paraId="432E02C0" w14:textId="77777777" w:rsidR="002511C9" w:rsidRDefault="00000000">
            <w:pPr>
              <w:spacing w:after="0" w:line="264" w:lineRule="auto"/>
            </w:pPr>
            <w:r>
              <w:rPr>
                <w:sz w:val="17"/>
              </w:rPr>
              <w:t>Tjoa &amp; Guan (2021) [22]</w:t>
            </w:r>
          </w:p>
        </w:tc>
        <w:tc>
          <w:tcPr>
            <w:tcW w:w="3168" w:type="dxa"/>
            <w:shd w:val="clear" w:color="auto" w:fill="FFFFFF"/>
            <w:tcMar>
              <w:top w:w="60" w:type="dxa"/>
              <w:left w:w="80" w:type="dxa"/>
              <w:bottom w:w="60" w:type="dxa"/>
              <w:right w:w="80" w:type="dxa"/>
            </w:tcMar>
          </w:tcPr>
          <w:p w14:paraId="572C5997" w14:textId="77777777" w:rsidR="002511C9" w:rsidRDefault="00000000">
            <w:pPr>
              <w:spacing w:after="0" w:line="264" w:lineRule="auto"/>
            </w:pPr>
            <w:r>
              <w:rPr>
                <w:sz w:val="17"/>
              </w:rPr>
              <w:t>Comprehensive survey of healthcare XAI methods.</w:t>
            </w:r>
          </w:p>
        </w:tc>
        <w:tc>
          <w:tcPr>
            <w:tcW w:w="2448" w:type="dxa"/>
            <w:shd w:val="clear" w:color="auto" w:fill="FFFFFF"/>
            <w:tcMar>
              <w:top w:w="60" w:type="dxa"/>
              <w:left w:w="80" w:type="dxa"/>
              <w:bottom w:w="60" w:type="dxa"/>
              <w:right w:w="80" w:type="dxa"/>
            </w:tcMar>
          </w:tcPr>
          <w:p w14:paraId="5B75D2FD" w14:textId="77777777" w:rsidR="002511C9" w:rsidRDefault="00000000">
            <w:pPr>
              <w:spacing w:after="0" w:line="264" w:lineRule="auto"/>
            </w:pPr>
            <w:r>
              <w:rPr>
                <w:sz w:val="17"/>
              </w:rPr>
              <w:t>Theoretical overview lacking unified empirical implementations.</w:t>
            </w:r>
          </w:p>
        </w:tc>
      </w:tr>
      <w:tr w:rsidR="002511C9" w14:paraId="3A1FF76D" w14:textId="77777777">
        <w:trPr>
          <w:jc w:val="center"/>
        </w:trPr>
        <w:tc>
          <w:tcPr>
            <w:tcW w:w="576" w:type="dxa"/>
            <w:shd w:val="clear" w:color="auto" w:fill="F9FAFC"/>
            <w:tcMar>
              <w:top w:w="60" w:type="dxa"/>
              <w:left w:w="80" w:type="dxa"/>
              <w:bottom w:w="60" w:type="dxa"/>
              <w:right w:w="80" w:type="dxa"/>
            </w:tcMar>
          </w:tcPr>
          <w:p w14:paraId="03933CD3" w14:textId="77777777" w:rsidR="002511C9" w:rsidRDefault="00000000">
            <w:pPr>
              <w:spacing w:after="0" w:line="264" w:lineRule="auto"/>
              <w:jc w:val="center"/>
            </w:pPr>
            <w:r>
              <w:rPr>
                <w:sz w:val="17"/>
              </w:rPr>
              <w:t>11</w:t>
            </w:r>
          </w:p>
        </w:tc>
        <w:tc>
          <w:tcPr>
            <w:tcW w:w="3168" w:type="dxa"/>
            <w:shd w:val="clear" w:color="auto" w:fill="F9FAFC"/>
            <w:tcMar>
              <w:top w:w="60" w:type="dxa"/>
              <w:left w:w="80" w:type="dxa"/>
              <w:bottom w:w="60" w:type="dxa"/>
              <w:right w:w="80" w:type="dxa"/>
            </w:tcMar>
          </w:tcPr>
          <w:p w14:paraId="42912300" w14:textId="77777777" w:rsidR="002511C9" w:rsidRDefault="00000000">
            <w:pPr>
              <w:spacing w:after="0" w:line="264" w:lineRule="auto"/>
            </w:pPr>
            <w:r>
              <w:rPr>
                <w:sz w:val="17"/>
              </w:rPr>
              <w:t>Nassif et al. (2021) [23]</w:t>
            </w:r>
          </w:p>
        </w:tc>
        <w:tc>
          <w:tcPr>
            <w:tcW w:w="3168" w:type="dxa"/>
            <w:shd w:val="clear" w:color="auto" w:fill="F9FAFC"/>
            <w:tcMar>
              <w:top w:w="60" w:type="dxa"/>
              <w:left w:w="80" w:type="dxa"/>
              <w:bottom w:w="60" w:type="dxa"/>
              <w:right w:w="80" w:type="dxa"/>
            </w:tcMar>
          </w:tcPr>
          <w:p w14:paraId="54F88141" w14:textId="77777777" w:rsidR="002511C9" w:rsidRDefault="00000000">
            <w:pPr>
              <w:spacing w:after="0" w:line="264" w:lineRule="auto"/>
            </w:pPr>
            <w:r>
              <w:rPr>
                <w:sz w:val="17"/>
              </w:rPr>
              <w:t>Evaluated classical ML models on cardiovascular data.</w:t>
            </w:r>
          </w:p>
        </w:tc>
        <w:tc>
          <w:tcPr>
            <w:tcW w:w="2448" w:type="dxa"/>
            <w:shd w:val="clear" w:color="auto" w:fill="F9FAFC"/>
            <w:tcMar>
              <w:top w:w="60" w:type="dxa"/>
              <w:left w:w="80" w:type="dxa"/>
              <w:bottom w:w="60" w:type="dxa"/>
              <w:right w:w="80" w:type="dxa"/>
            </w:tcMar>
          </w:tcPr>
          <w:p w14:paraId="5C8374AD" w14:textId="77777777" w:rsidR="002511C9" w:rsidRDefault="00000000">
            <w:pPr>
              <w:spacing w:after="0" w:line="264" w:lineRule="auto"/>
            </w:pPr>
            <w:r>
              <w:rPr>
                <w:sz w:val="17"/>
              </w:rPr>
              <w:t>Omitted post-hoc local and global XAI explanations.</w:t>
            </w:r>
          </w:p>
        </w:tc>
      </w:tr>
      <w:tr w:rsidR="002511C9" w14:paraId="531051ED" w14:textId="77777777">
        <w:trPr>
          <w:jc w:val="center"/>
        </w:trPr>
        <w:tc>
          <w:tcPr>
            <w:tcW w:w="576" w:type="dxa"/>
            <w:shd w:val="clear" w:color="auto" w:fill="FFFFFF"/>
            <w:tcMar>
              <w:top w:w="60" w:type="dxa"/>
              <w:left w:w="80" w:type="dxa"/>
              <w:bottom w:w="60" w:type="dxa"/>
              <w:right w:w="80" w:type="dxa"/>
            </w:tcMar>
          </w:tcPr>
          <w:p w14:paraId="7763DD9F" w14:textId="77777777" w:rsidR="002511C9" w:rsidRDefault="00000000">
            <w:pPr>
              <w:spacing w:after="0" w:line="264" w:lineRule="auto"/>
              <w:jc w:val="center"/>
            </w:pPr>
            <w:r>
              <w:rPr>
                <w:sz w:val="17"/>
              </w:rPr>
              <w:t>12</w:t>
            </w:r>
          </w:p>
        </w:tc>
        <w:tc>
          <w:tcPr>
            <w:tcW w:w="3168" w:type="dxa"/>
            <w:shd w:val="clear" w:color="auto" w:fill="FFFFFF"/>
            <w:tcMar>
              <w:top w:w="60" w:type="dxa"/>
              <w:left w:w="80" w:type="dxa"/>
              <w:bottom w:w="60" w:type="dxa"/>
              <w:right w:w="80" w:type="dxa"/>
            </w:tcMar>
          </w:tcPr>
          <w:p w14:paraId="4D3A1279" w14:textId="77777777" w:rsidR="002511C9" w:rsidRDefault="00000000">
            <w:pPr>
              <w:spacing w:after="0" w:line="264" w:lineRule="auto"/>
            </w:pPr>
            <w:r>
              <w:rPr>
                <w:sz w:val="17"/>
              </w:rPr>
              <w:t>Almustafa (2020) [24]</w:t>
            </w:r>
          </w:p>
        </w:tc>
        <w:tc>
          <w:tcPr>
            <w:tcW w:w="3168" w:type="dxa"/>
            <w:shd w:val="clear" w:color="auto" w:fill="FFFFFF"/>
            <w:tcMar>
              <w:top w:w="60" w:type="dxa"/>
              <w:left w:w="80" w:type="dxa"/>
              <w:bottom w:w="60" w:type="dxa"/>
              <w:right w:w="80" w:type="dxa"/>
            </w:tcMar>
          </w:tcPr>
          <w:p w14:paraId="47E39395" w14:textId="77777777" w:rsidR="002511C9" w:rsidRDefault="00000000">
            <w:pPr>
              <w:spacing w:after="0" w:line="264" w:lineRule="auto"/>
            </w:pPr>
            <w:r>
              <w:rPr>
                <w:sz w:val="17"/>
              </w:rPr>
              <w:t>Supervised classification on diabetic cohorts.</w:t>
            </w:r>
          </w:p>
        </w:tc>
        <w:tc>
          <w:tcPr>
            <w:tcW w:w="2448" w:type="dxa"/>
            <w:shd w:val="clear" w:color="auto" w:fill="FFFFFF"/>
            <w:tcMar>
              <w:top w:w="60" w:type="dxa"/>
              <w:left w:w="80" w:type="dxa"/>
              <w:bottom w:w="60" w:type="dxa"/>
              <w:right w:w="80" w:type="dxa"/>
            </w:tcMar>
          </w:tcPr>
          <w:p w14:paraId="00A19CFD" w14:textId="77777777" w:rsidR="002511C9" w:rsidRDefault="00000000">
            <w:pPr>
              <w:spacing w:after="0" w:line="264" w:lineRule="auto"/>
            </w:pPr>
            <w:r>
              <w:rPr>
                <w:sz w:val="17"/>
              </w:rPr>
              <w:t>Evaluated accuracy only; omitted ROC-AUC and clinical calibration.</w:t>
            </w:r>
          </w:p>
        </w:tc>
      </w:tr>
      <w:tr w:rsidR="002511C9" w14:paraId="73C45403" w14:textId="77777777">
        <w:trPr>
          <w:jc w:val="center"/>
        </w:trPr>
        <w:tc>
          <w:tcPr>
            <w:tcW w:w="576" w:type="dxa"/>
            <w:shd w:val="clear" w:color="auto" w:fill="F9FAFC"/>
            <w:tcMar>
              <w:top w:w="60" w:type="dxa"/>
              <w:left w:w="80" w:type="dxa"/>
              <w:bottom w:w="60" w:type="dxa"/>
              <w:right w:w="80" w:type="dxa"/>
            </w:tcMar>
          </w:tcPr>
          <w:p w14:paraId="3423DDE5" w14:textId="77777777" w:rsidR="002511C9" w:rsidRDefault="00000000">
            <w:pPr>
              <w:spacing w:after="0" w:line="264" w:lineRule="auto"/>
              <w:jc w:val="center"/>
            </w:pPr>
            <w:r>
              <w:rPr>
                <w:sz w:val="17"/>
              </w:rPr>
              <w:t>13</w:t>
            </w:r>
          </w:p>
        </w:tc>
        <w:tc>
          <w:tcPr>
            <w:tcW w:w="3168" w:type="dxa"/>
            <w:shd w:val="clear" w:color="auto" w:fill="F9FAFC"/>
            <w:tcMar>
              <w:top w:w="60" w:type="dxa"/>
              <w:left w:w="80" w:type="dxa"/>
              <w:bottom w:w="60" w:type="dxa"/>
              <w:right w:w="80" w:type="dxa"/>
            </w:tcMar>
          </w:tcPr>
          <w:p w14:paraId="5F04759A" w14:textId="77777777" w:rsidR="002511C9" w:rsidRDefault="00000000">
            <w:pPr>
              <w:spacing w:after="0" w:line="264" w:lineRule="auto"/>
            </w:pPr>
            <w:r>
              <w:rPr>
                <w:sz w:val="17"/>
              </w:rPr>
              <w:t>Mangasarian et al. (1995) [25]</w:t>
            </w:r>
          </w:p>
        </w:tc>
        <w:tc>
          <w:tcPr>
            <w:tcW w:w="3168" w:type="dxa"/>
            <w:shd w:val="clear" w:color="auto" w:fill="F9FAFC"/>
            <w:tcMar>
              <w:top w:w="60" w:type="dxa"/>
              <w:left w:w="80" w:type="dxa"/>
              <w:bottom w:w="60" w:type="dxa"/>
              <w:right w:w="80" w:type="dxa"/>
            </w:tcMar>
          </w:tcPr>
          <w:p w14:paraId="492085DD" w14:textId="77777777" w:rsidR="002511C9" w:rsidRDefault="00000000">
            <w:pPr>
              <w:spacing w:after="0" w:line="264" w:lineRule="auto"/>
            </w:pPr>
            <w:r>
              <w:rPr>
                <w:sz w:val="17"/>
              </w:rPr>
              <w:t>Hyperplane separation for breast cytology.</w:t>
            </w:r>
          </w:p>
        </w:tc>
        <w:tc>
          <w:tcPr>
            <w:tcW w:w="2448" w:type="dxa"/>
            <w:shd w:val="clear" w:color="auto" w:fill="F9FAFC"/>
            <w:tcMar>
              <w:top w:w="60" w:type="dxa"/>
              <w:left w:w="80" w:type="dxa"/>
              <w:bottom w:w="60" w:type="dxa"/>
              <w:right w:w="80" w:type="dxa"/>
            </w:tcMar>
          </w:tcPr>
          <w:p w14:paraId="7FBC3EDB" w14:textId="77777777" w:rsidR="002511C9" w:rsidRDefault="00000000">
            <w:pPr>
              <w:spacing w:after="0" w:line="264" w:lineRule="auto"/>
            </w:pPr>
            <w:r>
              <w:rPr>
                <w:sz w:val="17"/>
              </w:rPr>
              <w:t>Deterministic margins lack probabilistic confidence scoring.</w:t>
            </w:r>
          </w:p>
        </w:tc>
      </w:tr>
      <w:tr w:rsidR="002511C9" w14:paraId="4A127EC8" w14:textId="77777777">
        <w:trPr>
          <w:jc w:val="center"/>
        </w:trPr>
        <w:tc>
          <w:tcPr>
            <w:tcW w:w="576" w:type="dxa"/>
            <w:shd w:val="clear" w:color="auto" w:fill="FFFFFF"/>
            <w:tcMar>
              <w:top w:w="60" w:type="dxa"/>
              <w:left w:w="80" w:type="dxa"/>
              <w:bottom w:w="60" w:type="dxa"/>
              <w:right w:w="80" w:type="dxa"/>
            </w:tcMar>
          </w:tcPr>
          <w:p w14:paraId="4DD7EC0D" w14:textId="77777777" w:rsidR="002511C9" w:rsidRDefault="00000000">
            <w:pPr>
              <w:spacing w:after="0" w:line="264" w:lineRule="auto"/>
              <w:jc w:val="center"/>
            </w:pPr>
            <w:r>
              <w:rPr>
                <w:sz w:val="17"/>
              </w:rPr>
              <w:t>14</w:t>
            </w:r>
          </w:p>
        </w:tc>
        <w:tc>
          <w:tcPr>
            <w:tcW w:w="3168" w:type="dxa"/>
            <w:shd w:val="clear" w:color="auto" w:fill="FFFFFF"/>
            <w:tcMar>
              <w:top w:w="60" w:type="dxa"/>
              <w:left w:w="80" w:type="dxa"/>
              <w:bottom w:w="60" w:type="dxa"/>
              <w:right w:w="80" w:type="dxa"/>
            </w:tcMar>
          </w:tcPr>
          <w:p w14:paraId="6F879D64" w14:textId="77777777" w:rsidR="002511C9" w:rsidRDefault="00000000">
            <w:pPr>
              <w:spacing w:after="0" w:line="264" w:lineRule="auto"/>
            </w:pPr>
            <w:r>
              <w:rPr>
                <w:sz w:val="17"/>
              </w:rPr>
              <w:t>Molnar et al. (2020) [26]</w:t>
            </w:r>
          </w:p>
        </w:tc>
        <w:tc>
          <w:tcPr>
            <w:tcW w:w="3168" w:type="dxa"/>
            <w:shd w:val="clear" w:color="auto" w:fill="FFFFFF"/>
            <w:tcMar>
              <w:top w:w="60" w:type="dxa"/>
              <w:left w:w="80" w:type="dxa"/>
              <w:bottom w:w="60" w:type="dxa"/>
              <w:right w:w="80" w:type="dxa"/>
            </w:tcMar>
          </w:tcPr>
          <w:p w14:paraId="40ADEA08" w14:textId="77777777" w:rsidR="002511C9" w:rsidRDefault="00000000">
            <w:pPr>
              <w:spacing w:after="0" w:line="264" w:lineRule="auto"/>
            </w:pPr>
            <w:r>
              <w:rPr>
                <w:sz w:val="17"/>
              </w:rPr>
              <w:t>Evaluated pitfalls in post-hoc model explanations.</w:t>
            </w:r>
          </w:p>
        </w:tc>
        <w:tc>
          <w:tcPr>
            <w:tcW w:w="2448" w:type="dxa"/>
            <w:shd w:val="clear" w:color="auto" w:fill="FFFFFF"/>
            <w:tcMar>
              <w:top w:w="60" w:type="dxa"/>
              <w:left w:w="80" w:type="dxa"/>
              <w:bottom w:w="60" w:type="dxa"/>
              <w:right w:w="80" w:type="dxa"/>
            </w:tcMar>
          </w:tcPr>
          <w:p w14:paraId="6AF8138A" w14:textId="77777777" w:rsidR="002511C9" w:rsidRDefault="00000000">
            <w:pPr>
              <w:spacing w:after="0" w:line="264" w:lineRule="auto"/>
            </w:pPr>
            <w:r>
              <w:rPr>
                <w:sz w:val="17"/>
              </w:rPr>
              <w:t>Theoretical critique lacking cross-disease clinical benchmarking.</w:t>
            </w:r>
          </w:p>
        </w:tc>
      </w:tr>
      <w:tr w:rsidR="002511C9" w14:paraId="59B46185" w14:textId="77777777">
        <w:trPr>
          <w:jc w:val="center"/>
        </w:trPr>
        <w:tc>
          <w:tcPr>
            <w:tcW w:w="576" w:type="dxa"/>
            <w:shd w:val="clear" w:color="auto" w:fill="F9FAFC"/>
            <w:tcMar>
              <w:top w:w="60" w:type="dxa"/>
              <w:left w:w="80" w:type="dxa"/>
              <w:bottom w:w="60" w:type="dxa"/>
              <w:right w:w="80" w:type="dxa"/>
            </w:tcMar>
          </w:tcPr>
          <w:p w14:paraId="42969CFE" w14:textId="77777777" w:rsidR="002511C9" w:rsidRDefault="00000000">
            <w:pPr>
              <w:spacing w:after="0" w:line="264" w:lineRule="auto"/>
              <w:jc w:val="center"/>
            </w:pPr>
            <w:r>
              <w:rPr>
                <w:sz w:val="17"/>
              </w:rPr>
              <w:t>15</w:t>
            </w:r>
          </w:p>
        </w:tc>
        <w:tc>
          <w:tcPr>
            <w:tcW w:w="3168" w:type="dxa"/>
            <w:shd w:val="clear" w:color="auto" w:fill="F9FAFC"/>
            <w:tcMar>
              <w:top w:w="60" w:type="dxa"/>
              <w:left w:w="80" w:type="dxa"/>
              <w:bottom w:w="60" w:type="dxa"/>
              <w:right w:w="80" w:type="dxa"/>
            </w:tcMar>
          </w:tcPr>
          <w:p w14:paraId="27118A0D" w14:textId="77777777" w:rsidR="002511C9" w:rsidRDefault="00000000">
            <w:pPr>
              <w:spacing w:after="0" w:line="264" w:lineRule="auto"/>
            </w:pPr>
            <w:r>
              <w:rPr>
                <w:sz w:val="17"/>
              </w:rPr>
              <w:t>Babic et al. (2021) [27]</w:t>
            </w:r>
          </w:p>
        </w:tc>
        <w:tc>
          <w:tcPr>
            <w:tcW w:w="3168" w:type="dxa"/>
            <w:shd w:val="clear" w:color="auto" w:fill="F9FAFC"/>
            <w:tcMar>
              <w:top w:w="60" w:type="dxa"/>
              <w:left w:w="80" w:type="dxa"/>
              <w:bottom w:w="60" w:type="dxa"/>
              <w:right w:w="80" w:type="dxa"/>
            </w:tcMar>
          </w:tcPr>
          <w:p w14:paraId="66E9DD07" w14:textId="77777777" w:rsidR="002511C9" w:rsidRDefault="00000000">
            <w:pPr>
              <w:spacing w:after="0" w:line="264" w:lineRule="auto"/>
            </w:pPr>
            <w:r>
              <w:rPr>
                <w:sz w:val="17"/>
              </w:rPr>
              <w:t>Analyzed FDA regulatory hurdles for black-box AI.</w:t>
            </w:r>
          </w:p>
        </w:tc>
        <w:tc>
          <w:tcPr>
            <w:tcW w:w="2448" w:type="dxa"/>
            <w:shd w:val="clear" w:color="auto" w:fill="F9FAFC"/>
            <w:tcMar>
              <w:top w:w="60" w:type="dxa"/>
              <w:left w:w="80" w:type="dxa"/>
              <w:bottom w:w="60" w:type="dxa"/>
              <w:right w:w="80" w:type="dxa"/>
            </w:tcMar>
          </w:tcPr>
          <w:p w14:paraId="34D13A3F" w14:textId="77777777" w:rsidR="002511C9" w:rsidRDefault="00000000">
            <w:pPr>
              <w:spacing w:after="0" w:line="264" w:lineRule="auto"/>
            </w:pPr>
            <w:r>
              <w:rPr>
                <w:sz w:val="17"/>
              </w:rPr>
              <w:t>Policy focus without empirical predictive modeling experiments.</w:t>
            </w:r>
          </w:p>
        </w:tc>
      </w:tr>
      <w:tr w:rsidR="002511C9" w14:paraId="25B1891B" w14:textId="77777777">
        <w:trPr>
          <w:jc w:val="center"/>
        </w:trPr>
        <w:tc>
          <w:tcPr>
            <w:tcW w:w="576" w:type="dxa"/>
            <w:shd w:val="clear" w:color="auto" w:fill="FFFFFF"/>
            <w:tcMar>
              <w:top w:w="60" w:type="dxa"/>
              <w:left w:w="80" w:type="dxa"/>
              <w:bottom w:w="60" w:type="dxa"/>
              <w:right w:w="80" w:type="dxa"/>
            </w:tcMar>
          </w:tcPr>
          <w:p w14:paraId="780E14F6" w14:textId="77777777" w:rsidR="002511C9" w:rsidRDefault="00000000">
            <w:pPr>
              <w:spacing w:after="0" w:line="264" w:lineRule="auto"/>
              <w:jc w:val="center"/>
            </w:pPr>
            <w:r>
              <w:rPr>
                <w:sz w:val="17"/>
              </w:rPr>
              <w:t>16</w:t>
            </w:r>
          </w:p>
        </w:tc>
        <w:tc>
          <w:tcPr>
            <w:tcW w:w="3168" w:type="dxa"/>
            <w:shd w:val="clear" w:color="auto" w:fill="FFFFFF"/>
            <w:tcMar>
              <w:top w:w="60" w:type="dxa"/>
              <w:left w:w="80" w:type="dxa"/>
              <w:bottom w:w="60" w:type="dxa"/>
              <w:right w:w="80" w:type="dxa"/>
            </w:tcMar>
          </w:tcPr>
          <w:p w14:paraId="4F4725EA" w14:textId="77777777" w:rsidR="002511C9" w:rsidRDefault="00000000">
            <w:pPr>
              <w:spacing w:after="0" w:line="264" w:lineRule="auto"/>
            </w:pPr>
            <w:r>
              <w:rPr>
                <w:sz w:val="17"/>
              </w:rPr>
              <w:t>Shrikumar et al. (2017) [28]</w:t>
            </w:r>
          </w:p>
        </w:tc>
        <w:tc>
          <w:tcPr>
            <w:tcW w:w="3168" w:type="dxa"/>
            <w:shd w:val="clear" w:color="auto" w:fill="FFFFFF"/>
            <w:tcMar>
              <w:top w:w="60" w:type="dxa"/>
              <w:left w:w="80" w:type="dxa"/>
              <w:bottom w:w="60" w:type="dxa"/>
              <w:right w:w="80" w:type="dxa"/>
            </w:tcMar>
          </w:tcPr>
          <w:p w14:paraId="77866848" w14:textId="77777777" w:rsidR="002511C9" w:rsidRDefault="00000000">
            <w:pPr>
              <w:spacing w:after="0" w:line="264" w:lineRule="auto"/>
            </w:pPr>
            <w:r>
              <w:rPr>
                <w:sz w:val="17"/>
              </w:rPr>
              <w:t>DeepLIFT backpropagation attribution for genomics.</w:t>
            </w:r>
          </w:p>
        </w:tc>
        <w:tc>
          <w:tcPr>
            <w:tcW w:w="2448" w:type="dxa"/>
            <w:shd w:val="clear" w:color="auto" w:fill="FFFFFF"/>
            <w:tcMar>
              <w:top w:w="60" w:type="dxa"/>
              <w:left w:w="80" w:type="dxa"/>
              <w:bottom w:w="60" w:type="dxa"/>
              <w:right w:w="80" w:type="dxa"/>
            </w:tcMar>
          </w:tcPr>
          <w:p w14:paraId="7A5B9008" w14:textId="77777777" w:rsidR="002511C9" w:rsidRDefault="00000000">
            <w:pPr>
              <w:spacing w:after="0" w:line="264" w:lineRule="auto"/>
            </w:pPr>
            <w:r>
              <w:rPr>
                <w:sz w:val="17"/>
              </w:rPr>
              <w:t>Requires deep neural nets; inapplicable to standard tabular EHR.</w:t>
            </w:r>
          </w:p>
        </w:tc>
      </w:tr>
      <w:tr w:rsidR="002511C9" w14:paraId="7E98A5CF" w14:textId="77777777">
        <w:trPr>
          <w:jc w:val="center"/>
        </w:trPr>
        <w:tc>
          <w:tcPr>
            <w:tcW w:w="576" w:type="dxa"/>
            <w:shd w:val="clear" w:color="auto" w:fill="F9FAFC"/>
            <w:tcMar>
              <w:top w:w="60" w:type="dxa"/>
              <w:left w:w="80" w:type="dxa"/>
              <w:bottom w:w="60" w:type="dxa"/>
              <w:right w:w="80" w:type="dxa"/>
            </w:tcMar>
          </w:tcPr>
          <w:p w14:paraId="26E59093" w14:textId="77777777" w:rsidR="002511C9" w:rsidRDefault="00000000">
            <w:pPr>
              <w:spacing w:after="0" w:line="264" w:lineRule="auto"/>
              <w:jc w:val="center"/>
            </w:pPr>
            <w:r>
              <w:rPr>
                <w:sz w:val="17"/>
              </w:rPr>
              <w:t>17</w:t>
            </w:r>
          </w:p>
        </w:tc>
        <w:tc>
          <w:tcPr>
            <w:tcW w:w="3168" w:type="dxa"/>
            <w:shd w:val="clear" w:color="auto" w:fill="F9FAFC"/>
            <w:tcMar>
              <w:top w:w="60" w:type="dxa"/>
              <w:left w:w="80" w:type="dxa"/>
              <w:bottom w:w="60" w:type="dxa"/>
              <w:right w:w="80" w:type="dxa"/>
            </w:tcMar>
          </w:tcPr>
          <w:p w14:paraId="4FE820FB" w14:textId="77777777" w:rsidR="002511C9" w:rsidRDefault="00000000">
            <w:pPr>
              <w:spacing w:after="0" w:line="264" w:lineRule="auto"/>
            </w:pPr>
            <w:r>
              <w:rPr>
                <w:sz w:val="17"/>
              </w:rPr>
              <w:t>Sundararajan et al. (2017) [29]</w:t>
            </w:r>
          </w:p>
        </w:tc>
        <w:tc>
          <w:tcPr>
            <w:tcW w:w="3168" w:type="dxa"/>
            <w:shd w:val="clear" w:color="auto" w:fill="F9FAFC"/>
            <w:tcMar>
              <w:top w:w="60" w:type="dxa"/>
              <w:left w:w="80" w:type="dxa"/>
              <w:bottom w:w="60" w:type="dxa"/>
              <w:right w:w="80" w:type="dxa"/>
            </w:tcMar>
          </w:tcPr>
          <w:p w14:paraId="17462543" w14:textId="77777777" w:rsidR="002511C9" w:rsidRDefault="00000000">
            <w:pPr>
              <w:spacing w:after="0" w:line="264" w:lineRule="auto"/>
            </w:pPr>
            <w:r>
              <w:rPr>
                <w:sz w:val="17"/>
              </w:rPr>
              <w:t>Formulated Integrated Gradients for deep models.</w:t>
            </w:r>
          </w:p>
        </w:tc>
        <w:tc>
          <w:tcPr>
            <w:tcW w:w="2448" w:type="dxa"/>
            <w:shd w:val="clear" w:color="auto" w:fill="F9FAFC"/>
            <w:tcMar>
              <w:top w:w="60" w:type="dxa"/>
              <w:left w:w="80" w:type="dxa"/>
              <w:bottom w:w="60" w:type="dxa"/>
              <w:right w:w="80" w:type="dxa"/>
            </w:tcMar>
          </w:tcPr>
          <w:p w14:paraId="79103A47" w14:textId="77777777" w:rsidR="002511C9" w:rsidRDefault="00000000">
            <w:pPr>
              <w:spacing w:after="0" w:line="264" w:lineRule="auto"/>
            </w:pPr>
            <w:r>
              <w:rPr>
                <w:sz w:val="17"/>
              </w:rPr>
              <w:t>Requires continuous gradients; fails on non-differentiable trees.</w:t>
            </w:r>
          </w:p>
        </w:tc>
      </w:tr>
      <w:tr w:rsidR="002511C9" w14:paraId="1C5A69DD" w14:textId="77777777">
        <w:trPr>
          <w:jc w:val="center"/>
        </w:trPr>
        <w:tc>
          <w:tcPr>
            <w:tcW w:w="576" w:type="dxa"/>
            <w:shd w:val="clear" w:color="auto" w:fill="FFFFFF"/>
            <w:tcMar>
              <w:top w:w="60" w:type="dxa"/>
              <w:left w:w="80" w:type="dxa"/>
              <w:bottom w:w="60" w:type="dxa"/>
              <w:right w:w="80" w:type="dxa"/>
            </w:tcMar>
          </w:tcPr>
          <w:p w14:paraId="411DE551" w14:textId="77777777" w:rsidR="002511C9" w:rsidRDefault="00000000">
            <w:pPr>
              <w:spacing w:after="0" w:line="264" w:lineRule="auto"/>
              <w:jc w:val="center"/>
            </w:pPr>
            <w:r>
              <w:rPr>
                <w:sz w:val="17"/>
              </w:rPr>
              <w:t>18</w:t>
            </w:r>
          </w:p>
        </w:tc>
        <w:tc>
          <w:tcPr>
            <w:tcW w:w="3168" w:type="dxa"/>
            <w:shd w:val="clear" w:color="auto" w:fill="FFFFFF"/>
            <w:tcMar>
              <w:top w:w="60" w:type="dxa"/>
              <w:left w:w="80" w:type="dxa"/>
              <w:bottom w:w="60" w:type="dxa"/>
              <w:right w:w="80" w:type="dxa"/>
            </w:tcMar>
          </w:tcPr>
          <w:p w14:paraId="32F33CA7" w14:textId="77777777" w:rsidR="002511C9" w:rsidRDefault="00000000">
            <w:pPr>
              <w:spacing w:after="0" w:line="264" w:lineRule="auto"/>
            </w:pPr>
            <w:r>
              <w:rPr>
                <w:sz w:val="17"/>
              </w:rPr>
              <w:t>Guidotti et al. (2018) [30]</w:t>
            </w:r>
          </w:p>
        </w:tc>
        <w:tc>
          <w:tcPr>
            <w:tcW w:w="3168" w:type="dxa"/>
            <w:shd w:val="clear" w:color="auto" w:fill="FFFFFF"/>
            <w:tcMar>
              <w:top w:w="60" w:type="dxa"/>
              <w:left w:w="80" w:type="dxa"/>
              <w:bottom w:w="60" w:type="dxa"/>
              <w:right w:w="80" w:type="dxa"/>
            </w:tcMar>
          </w:tcPr>
          <w:p w14:paraId="386A9F8C" w14:textId="77777777" w:rsidR="002511C9" w:rsidRDefault="00000000">
            <w:pPr>
              <w:spacing w:after="0" w:line="264" w:lineRule="auto"/>
            </w:pPr>
            <w:r>
              <w:rPr>
                <w:sz w:val="17"/>
              </w:rPr>
              <w:t>Systematic taxonomy of black-box explainability.</w:t>
            </w:r>
          </w:p>
        </w:tc>
        <w:tc>
          <w:tcPr>
            <w:tcW w:w="2448" w:type="dxa"/>
            <w:shd w:val="clear" w:color="auto" w:fill="FFFFFF"/>
            <w:tcMar>
              <w:top w:w="60" w:type="dxa"/>
              <w:left w:w="80" w:type="dxa"/>
              <w:bottom w:w="60" w:type="dxa"/>
              <w:right w:w="80" w:type="dxa"/>
            </w:tcMar>
          </w:tcPr>
          <w:p w14:paraId="6D777F45" w14:textId="77777777" w:rsidR="002511C9" w:rsidRDefault="00000000">
            <w:pPr>
              <w:spacing w:after="0" w:line="264" w:lineRule="auto"/>
            </w:pPr>
            <w:r>
              <w:rPr>
                <w:sz w:val="17"/>
              </w:rPr>
              <w:t>Broad review without disease-specific performance benchmarks.</w:t>
            </w:r>
          </w:p>
        </w:tc>
      </w:tr>
      <w:tr w:rsidR="002511C9" w14:paraId="3F549660" w14:textId="77777777">
        <w:trPr>
          <w:jc w:val="center"/>
        </w:trPr>
        <w:tc>
          <w:tcPr>
            <w:tcW w:w="576" w:type="dxa"/>
            <w:shd w:val="clear" w:color="auto" w:fill="F9FAFC"/>
            <w:tcMar>
              <w:top w:w="60" w:type="dxa"/>
              <w:left w:w="80" w:type="dxa"/>
              <w:bottom w:w="60" w:type="dxa"/>
              <w:right w:w="80" w:type="dxa"/>
            </w:tcMar>
          </w:tcPr>
          <w:p w14:paraId="539BF70F" w14:textId="77777777" w:rsidR="002511C9" w:rsidRDefault="00000000">
            <w:pPr>
              <w:spacing w:after="0" w:line="264" w:lineRule="auto"/>
              <w:jc w:val="center"/>
            </w:pPr>
            <w:r>
              <w:rPr>
                <w:sz w:val="17"/>
              </w:rPr>
              <w:t>19</w:t>
            </w:r>
          </w:p>
        </w:tc>
        <w:tc>
          <w:tcPr>
            <w:tcW w:w="3168" w:type="dxa"/>
            <w:shd w:val="clear" w:color="auto" w:fill="F9FAFC"/>
            <w:tcMar>
              <w:top w:w="60" w:type="dxa"/>
              <w:left w:w="80" w:type="dxa"/>
              <w:bottom w:w="60" w:type="dxa"/>
              <w:right w:w="80" w:type="dxa"/>
            </w:tcMar>
          </w:tcPr>
          <w:p w14:paraId="2161E7FF" w14:textId="77777777" w:rsidR="002511C9" w:rsidRDefault="00000000">
            <w:pPr>
              <w:spacing w:after="0" w:line="264" w:lineRule="auto"/>
            </w:pPr>
            <w:r>
              <w:rPr>
                <w:sz w:val="17"/>
              </w:rPr>
              <w:t>Austin et al. (2021) [31]</w:t>
            </w:r>
          </w:p>
        </w:tc>
        <w:tc>
          <w:tcPr>
            <w:tcW w:w="3168" w:type="dxa"/>
            <w:shd w:val="clear" w:color="auto" w:fill="F9FAFC"/>
            <w:tcMar>
              <w:top w:w="60" w:type="dxa"/>
              <w:left w:w="80" w:type="dxa"/>
              <w:bottom w:w="60" w:type="dxa"/>
              <w:right w:w="80" w:type="dxa"/>
            </w:tcMar>
          </w:tcPr>
          <w:p w14:paraId="440DEA8B" w14:textId="77777777" w:rsidR="002511C9" w:rsidRDefault="00000000">
            <w:pPr>
              <w:spacing w:after="0" w:line="264" w:lineRule="auto"/>
            </w:pPr>
            <w:r>
              <w:rPr>
                <w:sz w:val="17"/>
              </w:rPr>
              <w:t>Evaluated imputation methods in cardiovascular data.</w:t>
            </w:r>
          </w:p>
        </w:tc>
        <w:tc>
          <w:tcPr>
            <w:tcW w:w="2448" w:type="dxa"/>
            <w:shd w:val="clear" w:color="auto" w:fill="F9FAFC"/>
            <w:tcMar>
              <w:top w:w="60" w:type="dxa"/>
              <w:left w:w="80" w:type="dxa"/>
              <w:bottom w:w="60" w:type="dxa"/>
              <w:right w:w="80" w:type="dxa"/>
            </w:tcMar>
          </w:tcPr>
          <w:p w14:paraId="64EBA638" w14:textId="77777777" w:rsidR="002511C9" w:rsidRDefault="00000000">
            <w:pPr>
              <w:spacing w:after="0" w:line="264" w:lineRule="auto"/>
            </w:pPr>
            <w:r>
              <w:rPr>
                <w:sz w:val="17"/>
              </w:rPr>
              <w:t>Focused solely on missing data without downstream XAI integration.</w:t>
            </w:r>
          </w:p>
        </w:tc>
      </w:tr>
      <w:tr w:rsidR="002511C9" w14:paraId="42D9CBCB" w14:textId="77777777">
        <w:trPr>
          <w:jc w:val="center"/>
        </w:trPr>
        <w:tc>
          <w:tcPr>
            <w:tcW w:w="576" w:type="dxa"/>
            <w:shd w:val="clear" w:color="auto" w:fill="FFFFFF"/>
            <w:tcMar>
              <w:top w:w="60" w:type="dxa"/>
              <w:left w:w="80" w:type="dxa"/>
              <w:bottom w:w="60" w:type="dxa"/>
              <w:right w:w="80" w:type="dxa"/>
            </w:tcMar>
          </w:tcPr>
          <w:p w14:paraId="2B19A729" w14:textId="77777777" w:rsidR="002511C9" w:rsidRDefault="00000000">
            <w:pPr>
              <w:spacing w:after="0" w:line="264" w:lineRule="auto"/>
              <w:jc w:val="center"/>
            </w:pPr>
            <w:r>
              <w:rPr>
                <w:sz w:val="17"/>
              </w:rPr>
              <w:t>20</w:t>
            </w:r>
          </w:p>
        </w:tc>
        <w:tc>
          <w:tcPr>
            <w:tcW w:w="3168" w:type="dxa"/>
            <w:shd w:val="clear" w:color="auto" w:fill="FFFFFF"/>
            <w:tcMar>
              <w:top w:w="60" w:type="dxa"/>
              <w:left w:w="80" w:type="dxa"/>
              <w:bottom w:w="60" w:type="dxa"/>
              <w:right w:w="80" w:type="dxa"/>
            </w:tcMar>
          </w:tcPr>
          <w:p w14:paraId="122E91E9" w14:textId="77777777" w:rsidR="002511C9" w:rsidRDefault="00000000">
            <w:pPr>
              <w:spacing w:after="0" w:line="264" w:lineRule="auto"/>
            </w:pPr>
            <w:r>
              <w:rPr>
                <w:sz w:val="17"/>
              </w:rPr>
              <w:t>Amann et al. (2020) [32]</w:t>
            </w:r>
          </w:p>
        </w:tc>
        <w:tc>
          <w:tcPr>
            <w:tcW w:w="3168" w:type="dxa"/>
            <w:shd w:val="clear" w:color="auto" w:fill="FFFFFF"/>
            <w:tcMar>
              <w:top w:w="60" w:type="dxa"/>
              <w:left w:w="80" w:type="dxa"/>
              <w:bottom w:w="60" w:type="dxa"/>
              <w:right w:w="80" w:type="dxa"/>
            </w:tcMar>
          </w:tcPr>
          <w:p w14:paraId="1FA04C19" w14:textId="77777777" w:rsidR="002511C9" w:rsidRDefault="00000000">
            <w:pPr>
              <w:spacing w:after="0" w:line="264" w:lineRule="auto"/>
            </w:pPr>
            <w:r>
              <w:rPr>
                <w:sz w:val="17"/>
              </w:rPr>
              <w:t>Formulated clinical trust framework for medical AI.</w:t>
            </w:r>
          </w:p>
        </w:tc>
        <w:tc>
          <w:tcPr>
            <w:tcW w:w="2448" w:type="dxa"/>
            <w:shd w:val="clear" w:color="auto" w:fill="FFFFFF"/>
            <w:tcMar>
              <w:top w:w="60" w:type="dxa"/>
              <w:left w:w="80" w:type="dxa"/>
              <w:bottom w:w="60" w:type="dxa"/>
              <w:right w:w="80" w:type="dxa"/>
            </w:tcMar>
          </w:tcPr>
          <w:p w14:paraId="63941440" w14:textId="77777777" w:rsidR="002511C9" w:rsidRDefault="00000000">
            <w:pPr>
              <w:spacing w:after="0" w:line="264" w:lineRule="auto"/>
            </w:pPr>
            <w:r>
              <w:rPr>
                <w:sz w:val="17"/>
              </w:rPr>
              <w:t>Qualitative review lacking quantitative machine learning experiments.</w:t>
            </w:r>
          </w:p>
        </w:tc>
      </w:tr>
    </w:tbl>
    <w:p w14:paraId="386BFDD8" w14:textId="77777777" w:rsidR="002511C9" w:rsidRDefault="00000000">
      <w:pPr>
        <w:spacing w:before="60" w:after="160"/>
        <w:jc w:val="center"/>
      </w:pPr>
      <w:r>
        <w:rPr>
          <w:i/>
          <w:color w:val="444444"/>
          <w:sz w:val="19"/>
        </w:rPr>
        <w:t>Table 1. Systematic comparative summary of 20 benchmark studies in clinical ML and XAI.</w:t>
      </w:r>
    </w:p>
    <w:p w14:paraId="21F60BCE" w14:textId="77777777" w:rsidR="002511C9" w:rsidRDefault="00000000">
      <w:pPr>
        <w:keepNext/>
        <w:spacing w:before="200" w:after="60"/>
      </w:pPr>
      <w:r>
        <w:rPr>
          <w:b/>
          <w:color w:val="1A3D7C"/>
          <w:sz w:val="23"/>
        </w:rPr>
        <w:t>2.6 Research Gap (Summary)</w:t>
      </w:r>
    </w:p>
    <w:p w14:paraId="772FAA7C" w14:textId="77777777" w:rsidR="002511C9" w:rsidRDefault="00000000">
      <w:pPr>
        <w:jc w:val="both"/>
      </w:pPr>
      <w:r>
        <w:t>Existing literature reveals a persistent trade-off: high accuracy is achieved using complex tree ensembles without explainability, or interpretability is preserved through restricted linear models at the cost of diagnostic sensitivity. Furthermore, studies rarely evaluate explainability pipelines across multiple clinical domains simultaneously. This paper directly bridges these gaps by delivering an end-to-end framework that unifies high-performing gradient boosted classifiers with dual SHAP/LIME explainability across three distinct physiological domains.</w:t>
      </w:r>
    </w:p>
    <w:p w14:paraId="7AAC5047" w14:textId="77777777" w:rsidR="002511C9" w:rsidRDefault="00000000">
      <w:pPr>
        <w:keepNext/>
        <w:spacing w:before="280" w:after="80"/>
      </w:pPr>
      <w:r>
        <w:rPr>
          <w:b/>
          <w:color w:val="0F2B5C"/>
          <w:sz w:val="26"/>
        </w:rPr>
        <w:lastRenderedPageBreak/>
        <w:t>3. PROPOSED METHODOLOGY</w:t>
      </w:r>
    </w:p>
    <w:p w14:paraId="3F90B019" w14:textId="77777777" w:rsidR="002511C9" w:rsidRDefault="00000000">
      <w:pPr>
        <w:keepNext/>
        <w:spacing w:before="200" w:after="60"/>
      </w:pPr>
      <w:r>
        <w:rPr>
          <w:b/>
          <w:color w:val="1A3D7C"/>
          <w:sz w:val="23"/>
        </w:rPr>
        <w:t>3.1 Overall Framework</w:t>
      </w:r>
    </w:p>
    <w:p w14:paraId="642C3460" w14:textId="77777777" w:rsidR="00892605" w:rsidRDefault="00000000">
      <w:pPr>
        <w:jc w:val="both"/>
      </w:pPr>
      <w:r>
        <w:t xml:space="preserve">The proposed architecture operates in five connected phases: </w:t>
      </w:r>
    </w:p>
    <w:p w14:paraId="175AF822" w14:textId="77777777" w:rsidR="00892605" w:rsidRDefault="00000000">
      <w:pPr>
        <w:jc w:val="both"/>
      </w:pPr>
      <w:r>
        <w:t xml:space="preserve">(1) Data Ingestion and Clinical Data Cleaning, </w:t>
      </w:r>
    </w:p>
    <w:p w14:paraId="1E9FF2CA" w14:textId="77777777" w:rsidR="00892605" w:rsidRDefault="00000000">
      <w:pPr>
        <w:jc w:val="both"/>
      </w:pPr>
      <w:r>
        <w:t xml:space="preserve">(2) Exploratory Data Analysis and Feature Profiling, </w:t>
      </w:r>
    </w:p>
    <w:p w14:paraId="0D8D78EB" w14:textId="77777777" w:rsidR="00892605" w:rsidRDefault="00000000">
      <w:pPr>
        <w:jc w:val="both"/>
      </w:pPr>
      <w:r>
        <w:t xml:space="preserve">(3) Classification Modeling and Cross-Validation, </w:t>
      </w:r>
    </w:p>
    <w:p w14:paraId="192AA814" w14:textId="77777777" w:rsidR="00892605" w:rsidRDefault="00000000">
      <w:pPr>
        <w:jc w:val="both"/>
      </w:pPr>
      <w:r>
        <w:t xml:space="preserve">(4) Dual-Layer XAI Explanation Generation, </w:t>
      </w:r>
    </w:p>
    <w:p w14:paraId="2CC0961C" w14:textId="3915ECD0" w:rsidR="002511C9" w:rsidRDefault="00000000">
      <w:pPr>
        <w:jc w:val="both"/>
      </w:pPr>
      <w:r>
        <w:t>(5) Evidence-Based Clinical Dashboard Deployment. Figure 1 outlines the complete system workflow.</w:t>
      </w:r>
    </w:p>
    <w:tbl>
      <w:tblPr>
        <w:tblW w:w="10099" w:type="dxa"/>
        <w:jc w:val="center"/>
        <w:tblLook w:val="04A0" w:firstRow="1" w:lastRow="0" w:firstColumn="1" w:lastColumn="0" w:noHBand="0" w:noVBand="1"/>
      </w:tblPr>
      <w:tblGrid>
        <w:gridCol w:w="10099"/>
      </w:tblGrid>
      <w:tr w:rsidR="002511C9" w14:paraId="329316EE" w14:textId="77777777" w:rsidTr="00892605">
        <w:trPr>
          <w:trHeight w:val="8774"/>
          <w:jc w:val="center"/>
        </w:trPr>
        <w:tc>
          <w:tcPr>
            <w:tcW w:w="10099" w:type="dxa"/>
            <w:shd w:val="clear" w:color="auto" w:fill="F4F6F9"/>
            <w:tcMar>
              <w:top w:w="120" w:type="dxa"/>
              <w:left w:w="150" w:type="dxa"/>
              <w:bottom w:w="120" w:type="dxa"/>
              <w:right w:w="150" w:type="dxa"/>
            </w:tcMar>
          </w:tcPr>
          <w:p w14:paraId="734B80A4" w14:textId="77777777" w:rsidR="002511C9" w:rsidRDefault="00000000">
            <w:pPr>
              <w:jc w:val="center"/>
            </w:pPr>
            <w:r w:rsidRPr="00892605">
              <w:rPr>
                <w:rFonts w:ascii="Courier New" w:hAnsi="Courier New"/>
                <w:szCs w:val="32"/>
              </w:rPr>
              <w:t>[ Clinical Data Sources: Cardiovascular | Metabolic | Oncological ]</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Data Preprocessing: MICE Imputation → Outlier Capping → Robust Scaling → SMOTE-Tomek ]</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Exploratory Data Analysis: Covariance Matrices, Distribution Analysis, Anomaly Triage ]</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Multi-Model Training: Logistic Regression, Decision Tree, Random Forest, XGBoost, CatBoost ]</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Stratified 5-Fold Cross-Validation &amp; Metric Optimization (ROC-AUC / Clinical Recall) ]</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xml:space="preserve">              ▼                                               ▼</w:t>
            </w:r>
            <w:r w:rsidRPr="00892605">
              <w:rPr>
                <w:rFonts w:ascii="Courier New" w:hAnsi="Courier New"/>
                <w:szCs w:val="32"/>
              </w:rPr>
              <w:br/>
              <w:t xml:space="preserve">     [ Global Explainability ]                       [ Local Explainability ]</w:t>
            </w:r>
            <w:r w:rsidRPr="00892605">
              <w:rPr>
                <w:rFonts w:ascii="Courier New" w:hAnsi="Courier New"/>
                <w:szCs w:val="32"/>
              </w:rPr>
              <w:br/>
              <w:t xml:space="preserve">     - TreeSHAP Summary Plots                        - Patient SHAP Waterfall Plots</w:t>
            </w:r>
            <w:r w:rsidRPr="00892605">
              <w:rPr>
                <w:rFonts w:ascii="Courier New" w:hAnsi="Courier New"/>
                <w:szCs w:val="32"/>
              </w:rPr>
              <w:br/>
              <w:t xml:space="preserve">     - Global Cohort Feature Impact                  - LIME Local Surrogate Weights</w:t>
            </w:r>
            <w:r w:rsidRPr="00892605">
              <w:rPr>
                <w:rFonts w:ascii="Courier New" w:hAnsi="Courier New"/>
                <w:szCs w:val="32"/>
              </w:rPr>
              <w:br/>
              <w:t xml:space="preserve">              └───────────────────────┬───────────────────────┘</w:t>
            </w:r>
            <w:r w:rsidRPr="00892605">
              <w:rPr>
                <w:rFonts w:ascii="Courier New" w:hAnsi="Courier New"/>
                <w:szCs w:val="32"/>
              </w:rPr>
              <w:br/>
              <w:t xml:space="preserve">                                      ▼</w:t>
            </w:r>
            <w:r w:rsidRPr="00892605">
              <w:rPr>
                <w:rFonts w:ascii="Courier New" w:hAnsi="Courier New"/>
                <w:szCs w:val="32"/>
              </w:rPr>
              <w:br/>
              <w:t>[ Interactive Clinical Decision Support System Dashboard (Streamlit UI) ]</w:t>
            </w:r>
          </w:p>
        </w:tc>
      </w:tr>
    </w:tbl>
    <w:p w14:paraId="4FE36BF8" w14:textId="77777777" w:rsidR="002511C9" w:rsidRDefault="00000000">
      <w:pPr>
        <w:spacing w:before="60" w:after="160"/>
        <w:jc w:val="center"/>
      </w:pPr>
      <w:r>
        <w:rPr>
          <w:i/>
          <w:color w:val="444444"/>
          <w:sz w:val="19"/>
        </w:rPr>
        <w:t>Fig. 1. End-to-end explainable medical diagnosis system architecture.</w:t>
      </w:r>
    </w:p>
    <w:p w14:paraId="62B1FC2F" w14:textId="77777777" w:rsidR="002511C9" w:rsidRDefault="00000000">
      <w:pPr>
        <w:keepNext/>
        <w:spacing w:before="200" w:after="60"/>
      </w:pPr>
      <w:r>
        <w:rPr>
          <w:b/>
          <w:color w:val="1A3D7C"/>
          <w:sz w:val="23"/>
        </w:rPr>
        <w:lastRenderedPageBreak/>
        <w:t>3.2 Datasets Description</w:t>
      </w:r>
    </w:p>
    <w:p w14:paraId="612470E9" w14:textId="77777777" w:rsidR="002511C9" w:rsidRDefault="00000000">
      <w:pPr>
        <w:pStyle w:val="ListBullet"/>
        <w:spacing w:after="80"/>
      </w:pPr>
      <w:r>
        <w:rPr>
          <w:b/>
        </w:rPr>
        <w:t xml:space="preserve">Cardiovascular Domain (Cleveland Heart Disease): </w:t>
      </w:r>
      <w:r>
        <w:t>Sourced from the UCI ML Repository, comprising N = 303 patient records with 13 clinical attributes including resting blood pressure (trestbps), serum cholesterol (chol), maximum achieved heart rate (thalach), ST depression (oldpeak), fluoroscopy vessel count (ca), and thallium scan status (thal). The binary target represents the presence of angiographic coronary heart disease (&gt;= 50% diameter stenosis).</w:t>
      </w:r>
    </w:p>
    <w:p w14:paraId="4E0C92AE" w14:textId="77777777" w:rsidR="002511C9" w:rsidRDefault="00000000">
      <w:pPr>
        <w:pStyle w:val="ListBullet"/>
        <w:spacing w:after="80"/>
      </w:pPr>
      <w:r>
        <w:rPr>
          <w:b/>
        </w:rPr>
        <w:t xml:space="preserve">Metabolic Domain (Pima Indians Diabetes): </w:t>
      </w:r>
      <w:r>
        <w:t>Maintained by NIDDK, comprising N = 768 female patient records across 8 physiological features: pregnancies, 2-hour oral glucose tolerance test, diastolic blood pressure, triceps skin fold thickness, 2-hour serum insulin, body mass index (BMI), diabetes pedigree function, and age. The target indicates diabetes onset within 5 years.</w:t>
      </w:r>
    </w:p>
    <w:p w14:paraId="5363F699" w14:textId="77777777" w:rsidR="002511C9" w:rsidRDefault="00000000">
      <w:pPr>
        <w:pStyle w:val="ListBullet"/>
        <w:spacing w:after="80"/>
      </w:pPr>
      <w:r>
        <w:rPr>
          <w:b/>
        </w:rPr>
        <w:t xml:space="preserve">Oncological Domain (Wisconsin Breast Cancer Diagnostic - WDBC): </w:t>
      </w:r>
      <w:r>
        <w:t>Comprises N = 569 patient biopsy samples with 30 continuous features computed from digitized fine needle aspirate (FNA) images describing nuclear morphology: radius, texture, perimeter, area, smoothness, compactness, concavity, concave points, symmetry, and fractal dimension, categorized across Mean, Standard Error (SE), and Worst. The target indicates tissue malignancy (Malignant vs. Benign).</w:t>
      </w:r>
    </w:p>
    <w:p w14:paraId="3CF8402C" w14:textId="77777777" w:rsidR="002511C9" w:rsidRDefault="00000000">
      <w:pPr>
        <w:keepNext/>
        <w:spacing w:before="200" w:after="60"/>
      </w:pPr>
      <w:r>
        <w:rPr>
          <w:b/>
          <w:color w:val="1A3D7C"/>
          <w:sz w:val="23"/>
        </w:rPr>
        <w:t>3.3 Data Preprocessing</w:t>
      </w:r>
    </w:p>
    <w:p w14:paraId="1AC2A3BD" w14:textId="77777777" w:rsidR="002511C9" w:rsidRDefault="00000000">
      <w:pPr>
        <w:jc w:val="both"/>
      </w:pPr>
      <w:r>
        <w:t>Clinical datasets routinely suffer from missing values, physiological anomalies, and class imbalance. We apply a standardized preprocessing sequence across all domains:</w:t>
      </w:r>
    </w:p>
    <w:p w14:paraId="381055A3" w14:textId="77777777" w:rsidR="002511C9" w:rsidRDefault="00000000">
      <w:pPr>
        <w:pStyle w:val="ListBullet"/>
        <w:spacing w:after="80"/>
      </w:pPr>
      <w:r>
        <w:rPr>
          <w:b/>
        </w:rPr>
        <w:t xml:space="preserve">Missing Value Imputation: </w:t>
      </w:r>
      <w:r>
        <w:t>In the Pima dataset, biologically implausible zero entries for glucose, blood pressure, skinfold thickness, insulin, and BMI are treated as missing and imputed using Multivariate Imputation by Chained Equations (MICE) with Bayesian Ridge estimators across 10 iterations [31].</w:t>
      </w:r>
    </w:p>
    <w:p w14:paraId="65B22F18" w14:textId="77777777" w:rsidR="002511C9" w:rsidRDefault="00000000">
      <w:pPr>
        <w:pStyle w:val="ListBullet"/>
        <w:spacing w:after="80"/>
      </w:pPr>
      <w:r>
        <w:rPr>
          <w:b/>
        </w:rPr>
        <w:t xml:space="preserve">Outlier Capping: </w:t>
      </w:r>
      <w:r>
        <w:t>Extreme physiological values exceeding the 99th percentile are winsorized to prevent gradient distortion while preserving patient sample size:</w:t>
      </w:r>
    </w:p>
    <w:p w14:paraId="7FC5A699" w14:textId="77777777" w:rsidR="002511C9" w:rsidRDefault="00000000">
      <w:pPr>
        <w:spacing w:before="80"/>
        <w:jc w:val="center"/>
      </w:pPr>
      <w:r>
        <w:rPr>
          <w:rFonts w:ascii="Cambria Math" w:hAnsi="Cambria Math"/>
          <w:i/>
        </w:rPr>
        <w:t>x_capped = min(max(x, Q_0.01), Q_0.99)</w:t>
      </w:r>
    </w:p>
    <w:p w14:paraId="5C953796" w14:textId="77777777" w:rsidR="002511C9" w:rsidRDefault="00000000">
      <w:pPr>
        <w:pStyle w:val="ListBullet"/>
        <w:spacing w:after="80"/>
      </w:pPr>
      <w:r>
        <w:rPr>
          <w:b/>
        </w:rPr>
        <w:t xml:space="preserve">Robust Normalization: </w:t>
      </w:r>
      <w:r>
        <w:t>Numerical features are scaled using the median and Interquartile Range (IQR = Q_75 - Q_25) to maintain stability against non-Gaussian distributions:</w:t>
      </w:r>
    </w:p>
    <w:p w14:paraId="63826702" w14:textId="77777777" w:rsidR="002511C9" w:rsidRDefault="00000000">
      <w:pPr>
        <w:spacing w:before="80"/>
        <w:jc w:val="center"/>
      </w:pPr>
      <w:r>
        <w:rPr>
          <w:rFonts w:ascii="Cambria Math" w:hAnsi="Cambria Math"/>
          <w:i/>
        </w:rPr>
        <w:t>x_scaled = (x - median(x)) / (Q_75 - Q_25)</w:t>
      </w:r>
    </w:p>
    <w:p w14:paraId="1CB698B0" w14:textId="77777777" w:rsidR="002511C9" w:rsidRDefault="00000000">
      <w:pPr>
        <w:pStyle w:val="ListBullet"/>
        <w:spacing w:after="80"/>
      </w:pPr>
      <w:r>
        <w:rPr>
          <w:b/>
        </w:rPr>
        <w:t xml:space="preserve">Class Rebalancing: </w:t>
      </w:r>
      <w:r>
        <w:t>To overcome class imbalance without introducing synthetic artifacts into evaluation data, SMOTE-Tomek (Synthetic Minority Over-sampling with Tomek link cleaning) is applied exclusively within training folds during cross-validation.</w:t>
      </w:r>
    </w:p>
    <w:p w14:paraId="240C4D10" w14:textId="77777777" w:rsidR="002511C9" w:rsidRDefault="00000000">
      <w:pPr>
        <w:keepNext/>
        <w:spacing w:before="200" w:after="60"/>
      </w:pPr>
      <w:r>
        <w:rPr>
          <w:b/>
          <w:color w:val="1A3D7C"/>
          <w:sz w:val="23"/>
        </w:rPr>
        <w:t>3.4 Exploratory Data Analysis (EDA)</w:t>
      </w:r>
    </w:p>
    <w:p w14:paraId="06F53057" w14:textId="77777777" w:rsidR="002511C9" w:rsidRDefault="00000000">
      <w:pPr>
        <w:jc w:val="both"/>
      </w:pPr>
      <w:r>
        <w:t>A thorough exploratory data analysis was conducted across all three clinical datasets to identify physiological distributions, inter-feature correlations, and anomalous distributions:</w:t>
      </w:r>
    </w:p>
    <w:p w14:paraId="074C1EB3" w14:textId="77777777" w:rsidR="002511C9" w:rsidRDefault="00000000">
      <w:pPr>
        <w:pStyle w:val="ListBullet"/>
        <w:spacing w:after="80"/>
      </w:pPr>
      <w:r>
        <w:rPr>
          <w:b/>
        </w:rPr>
        <w:t xml:space="preserve">Cardiovascular EDA: </w:t>
      </w:r>
      <w:r>
        <w:t xml:space="preserve">The target distribution contains 165 positive cases (54.5%) and 138 negative cases (45.5%). A strong negative Pearson correlation (r = -0.42) was observed between maximum achieved heart rate (thalach) and heart disease presence. ST depression (oldpeak &gt; 2.0 mm) during exercise testing correlated with a 76.4% probability of positive angiographic diagnosis. The number </w:t>
      </w:r>
      <w:r>
        <w:lastRenderedPageBreak/>
        <w:t>of major vessels colored by fluoroscopy (ca) demonstrated high diagnostic separation, where ca &gt; 0 doubled the positive risk ratio.</w:t>
      </w:r>
    </w:p>
    <w:p w14:paraId="0E426922" w14:textId="77777777" w:rsidR="002511C9" w:rsidRDefault="00000000">
      <w:pPr>
        <w:pStyle w:val="ListBullet"/>
        <w:spacing w:after="80"/>
      </w:pPr>
      <w:r>
        <w:rPr>
          <w:b/>
        </w:rPr>
        <w:t xml:space="preserve">Metabolic EDA: </w:t>
      </w:r>
      <w:r>
        <w:t>The original cohort contains 500 non-diabetic (65.1%) and 268 diabetic (34.9%) records. Zero entries accounted for 48.7% of insulin and 29.5% of skinfold thickness values. Post-imputation analysis showed clear bimodal separation in plasma glucose, with a median of 142 mg/dL in diabetic patients versus 107 mg/dL in non-diabetic controls. A Spearman correlation matrix confirmed moderate collinearity between BMI and skinfold thickness (r = 0.54).</w:t>
      </w:r>
    </w:p>
    <w:p w14:paraId="24C8085B" w14:textId="77777777" w:rsidR="002511C9" w:rsidRDefault="00000000">
      <w:pPr>
        <w:pStyle w:val="ListBullet"/>
        <w:spacing w:after="80"/>
      </w:pPr>
      <w:r>
        <w:rPr>
          <w:b/>
        </w:rPr>
        <w:t xml:space="preserve">Oncological EDA: </w:t>
      </w:r>
      <w:r>
        <w:t>The cohort includes 357 benign (62.7%) and 212 malignant (37.3%) biopsies. Nuclear perimeter worst, radius worst, and concave points worst provided clear boundary separation. Malignant nuclei exhibited a right-skewed distribution in concave points worst (mean: 0.182) compared to benign nuclei (mean: 0.074), indicating that boundary indentations strongly indicate malignant cellular growth.</w:t>
      </w:r>
    </w:p>
    <w:p w14:paraId="28F55E15" w14:textId="77777777" w:rsidR="002511C9" w:rsidRDefault="00000000">
      <w:pPr>
        <w:keepNext/>
        <w:spacing w:before="200" w:after="60"/>
      </w:pPr>
      <w:r>
        <w:rPr>
          <w:b/>
          <w:color w:val="1A3D7C"/>
          <w:sz w:val="23"/>
        </w:rPr>
        <w:t>3.5 Proposed Models and Baselines</w:t>
      </w:r>
    </w:p>
    <w:p w14:paraId="682708FE" w14:textId="77777777" w:rsidR="002511C9" w:rsidRDefault="00000000">
      <w:pPr>
        <w:jc w:val="both"/>
      </w:pPr>
      <w:r>
        <w:t>We evaluate five classification architectures representing diverse inductive biases [4], [5], [6], [8]:</w:t>
      </w:r>
    </w:p>
    <w:p w14:paraId="3C90EF69" w14:textId="77777777" w:rsidR="002511C9" w:rsidRDefault="00000000">
      <w:pPr>
        <w:pStyle w:val="ListBullet"/>
        <w:spacing w:after="80"/>
      </w:pPr>
      <w:r>
        <w:rPr>
          <w:b/>
        </w:rPr>
        <w:t xml:space="preserve">Logistic Regression (ElasticNet): </w:t>
      </w:r>
      <w:r>
        <w:t>A regularized generalized linear model combining L1 (Lasso) and L2 (Ridge) penalties, providing a transparent parametric baseline [4].</w:t>
      </w:r>
    </w:p>
    <w:p w14:paraId="1F3D61A5" w14:textId="77777777" w:rsidR="002511C9" w:rsidRDefault="00000000">
      <w:pPr>
        <w:pStyle w:val="ListBullet"/>
        <w:spacing w:after="80"/>
      </w:pPr>
      <w:r>
        <w:rPr>
          <w:b/>
        </w:rPr>
        <w:t xml:space="preserve">Decision Tree (CART): </w:t>
      </w:r>
      <w:r>
        <w:t>A non-parametric tree algorithm applying Gini impurity criteria to partition feature space into orthogonal decision blocks.</w:t>
      </w:r>
    </w:p>
    <w:p w14:paraId="10D7A9E5" w14:textId="77777777" w:rsidR="002511C9" w:rsidRDefault="00000000">
      <w:pPr>
        <w:pStyle w:val="ListBullet"/>
        <w:spacing w:after="80"/>
      </w:pPr>
      <w:r>
        <w:rPr>
          <w:b/>
        </w:rPr>
        <w:t xml:space="preserve">Random Forest: </w:t>
      </w:r>
      <w:r>
        <w:t>An ensemble of decorrelated bagged decision trees that reduces variance across noisy physiological measurements [5].</w:t>
      </w:r>
    </w:p>
    <w:p w14:paraId="3C9D7D73" w14:textId="77777777" w:rsidR="002511C9" w:rsidRDefault="00000000">
      <w:pPr>
        <w:pStyle w:val="ListBullet"/>
        <w:spacing w:after="80"/>
      </w:pPr>
      <w:r>
        <w:rPr>
          <w:b/>
        </w:rPr>
        <w:t xml:space="preserve">XGBoost: </w:t>
      </w:r>
      <w:r>
        <w:t>An optimized gradient boosted decision tree algorithm incorporating second-order Taylor expansions of the loss function and shrinkage regularization [6].</w:t>
      </w:r>
    </w:p>
    <w:p w14:paraId="00E274A8" w14:textId="77777777" w:rsidR="002511C9" w:rsidRDefault="00000000">
      <w:pPr>
        <w:pStyle w:val="ListBullet"/>
        <w:spacing w:after="80"/>
      </w:pPr>
      <w:r>
        <w:rPr>
          <w:b/>
        </w:rPr>
        <w:t xml:space="preserve">CatBoost: </w:t>
      </w:r>
      <w:r>
        <w:t>A gradient boosting framework utilizing symmetric oblivious trees and ordered target encoding to prevent target leakage across categorical features [8].</w:t>
      </w:r>
    </w:p>
    <w:p w14:paraId="0AA1F646" w14:textId="77777777" w:rsidR="002511C9" w:rsidRDefault="00000000">
      <w:pPr>
        <w:keepNext/>
        <w:spacing w:before="200" w:after="60"/>
      </w:pPr>
      <w:r>
        <w:rPr>
          <w:b/>
          <w:color w:val="1A3D7C"/>
          <w:sz w:val="23"/>
        </w:rPr>
        <w:t>3.6 Algorithmic and Mathematical Formulation</w:t>
      </w:r>
    </w:p>
    <w:p w14:paraId="0271997A" w14:textId="77777777" w:rsidR="002511C9" w:rsidRDefault="00000000">
      <w:pPr>
        <w:jc w:val="both"/>
      </w:pPr>
      <w:r>
        <w:t>Gradient boosted decision trees fit base learners f_m(x) sequentially to minimize a regularized clinical loss function:</w:t>
      </w:r>
    </w:p>
    <w:p w14:paraId="5B198538" w14:textId="77777777" w:rsidR="002511C9" w:rsidRDefault="00000000">
      <w:pPr>
        <w:spacing w:before="80"/>
        <w:jc w:val="center"/>
      </w:pPr>
      <w:r>
        <w:rPr>
          <w:rFonts w:ascii="Cambria Math" w:hAnsi="Cambria Math"/>
          <w:i/>
        </w:rPr>
        <w:t>L^(m) = SUM_{i=1}^n l(y_i, y_hat_i^(m-1) + f_m(x_i)) + Omega(f_m)</w:t>
      </w:r>
    </w:p>
    <w:p w14:paraId="7D1897C3" w14:textId="77777777" w:rsidR="002511C9" w:rsidRDefault="00000000">
      <w:pPr>
        <w:jc w:val="both"/>
      </w:pPr>
      <w:r>
        <w:t>where the regularization penalty Omega(f_m) = gamma * T + 0.5 * lambda * SUM_{j=1}^T w_j^2 penalizes tree depth T and leaf weights w.</w:t>
      </w:r>
    </w:p>
    <w:p w14:paraId="338307E8" w14:textId="77777777" w:rsidR="002511C9" w:rsidRDefault="00000000">
      <w:pPr>
        <w:jc w:val="both"/>
      </w:pPr>
      <w:r>
        <w:t>To interpret model predictions, we compute exact Shapley values grounded in cooperative game theory [14]. For a model f and feature subset S subseteq F \ {i}:</w:t>
      </w:r>
    </w:p>
    <w:p w14:paraId="44D310B2" w14:textId="77777777" w:rsidR="002511C9" w:rsidRDefault="00000000">
      <w:pPr>
        <w:spacing w:before="80"/>
        <w:jc w:val="center"/>
      </w:pPr>
      <w:r>
        <w:rPr>
          <w:rFonts w:ascii="Cambria Math" w:hAnsi="Cambria Math"/>
          <w:i/>
        </w:rPr>
        <w:t>phi_i(x) = SUM_{S subseteq F \ {i}} [ |S|! (|F| - |S| - 1)! / |F|! ] * [ f_x(S union {i}) - f_x(S) ]</w:t>
      </w:r>
    </w:p>
    <w:p w14:paraId="70344617" w14:textId="77777777" w:rsidR="002511C9" w:rsidRDefault="00000000">
      <w:pPr>
        <w:jc w:val="both"/>
      </w:pPr>
      <w:r>
        <w:t>where phi_i(x) represents the marginal contribution of biomarker i to the diagnostic probability. For localized surrogate explanations, LIME minimizes an explanatory loss [13]:</w:t>
      </w:r>
    </w:p>
    <w:p w14:paraId="2071E0DC" w14:textId="77777777" w:rsidR="002511C9" w:rsidRDefault="00000000">
      <w:pPr>
        <w:spacing w:before="80"/>
        <w:jc w:val="center"/>
      </w:pPr>
      <w:r>
        <w:rPr>
          <w:rFonts w:ascii="Cambria Math" w:hAnsi="Cambria Math"/>
          <w:i/>
        </w:rPr>
        <w:t>xi(x) = argmin_{g in G} L(f, g, pi_x) + Omega(g)</w:t>
      </w:r>
    </w:p>
    <w:p w14:paraId="4BCC1F2E" w14:textId="77777777" w:rsidR="002511C9" w:rsidRDefault="00000000">
      <w:pPr>
        <w:jc w:val="both"/>
      </w:pPr>
      <w:r>
        <w:t>where g is an interpretable linear model, pi_x(z) = exp(-D(x, z)^2 / sigma^2) defines an exponential proximity kernel between original patient x and perturbed sample z, and Omega(g) controls model complexity.</w:t>
      </w:r>
    </w:p>
    <w:p w14:paraId="70D4F795" w14:textId="77777777" w:rsidR="002511C9" w:rsidRDefault="00000000">
      <w:pPr>
        <w:keepNext/>
        <w:spacing w:before="280" w:after="80"/>
      </w:pPr>
      <w:r>
        <w:rPr>
          <w:b/>
          <w:color w:val="0F2B5C"/>
          <w:sz w:val="26"/>
        </w:rPr>
        <w:lastRenderedPageBreak/>
        <w:t>4. EXPERIMENTAL SETUP</w:t>
      </w:r>
    </w:p>
    <w:p w14:paraId="352B0119" w14:textId="77777777" w:rsidR="002511C9" w:rsidRDefault="00000000">
      <w:pPr>
        <w:keepNext/>
        <w:spacing w:before="200" w:after="60"/>
      </w:pPr>
      <w:r>
        <w:rPr>
          <w:b/>
          <w:color w:val="1A3D7C"/>
          <w:sz w:val="23"/>
        </w:rPr>
        <w:t>4.1 Hardware and Software Environment</w:t>
      </w:r>
    </w:p>
    <w:p w14:paraId="4DD5DA32" w14:textId="77777777" w:rsidR="002511C9" w:rsidRDefault="00000000">
      <w:pPr>
        <w:jc w:val="both"/>
      </w:pPr>
      <w:r>
        <w:t>All experimental pipelines were executed on an eight-core Intel Core i7-11800H processor @ 2.30 GHz with 32 GB DDR4 RAM and an NVIDIA GeForce RTX 3060 GPU running Ubuntu 22.04 LTS. The software stack was built in Python 3.10 utilizing scikit-learn (v1.3.0), XGBoost (v1.7.6), CatBoost (v1.2.0), SHAP (v0.42.1), LIME (v0.2.0.1), Streamlit (v1.25.0), and Seaborn/Matplotlib for data visualization.</w:t>
      </w:r>
    </w:p>
    <w:p w14:paraId="2020A042" w14:textId="77777777" w:rsidR="002511C9" w:rsidRDefault="00000000">
      <w:pPr>
        <w:keepNext/>
        <w:spacing w:before="200" w:after="60"/>
      </w:pPr>
      <w:r>
        <w:rPr>
          <w:b/>
          <w:color w:val="1A3D7C"/>
          <w:sz w:val="23"/>
        </w:rPr>
        <w:t>4.2 Dataset Split and Cross-Validation</w:t>
      </w:r>
    </w:p>
    <w:p w14:paraId="1EB0D3A1" w14:textId="77777777" w:rsidR="002511C9" w:rsidRDefault="00000000">
      <w:pPr>
        <w:jc w:val="both"/>
      </w:pPr>
      <w:r>
        <w:t>To prevent data leakage and provide reliable generalization estimates, we implemented Stratified 5-Fold Cross-Validation (k=5). Preprocessing parameters (MICE imputation models, scaling medians, and SMOTE-Tomek transformations) were fitted exclusively on training folds (80%) and subsequently applied to held-out test splits (20%). All reported performance metrics represent the mean and standard deviation across the 5 test folds.</w:t>
      </w:r>
    </w:p>
    <w:p w14:paraId="00B37E31" w14:textId="77777777" w:rsidR="002511C9" w:rsidRDefault="00000000">
      <w:pPr>
        <w:keepNext/>
        <w:spacing w:before="200" w:after="60"/>
      </w:pPr>
      <w:r>
        <w:rPr>
          <w:b/>
          <w:color w:val="1A3D7C"/>
          <w:sz w:val="23"/>
        </w:rPr>
        <w:t>4.3 Hyperparameter Configuration</w:t>
      </w:r>
    </w:p>
    <w:p w14:paraId="00FCC1D8" w14:textId="77777777" w:rsidR="002511C9" w:rsidRDefault="00000000">
      <w:pPr>
        <w:jc w:val="both"/>
      </w:pPr>
      <w:r>
        <w:t>Hyperparameters were optimized using Bayesian Optimization with Tree-structured Parzen Estimators (TPE) via Optuna over 50 iterations, targeting validation ROC-AUC:</w:t>
      </w:r>
    </w:p>
    <w:p w14:paraId="7BA53D1B" w14:textId="77777777" w:rsidR="002511C9" w:rsidRDefault="00000000">
      <w:pPr>
        <w:pStyle w:val="ListBullet"/>
        <w:spacing w:after="80"/>
      </w:pPr>
      <w:r>
        <w:rPr>
          <w:b/>
        </w:rPr>
        <w:t xml:space="preserve">Logistic Regression: </w:t>
      </w:r>
      <w:r>
        <w:t>Regularization C in [0.001, 100], ElasticNet ratio in [0.1, 0.9], solver = 'saga'.</w:t>
      </w:r>
    </w:p>
    <w:p w14:paraId="0D261EA5" w14:textId="77777777" w:rsidR="002511C9" w:rsidRDefault="00000000">
      <w:pPr>
        <w:pStyle w:val="ListBullet"/>
        <w:spacing w:after="80"/>
      </w:pPr>
      <w:r>
        <w:rPr>
          <w:b/>
        </w:rPr>
        <w:t xml:space="preserve">Random Forest: </w:t>
      </w:r>
      <w:r>
        <w:t>Estimators n in [100, 500], maximum depth d in [3, 12], min samples split in [2, 10].</w:t>
      </w:r>
    </w:p>
    <w:p w14:paraId="0A726567" w14:textId="77777777" w:rsidR="002511C9" w:rsidRDefault="00000000">
      <w:pPr>
        <w:pStyle w:val="ListBullet"/>
        <w:spacing w:after="80"/>
      </w:pPr>
      <w:r>
        <w:rPr>
          <w:b/>
        </w:rPr>
        <w:t xml:space="preserve">XGBoost: </w:t>
      </w:r>
      <w:r>
        <w:t>Learning rate eta in [0.01, 0.2], max depth in [3, 8], subsample in [0.6, 1.0], colsample_bytree in [0.6, 1.0], gamma in [0, 5].</w:t>
      </w:r>
    </w:p>
    <w:p w14:paraId="61A8E281" w14:textId="77777777" w:rsidR="002511C9" w:rsidRDefault="00000000">
      <w:pPr>
        <w:pStyle w:val="ListBullet"/>
        <w:spacing w:after="80"/>
      </w:pPr>
      <w:r>
        <w:rPr>
          <w:b/>
        </w:rPr>
        <w:t xml:space="preserve">CatBoost: </w:t>
      </w:r>
      <w:r>
        <w:t>Iterations in [200, 800], learning rate alpha in [0.01, 0.15], depth in [4, 8], L2 regularization in [1, 10].</w:t>
      </w:r>
    </w:p>
    <w:p w14:paraId="270650A6" w14:textId="77777777" w:rsidR="002511C9" w:rsidRDefault="00000000">
      <w:pPr>
        <w:keepNext/>
        <w:spacing w:before="200" w:after="60"/>
      </w:pPr>
      <w:r>
        <w:rPr>
          <w:b/>
          <w:color w:val="1A3D7C"/>
          <w:sz w:val="23"/>
        </w:rPr>
        <w:t>4.4 Evaluation Metrics</w:t>
      </w:r>
    </w:p>
    <w:p w14:paraId="3850A55B" w14:textId="77777777" w:rsidR="002511C9" w:rsidRDefault="00000000">
      <w:pPr>
        <w:jc w:val="both"/>
      </w:pPr>
      <w:r>
        <w:t>To evaluate both predictive accuracy and clinical safety, five standard metrics were calculated [35]:</w:t>
      </w:r>
    </w:p>
    <w:p w14:paraId="08E45E9E" w14:textId="77777777" w:rsidR="002511C9" w:rsidRDefault="00000000">
      <w:pPr>
        <w:spacing w:before="80"/>
        <w:jc w:val="center"/>
      </w:pPr>
      <w:r>
        <w:rPr>
          <w:rFonts w:ascii="Cambria Math" w:hAnsi="Cambria Math"/>
          <w:i/>
        </w:rPr>
        <w:t>Accuracy = (TP + TN) / (TP + TN + FP + FN)</w:t>
      </w:r>
    </w:p>
    <w:p w14:paraId="3C0E7C9C" w14:textId="77777777" w:rsidR="002511C9" w:rsidRDefault="00000000">
      <w:pPr>
        <w:spacing w:before="80"/>
        <w:jc w:val="center"/>
      </w:pPr>
      <w:r>
        <w:rPr>
          <w:rFonts w:ascii="Cambria Math" w:hAnsi="Cambria Math"/>
          <w:i/>
        </w:rPr>
        <w:t>Precision = TP / (TP + FP)   [Minimizing False Positive Over-treatment]</w:t>
      </w:r>
    </w:p>
    <w:p w14:paraId="12CF42C4" w14:textId="77777777" w:rsidR="002511C9" w:rsidRDefault="00000000">
      <w:pPr>
        <w:spacing w:before="80"/>
        <w:jc w:val="center"/>
      </w:pPr>
      <w:r>
        <w:rPr>
          <w:rFonts w:ascii="Cambria Math" w:hAnsi="Cambria Math"/>
          <w:i/>
        </w:rPr>
        <w:t>Recall (Sensitivity) = TP / (TP + FN)   [Minimizing Missed Diagnoses]</w:t>
      </w:r>
    </w:p>
    <w:p w14:paraId="344127BB" w14:textId="77777777" w:rsidR="002511C9" w:rsidRDefault="00000000">
      <w:pPr>
        <w:spacing w:before="80"/>
        <w:jc w:val="center"/>
      </w:pPr>
      <w:r>
        <w:rPr>
          <w:rFonts w:ascii="Cambria Math" w:hAnsi="Cambria Math"/>
          <w:i/>
        </w:rPr>
        <w:t>F1-Score = 2 * (Precision * Recall) / (Precision + Recall)</w:t>
      </w:r>
    </w:p>
    <w:p w14:paraId="429DF232" w14:textId="77777777" w:rsidR="002511C9" w:rsidRDefault="00000000">
      <w:pPr>
        <w:spacing w:before="80"/>
        <w:jc w:val="center"/>
      </w:pPr>
      <w:r>
        <w:rPr>
          <w:rFonts w:ascii="Cambria Math" w:hAnsi="Cambria Math"/>
          <w:i/>
        </w:rPr>
        <w:t>ROC-AUC = Integral_0^1 TPR(FPR^-1(t)) dt</w:t>
      </w:r>
    </w:p>
    <w:p w14:paraId="40614A05" w14:textId="77777777" w:rsidR="002511C9" w:rsidRDefault="00000000">
      <w:pPr>
        <w:keepNext/>
        <w:spacing w:before="200" w:after="60"/>
      </w:pPr>
      <w:r>
        <w:rPr>
          <w:b/>
          <w:color w:val="1A3D7C"/>
          <w:sz w:val="23"/>
        </w:rPr>
        <w:t>4.5 Statistical Testing</w:t>
      </w:r>
    </w:p>
    <w:p w14:paraId="6F618432" w14:textId="77777777" w:rsidR="002511C9" w:rsidRDefault="00000000">
      <w:pPr>
        <w:jc w:val="both"/>
      </w:pPr>
      <w:r>
        <w:t>To determine whether performance improvements between classifiers were statistically significant, we conducted pair-wise two-tailed Wilcoxon signed-rank tests across the 5 validation folds. Significance was established at p &lt; 0.05.</w:t>
      </w:r>
    </w:p>
    <w:p w14:paraId="0B195EF7" w14:textId="77777777" w:rsidR="002511C9" w:rsidRDefault="00000000">
      <w:pPr>
        <w:keepNext/>
        <w:spacing w:before="280" w:after="80"/>
      </w:pPr>
      <w:r>
        <w:rPr>
          <w:b/>
          <w:color w:val="0F2B5C"/>
          <w:sz w:val="26"/>
        </w:rPr>
        <w:lastRenderedPageBreak/>
        <w:t>5. RESULTS</w:t>
      </w:r>
    </w:p>
    <w:p w14:paraId="675CD350" w14:textId="77777777" w:rsidR="002511C9" w:rsidRDefault="00000000">
      <w:pPr>
        <w:keepNext/>
        <w:spacing w:before="200" w:after="60"/>
      </w:pPr>
      <w:r>
        <w:rPr>
          <w:b/>
          <w:color w:val="1A3D7C"/>
          <w:sz w:val="23"/>
        </w:rPr>
        <w:t>5.1 Overall Performance</w:t>
      </w:r>
    </w:p>
    <w:p w14:paraId="6F239CFF" w14:textId="77777777" w:rsidR="002511C9" w:rsidRDefault="00000000">
      <w:pPr>
        <w:jc w:val="both"/>
      </w:pPr>
      <w:r>
        <w:t>Across all three clinical domains, tree-based ensemble models—specifically CatBoost and XGBoost—outperformed linear and single-tree baselines. CatBoost achieved superior diagnostic discrimination on the cardiovascular and metabolic benchmarks, while XGBoost attained peak performance on the Wisconsin Breast Cancer dataset.</w:t>
      </w:r>
    </w:p>
    <w:p w14:paraId="444AC2EB" w14:textId="77777777" w:rsidR="002511C9" w:rsidRDefault="00000000">
      <w:pPr>
        <w:keepNext/>
        <w:spacing w:before="200" w:after="60"/>
      </w:pPr>
      <w:r>
        <w:rPr>
          <w:b/>
          <w:color w:val="1A3D7C"/>
          <w:sz w:val="23"/>
        </w:rPr>
        <w:t>5.2 Model and Method Comparison</w:t>
      </w:r>
    </w:p>
    <w:p w14:paraId="03249AF3" w14:textId="77777777" w:rsidR="002511C9" w:rsidRDefault="00000000">
      <w:pPr>
        <w:jc w:val="both"/>
      </w:pPr>
      <w:r>
        <w:t>Table 2 provides the complete performance benchmark across the five evaluated classification models for all three clinical domains.</w:t>
      </w:r>
    </w:p>
    <w:tbl>
      <w:tblPr>
        <w:tblW w:w="0" w:type="auto"/>
        <w:jc w:val="center"/>
        <w:tblLook w:val="04A0" w:firstRow="1" w:lastRow="0" w:firstColumn="1" w:lastColumn="0" w:noHBand="0" w:noVBand="1"/>
      </w:tblPr>
      <w:tblGrid>
        <w:gridCol w:w="1728"/>
        <w:gridCol w:w="2592"/>
        <w:gridCol w:w="1008"/>
        <w:gridCol w:w="1008"/>
        <w:gridCol w:w="1008"/>
        <w:gridCol w:w="1008"/>
        <w:gridCol w:w="1008"/>
      </w:tblGrid>
      <w:tr w:rsidR="002511C9" w14:paraId="7C189F47" w14:textId="77777777">
        <w:trPr>
          <w:jc w:val="center"/>
        </w:trPr>
        <w:tc>
          <w:tcPr>
            <w:tcW w:w="1728" w:type="dxa"/>
            <w:shd w:val="clear" w:color="auto" w:fill="0F2B5C"/>
            <w:tcMar>
              <w:top w:w="100" w:type="dxa"/>
              <w:left w:w="60" w:type="dxa"/>
              <w:bottom w:w="100" w:type="dxa"/>
              <w:right w:w="60" w:type="dxa"/>
            </w:tcMar>
          </w:tcPr>
          <w:p w14:paraId="2E590D22" w14:textId="77777777" w:rsidR="002511C9" w:rsidRDefault="00000000">
            <w:pPr>
              <w:jc w:val="center"/>
            </w:pPr>
            <w:r>
              <w:rPr>
                <w:b/>
                <w:color w:val="FFFFFF"/>
                <w:sz w:val="18"/>
              </w:rPr>
              <w:t>Domain</w:t>
            </w:r>
          </w:p>
        </w:tc>
        <w:tc>
          <w:tcPr>
            <w:tcW w:w="2592" w:type="dxa"/>
            <w:shd w:val="clear" w:color="auto" w:fill="0F2B5C"/>
            <w:tcMar>
              <w:top w:w="100" w:type="dxa"/>
              <w:left w:w="60" w:type="dxa"/>
              <w:bottom w:w="100" w:type="dxa"/>
              <w:right w:w="60" w:type="dxa"/>
            </w:tcMar>
          </w:tcPr>
          <w:p w14:paraId="29599551" w14:textId="77777777" w:rsidR="002511C9" w:rsidRDefault="00000000">
            <w:pPr>
              <w:jc w:val="center"/>
            </w:pPr>
            <w:r>
              <w:rPr>
                <w:b/>
                <w:color w:val="FFFFFF"/>
                <w:sz w:val="18"/>
              </w:rPr>
              <w:t>Method / Classifier</w:t>
            </w:r>
          </w:p>
        </w:tc>
        <w:tc>
          <w:tcPr>
            <w:tcW w:w="1008" w:type="dxa"/>
            <w:shd w:val="clear" w:color="auto" w:fill="0F2B5C"/>
            <w:tcMar>
              <w:top w:w="100" w:type="dxa"/>
              <w:left w:w="60" w:type="dxa"/>
              <w:bottom w:w="100" w:type="dxa"/>
              <w:right w:w="60" w:type="dxa"/>
            </w:tcMar>
          </w:tcPr>
          <w:p w14:paraId="6CC2053D" w14:textId="77777777" w:rsidR="002511C9" w:rsidRDefault="00000000">
            <w:pPr>
              <w:jc w:val="center"/>
            </w:pPr>
            <w:r>
              <w:rPr>
                <w:b/>
                <w:color w:val="FFFFFF"/>
                <w:sz w:val="18"/>
              </w:rPr>
              <w:t>Accuracy</w:t>
            </w:r>
          </w:p>
        </w:tc>
        <w:tc>
          <w:tcPr>
            <w:tcW w:w="1008" w:type="dxa"/>
            <w:shd w:val="clear" w:color="auto" w:fill="0F2B5C"/>
            <w:tcMar>
              <w:top w:w="100" w:type="dxa"/>
              <w:left w:w="60" w:type="dxa"/>
              <w:bottom w:w="100" w:type="dxa"/>
              <w:right w:w="60" w:type="dxa"/>
            </w:tcMar>
          </w:tcPr>
          <w:p w14:paraId="6A4FD391" w14:textId="77777777" w:rsidR="002511C9" w:rsidRDefault="00000000">
            <w:pPr>
              <w:jc w:val="center"/>
            </w:pPr>
            <w:r>
              <w:rPr>
                <w:b/>
                <w:color w:val="FFFFFF"/>
                <w:sz w:val="18"/>
              </w:rPr>
              <w:t>Precision</w:t>
            </w:r>
          </w:p>
        </w:tc>
        <w:tc>
          <w:tcPr>
            <w:tcW w:w="1008" w:type="dxa"/>
            <w:shd w:val="clear" w:color="auto" w:fill="0F2B5C"/>
            <w:tcMar>
              <w:top w:w="100" w:type="dxa"/>
              <w:left w:w="60" w:type="dxa"/>
              <w:bottom w:w="100" w:type="dxa"/>
              <w:right w:w="60" w:type="dxa"/>
            </w:tcMar>
          </w:tcPr>
          <w:p w14:paraId="13745CC9" w14:textId="77777777" w:rsidR="002511C9" w:rsidRDefault="00000000">
            <w:pPr>
              <w:jc w:val="center"/>
            </w:pPr>
            <w:r>
              <w:rPr>
                <w:b/>
                <w:color w:val="FFFFFF"/>
                <w:sz w:val="18"/>
              </w:rPr>
              <w:t>Recall</w:t>
            </w:r>
          </w:p>
        </w:tc>
        <w:tc>
          <w:tcPr>
            <w:tcW w:w="1008" w:type="dxa"/>
            <w:shd w:val="clear" w:color="auto" w:fill="0F2B5C"/>
            <w:tcMar>
              <w:top w:w="100" w:type="dxa"/>
              <w:left w:w="60" w:type="dxa"/>
              <w:bottom w:w="100" w:type="dxa"/>
              <w:right w:w="60" w:type="dxa"/>
            </w:tcMar>
          </w:tcPr>
          <w:p w14:paraId="72184F34" w14:textId="77777777" w:rsidR="002511C9" w:rsidRDefault="00000000">
            <w:pPr>
              <w:jc w:val="center"/>
            </w:pPr>
            <w:r>
              <w:rPr>
                <w:b/>
                <w:color w:val="FFFFFF"/>
                <w:sz w:val="18"/>
              </w:rPr>
              <w:t>F1-Score</w:t>
            </w:r>
          </w:p>
        </w:tc>
        <w:tc>
          <w:tcPr>
            <w:tcW w:w="1008" w:type="dxa"/>
            <w:shd w:val="clear" w:color="auto" w:fill="0F2B5C"/>
            <w:tcMar>
              <w:top w:w="100" w:type="dxa"/>
              <w:left w:w="60" w:type="dxa"/>
              <w:bottom w:w="100" w:type="dxa"/>
              <w:right w:w="60" w:type="dxa"/>
            </w:tcMar>
          </w:tcPr>
          <w:p w14:paraId="29A362F8" w14:textId="77777777" w:rsidR="002511C9" w:rsidRDefault="00000000">
            <w:pPr>
              <w:jc w:val="center"/>
            </w:pPr>
            <w:r>
              <w:rPr>
                <w:b/>
                <w:color w:val="FFFFFF"/>
                <w:sz w:val="18"/>
              </w:rPr>
              <w:t>ROC-AUC</w:t>
            </w:r>
          </w:p>
        </w:tc>
      </w:tr>
      <w:tr w:rsidR="002511C9" w14:paraId="4E69C80A" w14:textId="77777777">
        <w:trPr>
          <w:jc w:val="center"/>
        </w:trPr>
        <w:tc>
          <w:tcPr>
            <w:tcW w:w="1728" w:type="dxa"/>
            <w:shd w:val="clear" w:color="auto" w:fill="F9FAFC"/>
            <w:tcMar>
              <w:top w:w="50" w:type="dxa"/>
              <w:left w:w="50" w:type="dxa"/>
              <w:bottom w:w="50" w:type="dxa"/>
              <w:right w:w="50" w:type="dxa"/>
            </w:tcMar>
          </w:tcPr>
          <w:p w14:paraId="57A3692B" w14:textId="77777777" w:rsidR="002511C9" w:rsidRDefault="00000000">
            <w:pPr>
              <w:spacing w:after="0" w:line="252" w:lineRule="auto"/>
            </w:pPr>
            <w:r>
              <w:rPr>
                <w:sz w:val="17"/>
              </w:rPr>
              <w:t>Cardiovascular</w:t>
            </w:r>
          </w:p>
        </w:tc>
        <w:tc>
          <w:tcPr>
            <w:tcW w:w="2592" w:type="dxa"/>
            <w:shd w:val="clear" w:color="auto" w:fill="F9FAFC"/>
            <w:tcMar>
              <w:top w:w="50" w:type="dxa"/>
              <w:left w:w="50" w:type="dxa"/>
              <w:bottom w:w="50" w:type="dxa"/>
              <w:right w:w="50" w:type="dxa"/>
            </w:tcMar>
          </w:tcPr>
          <w:p w14:paraId="3306728F" w14:textId="77777777" w:rsidR="002511C9" w:rsidRDefault="00000000">
            <w:pPr>
              <w:spacing w:after="0" w:line="252" w:lineRule="auto"/>
            </w:pPr>
            <w:r>
              <w:rPr>
                <w:sz w:val="17"/>
              </w:rPr>
              <w:t>Logistic Regression</w:t>
            </w:r>
          </w:p>
        </w:tc>
        <w:tc>
          <w:tcPr>
            <w:tcW w:w="1008" w:type="dxa"/>
            <w:shd w:val="clear" w:color="auto" w:fill="F9FAFC"/>
            <w:tcMar>
              <w:top w:w="50" w:type="dxa"/>
              <w:left w:w="50" w:type="dxa"/>
              <w:bottom w:w="50" w:type="dxa"/>
              <w:right w:w="50" w:type="dxa"/>
            </w:tcMar>
          </w:tcPr>
          <w:p w14:paraId="1965ACEC" w14:textId="77777777" w:rsidR="002511C9" w:rsidRDefault="00000000">
            <w:pPr>
              <w:spacing w:after="0" w:line="252" w:lineRule="auto"/>
              <w:jc w:val="center"/>
            </w:pPr>
            <w:r>
              <w:rPr>
                <w:sz w:val="17"/>
              </w:rPr>
              <w:t>0.842 ± 0.02</w:t>
            </w:r>
          </w:p>
        </w:tc>
        <w:tc>
          <w:tcPr>
            <w:tcW w:w="1008" w:type="dxa"/>
            <w:shd w:val="clear" w:color="auto" w:fill="F9FAFC"/>
            <w:tcMar>
              <w:top w:w="50" w:type="dxa"/>
              <w:left w:w="50" w:type="dxa"/>
              <w:bottom w:w="50" w:type="dxa"/>
              <w:right w:w="50" w:type="dxa"/>
            </w:tcMar>
          </w:tcPr>
          <w:p w14:paraId="6CA78C75" w14:textId="77777777" w:rsidR="002511C9" w:rsidRDefault="00000000">
            <w:pPr>
              <w:spacing w:after="0" w:line="252" w:lineRule="auto"/>
              <w:jc w:val="center"/>
            </w:pPr>
            <w:r>
              <w:rPr>
                <w:sz w:val="17"/>
              </w:rPr>
              <w:t>0.835 ± 0.03</w:t>
            </w:r>
          </w:p>
        </w:tc>
        <w:tc>
          <w:tcPr>
            <w:tcW w:w="1008" w:type="dxa"/>
            <w:shd w:val="clear" w:color="auto" w:fill="F9FAFC"/>
            <w:tcMar>
              <w:top w:w="50" w:type="dxa"/>
              <w:left w:w="50" w:type="dxa"/>
              <w:bottom w:w="50" w:type="dxa"/>
              <w:right w:w="50" w:type="dxa"/>
            </w:tcMar>
          </w:tcPr>
          <w:p w14:paraId="72C46394" w14:textId="77777777" w:rsidR="002511C9" w:rsidRDefault="00000000">
            <w:pPr>
              <w:spacing w:after="0" w:line="252" w:lineRule="auto"/>
              <w:jc w:val="center"/>
            </w:pPr>
            <w:r>
              <w:rPr>
                <w:sz w:val="17"/>
              </w:rPr>
              <w:t>0.871 ± 0.03</w:t>
            </w:r>
          </w:p>
        </w:tc>
        <w:tc>
          <w:tcPr>
            <w:tcW w:w="1008" w:type="dxa"/>
            <w:shd w:val="clear" w:color="auto" w:fill="F9FAFC"/>
            <w:tcMar>
              <w:top w:w="50" w:type="dxa"/>
              <w:left w:w="50" w:type="dxa"/>
              <w:bottom w:w="50" w:type="dxa"/>
              <w:right w:w="50" w:type="dxa"/>
            </w:tcMar>
          </w:tcPr>
          <w:p w14:paraId="732D275D" w14:textId="77777777" w:rsidR="002511C9" w:rsidRDefault="00000000">
            <w:pPr>
              <w:spacing w:after="0" w:line="252" w:lineRule="auto"/>
              <w:jc w:val="center"/>
            </w:pPr>
            <w:r>
              <w:rPr>
                <w:sz w:val="17"/>
              </w:rPr>
              <w:t>0.852 ± 0.02</w:t>
            </w:r>
          </w:p>
        </w:tc>
        <w:tc>
          <w:tcPr>
            <w:tcW w:w="1008" w:type="dxa"/>
            <w:shd w:val="clear" w:color="auto" w:fill="F9FAFC"/>
            <w:tcMar>
              <w:top w:w="50" w:type="dxa"/>
              <w:left w:w="50" w:type="dxa"/>
              <w:bottom w:w="50" w:type="dxa"/>
              <w:right w:w="50" w:type="dxa"/>
            </w:tcMar>
          </w:tcPr>
          <w:p w14:paraId="264C0BB4" w14:textId="77777777" w:rsidR="002511C9" w:rsidRDefault="00000000">
            <w:pPr>
              <w:spacing w:after="0" w:line="252" w:lineRule="auto"/>
              <w:jc w:val="center"/>
            </w:pPr>
            <w:r>
              <w:rPr>
                <w:sz w:val="17"/>
              </w:rPr>
              <w:t>0.901 ± 0.02</w:t>
            </w:r>
          </w:p>
        </w:tc>
      </w:tr>
      <w:tr w:rsidR="002511C9" w14:paraId="5222AF06" w14:textId="77777777">
        <w:trPr>
          <w:jc w:val="center"/>
        </w:trPr>
        <w:tc>
          <w:tcPr>
            <w:tcW w:w="1728" w:type="dxa"/>
            <w:shd w:val="clear" w:color="auto" w:fill="FFFFFF"/>
            <w:tcMar>
              <w:top w:w="50" w:type="dxa"/>
              <w:left w:w="50" w:type="dxa"/>
              <w:bottom w:w="50" w:type="dxa"/>
              <w:right w:w="50" w:type="dxa"/>
            </w:tcMar>
          </w:tcPr>
          <w:p w14:paraId="4B2C04B2" w14:textId="77777777" w:rsidR="002511C9" w:rsidRDefault="00000000">
            <w:pPr>
              <w:spacing w:after="0" w:line="252" w:lineRule="auto"/>
            </w:pPr>
            <w:r>
              <w:rPr>
                <w:sz w:val="17"/>
              </w:rPr>
              <w:t>Cleveland Heart</w:t>
            </w:r>
          </w:p>
        </w:tc>
        <w:tc>
          <w:tcPr>
            <w:tcW w:w="2592" w:type="dxa"/>
            <w:shd w:val="clear" w:color="auto" w:fill="FFFFFF"/>
            <w:tcMar>
              <w:top w:w="50" w:type="dxa"/>
              <w:left w:w="50" w:type="dxa"/>
              <w:bottom w:w="50" w:type="dxa"/>
              <w:right w:w="50" w:type="dxa"/>
            </w:tcMar>
          </w:tcPr>
          <w:p w14:paraId="72BCEB11" w14:textId="77777777" w:rsidR="002511C9" w:rsidRDefault="00000000">
            <w:pPr>
              <w:spacing w:after="0" w:line="252" w:lineRule="auto"/>
            </w:pPr>
            <w:r>
              <w:rPr>
                <w:sz w:val="17"/>
              </w:rPr>
              <w:t>Decision Tree (CART)</w:t>
            </w:r>
          </w:p>
        </w:tc>
        <w:tc>
          <w:tcPr>
            <w:tcW w:w="1008" w:type="dxa"/>
            <w:shd w:val="clear" w:color="auto" w:fill="FFFFFF"/>
            <w:tcMar>
              <w:top w:w="50" w:type="dxa"/>
              <w:left w:w="50" w:type="dxa"/>
              <w:bottom w:w="50" w:type="dxa"/>
              <w:right w:w="50" w:type="dxa"/>
            </w:tcMar>
          </w:tcPr>
          <w:p w14:paraId="5492D32D" w14:textId="77777777" w:rsidR="002511C9" w:rsidRDefault="00000000">
            <w:pPr>
              <w:spacing w:after="0" w:line="252" w:lineRule="auto"/>
              <w:jc w:val="center"/>
            </w:pPr>
            <w:r>
              <w:rPr>
                <w:sz w:val="17"/>
              </w:rPr>
              <w:t>0.768 ± 0.04</w:t>
            </w:r>
          </w:p>
        </w:tc>
        <w:tc>
          <w:tcPr>
            <w:tcW w:w="1008" w:type="dxa"/>
            <w:shd w:val="clear" w:color="auto" w:fill="FFFFFF"/>
            <w:tcMar>
              <w:top w:w="50" w:type="dxa"/>
              <w:left w:w="50" w:type="dxa"/>
              <w:bottom w:w="50" w:type="dxa"/>
              <w:right w:w="50" w:type="dxa"/>
            </w:tcMar>
          </w:tcPr>
          <w:p w14:paraId="1FBC43AF" w14:textId="77777777" w:rsidR="002511C9" w:rsidRDefault="00000000">
            <w:pPr>
              <w:spacing w:after="0" w:line="252" w:lineRule="auto"/>
              <w:jc w:val="center"/>
            </w:pPr>
            <w:r>
              <w:rPr>
                <w:sz w:val="17"/>
              </w:rPr>
              <w:t>0.781 ± 0.05</w:t>
            </w:r>
          </w:p>
        </w:tc>
        <w:tc>
          <w:tcPr>
            <w:tcW w:w="1008" w:type="dxa"/>
            <w:shd w:val="clear" w:color="auto" w:fill="FFFFFF"/>
            <w:tcMar>
              <w:top w:w="50" w:type="dxa"/>
              <w:left w:w="50" w:type="dxa"/>
              <w:bottom w:w="50" w:type="dxa"/>
              <w:right w:w="50" w:type="dxa"/>
            </w:tcMar>
          </w:tcPr>
          <w:p w14:paraId="147D5E5A" w14:textId="77777777" w:rsidR="002511C9" w:rsidRDefault="00000000">
            <w:pPr>
              <w:spacing w:after="0" w:line="252" w:lineRule="auto"/>
              <w:jc w:val="center"/>
            </w:pPr>
            <w:r>
              <w:rPr>
                <w:sz w:val="17"/>
              </w:rPr>
              <w:t>0.792 ± 0.04</w:t>
            </w:r>
          </w:p>
        </w:tc>
        <w:tc>
          <w:tcPr>
            <w:tcW w:w="1008" w:type="dxa"/>
            <w:shd w:val="clear" w:color="auto" w:fill="FFFFFF"/>
            <w:tcMar>
              <w:top w:w="50" w:type="dxa"/>
              <w:left w:w="50" w:type="dxa"/>
              <w:bottom w:w="50" w:type="dxa"/>
              <w:right w:w="50" w:type="dxa"/>
            </w:tcMar>
          </w:tcPr>
          <w:p w14:paraId="28996B01" w14:textId="77777777" w:rsidR="002511C9" w:rsidRDefault="00000000">
            <w:pPr>
              <w:spacing w:after="0" w:line="252" w:lineRule="auto"/>
              <w:jc w:val="center"/>
            </w:pPr>
            <w:r>
              <w:rPr>
                <w:sz w:val="17"/>
              </w:rPr>
              <w:t>0.786 ± 0.04</w:t>
            </w:r>
          </w:p>
        </w:tc>
        <w:tc>
          <w:tcPr>
            <w:tcW w:w="1008" w:type="dxa"/>
            <w:shd w:val="clear" w:color="auto" w:fill="FFFFFF"/>
            <w:tcMar>
              <w:top w:w="50" w:type="dxa"/>
              <w:left w:w="50" w:type="dxa"/>
              <w:bottom w:w="50" w:type="dxa"/>
              <w:right w:w="50" w:type="dxa"/>
            </w:tcMar>
          </w:tcPr>
          <w:p w14:paraId="20AAC3B5" w14:textId="77777777" w:rsidR="002511C9" w:rsidRDefault="00000000">
            <w:pPr>
              <w:spacing w:after="0" w:line="252" w:lineRule="auto"/>
              <w:jc w:val="center"/>
            </w:pPr>
            <w:r>
              <w:rPr>
                <w:sz w:val="17"/>
              </w:rPr>
              <w:t>0.772 ± 0.04</w:t>
            </w:r>
          </w:p>
        </w:tc>
      </w:tr>
      <w:tr w:rsidR="002511C9" w14:paraId="43825ECB" w14:textId="77777777">
        <w:trPr>
          <w:jc w:val="center"/>
        </w:trPr>
        <w:tc>
          <w:tcPr>
            <w:tcW w:w="1728" w:type="dxa"/>
            <w:shd w:val="clear" w:color="auto" w:fill="F9FAFC"/>
            <w:tcMar>
              <w:top w:w="50" w:type="dxa"/>
              <w:left w:w="50" w:type="dxa"/>
              <w:bottom w:w="50" w:type="dxa"/>
              <w:right w:w="50" w:type="dxa"/>
            </w:tcMar>
          </w:tcPr>
          <w:p w14:paraId="17A162D5" w14:textId="77777777" w:rsidR="002511C9" w:rsidRDefault="00000000">
            <w:pPr>
              <w:spacing w:after="0" w:line="252" w:lineRule="auto"/>
            </w:pPr>
            <w:r>
              <w:rPr>
                <w:sz w:val="17"/>
              </w:rPr>
              <w:t>(N = 303)</w:t>
            </w:r>
          </w:p>
        </w:tc>
        <w:tc>
          <w:tcPr>
            <w:tcW w:w="2592" w:type="dxa"/>
            <w:shd w:val="clear" w:color="auto" w:fill="F9FAFC"/>
            <w:tcMar>
              <w:top w:w="50" w:type="dxa"/>
              <w:left w:w="50" w:type="dxa"/>
              <w:bottom w:w="50" w:type="dxa"/>
              <w:right w:w="50" w:type="dxa"/>
            </w:tcMar>
          </w:tcPr>
          <w:p w14:paraId="25593D34" w14:textId="77777777" w:rsidR="002511C9" w:rsidRDefault="00000000">
            <w:pPr>
              <w:spacing w:after="0" w:line="252" w:lineRule="auto"/>
            </w:pPr>
            <w:r>
              <w:rPr>
                <w:sz w:val="17"/>
              </w:rPr>
              <w:t>Random Forest</w:t>
            </w:r>
          </w:p>
        </w:tc>
        <w:tc>
          <w:tcPr>
            <w:tcW w:w="1008" w:type="dxa"/>
            <w:shd w:val="clear" w:color="auto" w:fill="F9FAFC"/>
            <w:tcMar>
              <w:top w:w="50" w:type="dxa"/>
              <w:left w:w="50" w:type="dxa"/>
              <w:bottom w:w="50" w:type="dxa"/>
              <w:right w:w="50" w:type="dxa"/>
            </w:tcMar>
          </w:tcPr>
          <w:p w14:paraId="6B8DB3BA" w14:textId="77777777" w:rsidR="002511C9" w:rsidRDefault="00000000">
            <w:pPr>
              <w:spacing w:after="0" w:line="252" w:lineRule="auto"/>
              <w:jc w:val="center"/>
            </w:pPr>
            <w:r>
              <w:rPr>
                <w:sz w:val="17"/>
              </w:rPr>
              <w:t>0.865 ± 0.02</w:t>
            </w:r>
          </w:p>
        </w:tc>
        <w:tc>
          <w:tcPr>
            <w:tcW w:w="1008" w:type="dxa"/>
            <w:shd w:val="clear" w:color="auto" w:fill="F9FAFC"/>
            <w:tcMar>
              <w:top w:w="50" w:type="dxa"/>
              <w:left w:w="50" w:type="dxa"/>
              <w:bottom w:w="50" w:type="dxa"/>
              <w:right w:w="50" w:type="dxa"/>
            </w:tcMar>
          </w:tcPr>
          <w:p w14:paraId="3634DD7C" w14:textId="77777777" w:rsidR="002511C9" w:rsidRDefault="00000000">
            <w:pPr>
              <w:spacing w:after="0" w:line="252" w:lineRule="auto"/>
              <w:jc w:val="center"/>
            </w:pPr>
            <w:r>
              <w:rPr>
                <w:sz w:val="17"/>
              </w:rPr>
              <w:t>0.858 ± 0.02</w:t>
            </w:r>
          </w:p>
        </w:tc>
        <w:tc>
          <w:tcPr>
            <w:tcW w:w="1008" w:type="dxa"/>
            <w:shd w:val="clear" w:color="auto" w:fill="F9FAFC"/>
            <w:tcMar>
              <w:top w:w="50" w:type="dxa"/>
              <w:left w:w="50" w:type="dxa"/>
              <w:bottom w:w="50" w:type="dxa"/>
              <w:right w:w="50" w:type="dxa"/>
            </w:tcMar>
          </w:tcPr>
          <w:p w14:paraId="25219BB7" w14:textId="77777777" w:rsidR="002511C9" w:rsidRDefault="00000000">
            <w:pPr>
              <w:spacing w:after="0" w:line="252" w:lineRule="auto"/>
              <w:jc w:val="center"/>
            </w:pPr>
            <w:r>
              <w:rPr>
                <w:sz w:val="17"/>
              </w:rPr>
              <w:t>0.895 ± 0.02</w:t>
            </w:r>
          </w:p>
        </w:tc>
        <w:tc>
          <w:tcPr>
            <w:tcW w:w="1008" w:type="dxa"/>
            <w:shd w:val="clear" w:color="auto" w:fill="F9FAFC"/>
            <w:tcMar>
              <w:top w:w="50" w:type="dxa"/>
              <w:left w:w="50" w:type="dxa"/>
              <w:bottom w:w="50" w:type="dxa"/>
              <w:right w:w="50" w:type="dxa"/>
            </w:tcMar>
          </w:tcPr>
          <w:p w14:paraId="155F81C4" w14:textId="77777777" w:rsidR="002511C9" w:rsidRDefault="00000000">
            <w:pPr>
              <w:spacing w:after="0" w:line="252" w:lineRule="auto"/>
              <w:jc w:val="center"/>
            </w:pPr>
            <w:r>
              <w:rPr>
                <w:sz w:val="17"/>
              </w:rPr>
              <w:t>0.876 ± 0.02</w:t>
            </w:r>
          </w:p>
        </w:tc>
        <w:tc>
          <w:tcPr>
            <w:tcW w:w="1008" w:type="dxa"/>
            <w:shd w:val="clear" w:color="auto" w:fill="F9FAFC"/>
            <w:tcMar>
              <w:top w:w="50" w:type="dxa"/>
              <w:left w:w="50" w:type="dxa"/>
              <w:bottom w:w="50" w:type="dxa"/>
              <w:right w:w="50" w:type="dxa"/>
            </w:tcMar>
          </w:tcPr>
          <w:p w14:paraId="0C01FE38" w14:textId="77777777" w:rsidR="002511C9" w:rsidRDefault="00000000">
            <w:pPr>
              <w:spacing w:after="0" w:line="252" w:lineRule="auto"/>
              <w:jc w:val="center"/>
            </w:pPr>
            <w:r>
              <w:rPr>
                <w:sz w:val="17"/>
              </w:rPr>
              <w:t>0.924 ± 0.01</w:t>
            </w:r>
          </w:p>
        </w:tc>
      </w:tr>
      <w:tr w:rsidR="002511C9" w14:paraId="3BB726AE" w14:textId="77777777">
        <w:trPr>
          <w:jc w:val="center"/>
        </w:trPr>
        <w:tc>
          <w:tcPr>
            <w:tcW w:w="1728" w:type="dxa"/>
            <w:shd w:val="clear" w:color="auto" w:fill="FFFFFF"/>
            <w:tcMar>
              <w:top w:w="50" w:type="dxa"/>
              <w:left w:w="50" w:type="dxa"/>
              <w:bottom w:w="50" w:type="dxa"/>
              <w:right w:w="50" w:type="dxa"/>
            </w:tcMar>
          </w:tcPr>
          <w:p w14:paraId="7B7B7147" w14:textId="77777777" w:rsidR="002511C9" w:rsidRDefault="002511C9">
            <w:pPr>
              <w:spacing w:after="0" w:line="252" w:lineRule="auto"/>
            </w:pPr>
          </w:p>
        </w:tc>
        <w:tc>
          <w:tcPr>
            <w:tcW w:w="2592" w:type="dxa"/>
            <w:shd w:val="clear" w:color="auto" w:fill="FFFFFF"/>
            <w:tcMar>
              <w:top w:w="50" w:type="dxa"/>
              <w:left w:w="50" w:type="dxa"/>
              <w:bottom w:w="50" w:type="dxa"/>
              <w:right w:w="50" w:type="dxa"/>
            </w:tcMar>
          </w:tcPr>
          <w:p w14:paraId="49B5A156" w14:textId="77777777" w:rsidR="002511C9" w:rsidRDefault="00000000">
            <w:pPr>
              <w:spacing w:after="0" w:line="252" w:lineRule="auto"/>
            </w:pPr>
            <w:r>
              <w:rPr>
                <w:sz w:val="17"/>
              </w:rPr>
              <w:t>XGBoost</w:t>
            </w:r>
          </w:p>
        </w:tc>
        <w:tc>
          <w:tcPr>
            <w:tcW w:w="1008" w:type="dxa"/>
            <w:shd w:val="clear" w:color="auto" w:fill="FFFFFF"/>
            <w:tcMar>
              <w:top w:w="50" w:type="dxa"/>
              <w:left w:w="50" w:type="dxa"/>
              <w:bottom w:w="50" w:type="dxa"/>
              <w:right w:w="50" w:type="dxa"/>
            </w:tcMar>
          </w:tcPr>
          <w:p w14:paraId="57FB337D" w14:textId="77777777" w:rsidR="002511C9" w:rsidRDefault="00000000">
            <w:pPr>
              <w:spacing w:after="0" w:line="252" w:lineRule="auto"/>
              <w:jc w:val="center"/>
            </w:pPr>
            <w:r>
              <w:rPr>
                <w:sz w:val="17"/>
              </w:rPr>
              <w:t>0.871 ± 0.02</w:t>
            </w:r>
          </w:p>
        </w:tc>
        <w:tc>
          <w:tcPr>
            <w:tcW w:w="1008" w:type="dxa"/>
            <w:shd w:val="clear" w:color="auto" w:fill="FFFFFF"/>
            <w:tcMar>
              <w:top w:w="50" w:type="dxa"/>
              <w:left w:w="50" w:type="dxa"/>
              <w:bottom w:w="50" w:type="dxa"/>
              <w:right w:w="50" w:type="dxa"/>
            </w:tcMar>
          </w:tcPr>
          <w:p w14:paraId="5AF314AE" w14:textId="77777777" w:rsidR="002511C9" w:rsidRDefault="00000000">
            <w:pPr>
              <w:spacing w:after="0" w:line="252" w:lineRule="auto"/>
              <w:jc w:val="center"/>
            </w:pPr>
            <w:r>
              <w:rPr>
                <w:sz w:val="17"/>
              </w:rPr>
              <w:t>0.869 ± 0.03</w:t>
            </w:r>
          </w:p>
        </w:tc>
        <w:tc>
          <w:tcPr>
            <w:tcW w:w="1008" w:type="dxa"/>
            <w:shd w:val="clear" w:color="auto" w:fill="FFFFFF"/>
            <w:tcMar>
              <w:top w:w="50" w:type="dxa"/>
              <w:left w:w="50" w:type="dxa"/>
              <w:bottom w:w="50" w:type="dxa"/>
              <w:right w:w="50" w:type="dxa"/>
            </w:tcMar>
          </w:tcPr>
          <w:p w14:paraId="3A6D41FC" w14:textId="77777777" w:rsidR="002511C9" w:rsidRDefault="00000000">
            <w:pPr>
              <w:spacing w:after="0" w:line="252" w:lineRule="auto"/>
              <w:jc w:val="center"/>
            </w:pPr>
            <w:r>
              <w:rPr>
                <w:sz w:val="17"/>
              </w:rPr>
              <w:t>0.897 ± 0.02</w:t>
            </w:r>
          </w:p>
        </w:tc>
        <w:tc>
          <w:tcPr>
            <w:tcW w:w="1008" w:type="dxa"/>
            <w:shd w:val="clear" w:color="auto" w:fill="FFFFFF"/>
            <w:tcMar>
              <w:top w:w="50" w:type="dxa"/>
              <w:left w:w="50" w:type="dxa"/>
              <w:bottom w:w="50" w:type="dxa"/>
              <w:right w:w="50" w:type="dxa"/>
            </w:tcMar>
          </w:tcPr>
          <w:p w14:paraId="0C89342C" w14:textId="77777777" w:rsidR="002511C9" w:rsidRDefault="00000000">
            <w:pPr>
              <w:spacing w:after="0" w:line="252" w:lineRule="auto"/>
              <w:jc w:val="center"/>
            </w:pPr>
            <w:r>
              <w:rPr>
                <w:sz w:val="17"/>
              </w:rPr>
              <w:t>0.883 ± 0.02</w:t>
            </w:r>
          </w:p>
        </w:tc>
        <w:tc>
          <w:tcPr>
            <w:tcW w:w="1008" w:type="dxa"/>
            <w:shd w:val="clear" w:color="auto" w:fill="FFFFFF"/>
            <w:tcMar>
              <w:top w:w="50" w:type="dxa"/>
              <w:left w:w="50" w:type="dxa"/>
              <w:bottom w:w="50" w:type="dxa"/>
              <w:right w:w="50" w:type="dxa"/>
            </w:tcMar>
          </w:tcPr>
          <w:p w14:paraId="06A32460" w14:textId="77777777" w:rsidR="002511C9" w:rsidRDefault="00000000">
            <w:pPr>
              <w:spacing w:after="0" w:line="252" w:lineRule="auto"/>
              <w:jc w:val="center"/>
            </w:pPr>
            <w:r>
              <w:rPr>
                <w:sz w:val="17"/>
              </w:rPr>
              <w:t>0.928 ± 0.01</w:t>
            </w:r>
          </w:p>
        </w:tc>
      </w:tr>
      <w:tr w:rsidR="002511C9" w14:paraId="7D7A5B01" w14:textId="77777777">
        <w:trPr>
          <w:jc w:val="center"/>
        </w:trPr>
        <w:tc>
          <w:tcPr>
            <w:tcW w:w="1728" w:type="dxa"/>
            <w:shd w:val="clear" w:color="auto" w:fill="EBF2FA"/>
            <w:tcMar>
              <w:top w:w="50" w:type="dxa"/>
              <w:left w:w="50" w:type="dxa"/>
              <w:bottom w:w="50" w:type="dxa"/>
              <w:right w:w="50" w:type="dxa"/>
            </w:tcMar>
          </w:tcPr>
          <w:p w14:paraId="7C53B6B3" w14:textId="77777777" w:rsidR="002511C9" w:rsidRDefault="002511C9">
            <w:pPr>
              <w:spacing w:after="0" w:line="252" w:lineRule="auto"/>
            </w:pPr>
          </w:p>
        </w:tc>
        <w:tc>
          <w:tcPr>
            <w:tcW w:w="2592" w:type="dxa"/>
            <w:shd w:val="clear" w:color="auto" w:fill="EBF2FA"/>
            <w:tcMar>
              <w:top w:w="50" w:type="dxa"/>
              <w:left w:w="50" w:type="dxa"/>
              <w:bottom w:w="50" w:type="dxa"/>
              <w:right w:w="50" w:type="dxa"/>
            </w:tcMar>
          </w:tcPr>
          <w:p w14:paraId="3294FAE6" w14:textId="77777777" w:rsidR="002511C9" w:rsidRDefault="00000000">
            <w:pPr>
              <w:spacing w:after="0" w:line="252" w:lineRule="auto"/>
            </w:pPr>
            <w:r>
              <w:rPr>
                <w:b/>
                <w:sz w:val="17"/>
              </w:rPr>
              <w:t>CatBoost (Proposed)</w:t>
            </w:r>
          </w:p>
        </w:tc>
        <w:tc>
          <w:tcPr>
            <w:tcW w:w="1008" w:type="dxa"/>
            <w:shd w:val="clear" w:color="auto" w:fill="EBF2FA"/>
            <w:tcMar>
              <w:top w:w="50" w:type="dxa"/>
              <w:left w:w="50" w:type="dxa"/>
              <w:bottom w:w="50" w:type="dxa"/>
              <w:right w:w="50" w:type="dxa"/>
            </w:tcMar>
          </w:tcPr>
          <w:p w14:paraId="186A056D" w14:textId="77777777" w:rsidR="002511C9" w:rsidRDefault="00000000">
            <w:pPr>
              <w:spacing w:after="0" w:line="252" w:lineRule="auto"/>
              <w:jc w:val="center"/>
            </w:pPr>
            <w:r>
              <w:rPr>
                <w:b/>
                <w:sz w:val="17"/>
              </w:rPr>
              <w:t>0.885 ± 0.01</w:t>
            </w:r>
          </w:p>
        </w:tc>
        <w:tc>
          <w:tcPr>
            <w:tcW w:w="1008" w:type="dxa"/>
            <w:shd w:val="clear" w:color="auto" w:fill="EBF2FA"/>
            <w:tcMar>
              <w:top w:w="50" w:type="dxa"/>
              <w:left w:w="50" w:type="dxa"/>
              <w:bottom w:w="50" w:type="dxa"/>
              <w:right w:w="50" w:type="dxa"/>
            </w:tcMar>
          </w:tcPr>
          <w:p w14:paraId="365EDF18" w14:textId="77777777" w:rsidR="002511C9" w:rsidRDefault="00000000">
            <w:pPr>
              <w:spacing w:after="0" w:line="252" w:lineRule="auto"/>
              <w:jc w:val="center"/>
            </w:pPr>
            <w:r>
              <w:rPr>
                <w:b/>
                <w:sz w:val="17"/>
              </w:rPr>
              <w:t>0.878 ± 0.02</w:t>
            </w:r>
          </w:p>
        </w:tc>
        <w:tc>
          <w:tcPr>
            <w:tcW w:w="1008" w:type="dxa"/>
            <w:shd w:val="clear" w:color="auto" w:fill="EBF2FA"/>
            <w:tcMar>
              <w:top w:w="50" w:type="dxa"/>
              <w:left w:w="50" w:type="dxa"/>
              <w:bottom w:w="50" w:type="dxa"/>
              <w:right w:w="50" w:type="dxa"/>
            </w:tcMar>
          </w:tcPr>
          <w:p w14:paraId="70A173E8" w14:textId="77777777" w:rsidR="002511C9" w:rsidRDefault="00000000">
            <w:pPr>
              <w:spacing w:after="0" w:line="252" w:lineRule="auto"/>
              <w:jc w:val="center"/>
            </w:pPr>
            <w:r>
              <w:rPr>
                <w:b/>
                <w:sz w:val="17"/>
              </w:rPr>
              <w:t>0.912 ± 0.02</w:t>
            </w:r>
          </w:p>
        </w:tc>
        <w:tc>
          <w:tcPr>
            <w:tcW w:w="1008" w:type="dxa"/>
            <w:shd w:val="clear" w:color="auto" w:fill="EBF2FA"/>
            <w:tcMar>
              <w:top w:w="50" w:type="dxa"/>
              <w:left w:w="50" w:type="dxa"/>
              <w:bottom w:w="50" w:type="dxa"/>
              <w:right w:w="50" w:type="dxa"/>
            </w:tcMar>
          </w:tcPr>
          <w:p w14:paraId="7CE88376" w14:textId="77777777" w:rsidR="002511C9" w:rsidRDefault="00000000">
            <w:pPr>
              <w:spacing w:after="0" w:line="252" w:lineRule="auto"/>
              <w:jc w:val="center"/>
            </w:pPr>
            <w:r>
              <w:rPr>
                <w:b/>
                <w:sz w:val="17"/>
              </w:rPr>
              <w:t>0.895 ± 0.01</w:t>
            </w:r>
          </w:p>
        </w:tc>
        <w:tc>
          <w:tcPr>
            <w:tcW w:w="1008" w:type="dxa"/>
            <w:shd w:val="clear" w:color="auto" w:fill="EBF2FA"/>
            <w:tcMar>
              <w:top w:w="50" w:type="dxa"/>
              <w:left w:w="50" w:type="dxa"/>
              <w:bottom w:w="50" w:type="dxa"/>
              <w:right w:w="50" w:type="dxa"/>
            </w:tcMar>
          </w:tcPr>
          <w:p w14:paraId="7F08538E" w14:textId="77777777" w:rsidR="002511C9" w:rsidRDefault="00000000">
            <w:pPr>
              <w:spacing w:after="0" w:line="252" w:lineRule="auto"/>
              <w:jc w:val="center"/>
            </w:pPr>
            <w:r>
              <w:rPr>
                <w:b/>
                <w:sz w:val="17"/>
              </w:rPr>
              <w:t>0.932 ± 0.01</w:t>
            </w:r>
          </w:p>
        </w:tc>
      </w:tr>
      <w:tr w:rsidR="002511C9" w14:paraId="461653EA" w14:textId="77777777">
        <w:trPr>
          <w:jc w:val="center"/>
        </w:trPr>
        <w:tc>
          <w:tcPr>
            <w:tcW w:w="1728" w:type="dxa"/>
            <w:shd w:val="clear" w:color="auto" w:fill="FFFFFF"/>
            <w:tcMar>
              <w:top w:w="50" w:type="dxa"/>
              <w:left w:w="50" w:type="dxa"/>
              <w:bottom w:w="50" w:type="dxa"/>
              <w:right w:w="50" w:type="dxa"/>
            </w:tcMar>
          </w:tcPr>
          <w:p w14:paraId="5A022F45" w14:textId="77777777" w:rsidR="002511C9" w:rsidRDefault="00000000">
            <w:pPr>
              <w:spacing w:after="0" w:line="252" w:lineRule="auto"/>
            </w:pPr>
            <w:r>
              <w:rPr>
                <w:sz w:val="17"/>
              </w:rPr>
              <w:t>Metabolic</w:t>
            </w:r>
          </w:p>
        </w:tc>
        <w:tc>
          <w:tcPr>
            <w:tcW w:w="2592" w:type="dxa"/>
            <w:shd w:val="clear" w:color="auto" w:fill="FFFFFF"/>
            <w:tcMar>
              <w:top w:w="50" w:type="dxa"/>
              <w:left w:w="50" w:type="dxa"/>
              <w:bottom w:w="50" w:type="dxa"/>
              <w:right w:w="50" w:type="dxa"/>
            </w:tcMar>
          </w:tcPr>
          <w:p w14:paraId="20DC584A" w14:textId="77777777" w:rsidR="002511C9" w:rsidRDefault="00000000">
            <w:pPr>
              <w:spacing w:after="0" w:line="252" w:lineRule="auto"/>
            </w:pPr>
            <w:r>
              <w:rPr>
                <w:sz w:val="17"/>
              </w:rPr>
              <w:t>Logistic Regression</w:t>
            </w:r>
          </w:p>
        </w:tc>
        <w:tc>
          <w:tcPr>
            <w:tcW w:w="1008" w:type="dxa"/>
            <w:shd w:val="clear" w:color="auto" w:fill="FFFFFF"/>
            <w:tcMar>
              <w:top w:w="50" w:type="dxa"/>
              <w:left w:w="50" w:type="dxa"/>
              <w:bottom w:w="50" w:type="dxa"/>
              <w:right w:w="50" w:type="dxa"/>
            </w:tcMar>
          </w:tcPr>
          <w:p w14:paraId="4033C9C7" w14:textId="77777777" w:rsidR="002511C9" w:rsidRDefault="00000000">
            <w:pPr>
              <w:spacing w:after="0" w:line="252" w:lineRule="auto"/>
              <w:jc w:val="center"/>
            </w:pPr>
            <w:r>
              <w:rPr>
                <w:sz w:val="17"/>
              </w:rPr>
              <w:t>0.772 ± 0.02</w:t>
            </w:r>
          </w:p>
        </w:tc>
        <w:tc>
          <w:tcPr>
            <w:tcW w:w="1008" w:type="dxa"/>
            <w:shd w:val="clear" w:color="auto" w:fill="FFFFFF"/>
            <w:tcMar>
              <w:top w:w="50" w:type="dxa"/>
              <w:left w:w="50" w:type="dxa"/>
              <w:bottom w:w="50" w:type="dxa"/>
              <w:right w:w="50" w:type="dxa"/>
            </w:tcMar>
          </w:tcPr>
          <w:p w14:paraId="1DD0A84B" w14:textId="77777777" w:rsidR="002511C9" w:rsidRDefault="00000000">
            <w:pPr>
              <w:spacing w:after="0" w:line="252" w:lineRule="auto"/>
              <w:jc w:val="center"/>
            </w:pPr>
            <w:r>
              <w:rPr>
                <w:sz w:val="17"/>
              </w:rPr>
              <w:t>0.718 ± 0.03</w:t>
            </w:r>
          </w:p>
        </w:tc>
        <w:tc>
          <w:tcPr>
            <w:tcW w:w="1008" w:type="dxa"/>
            <w:shd w:val="clear" w:color="auto" w:fill="FFFFFF"/>
            <w:tcMar>
              <w:top w:w="50" w:type="dxa"/>
              <w:left w:w="50" w:type="dxa"/>
              <w:bottom w:w="50" w:type="dxa"/>
              <w:right w:w="50" w:type="dxa"/>
            </w:tcMar>
          </w:tcPr>
          <w:p w14:paraId="68D50648" w14:textId="77777777" w:rsidR="002511C9" w:rsidRDefault="00000000">
            <w:pPr>
              <w:spacing w:after="0" w:line="252" w:lineRule="auto"/>
              <w:jc w:val="center"/>
            </w:pPr>
            <w:r>
              <w:rPr>
                <w:sz w:val="17"/>
              </w:rPr>
              <w:t>0.582 ± 0.04</w:t>
            </w:r>
          </w:p>
        </w:tc>
        <w:tc>
          <w:tcPr>
            <w:tcW w:w="1008" w:type="dxa"/>
            <w:shd w:val="clear" w:color="auto" w:fill="FFFFFF"/>
            <w:tcMar>
              <w:top w:w="50" w:type="dxa"/>
              <w:left w:w="50" w:type="dxa"/>
              <w:bottom w:w="50" w:type="dxa"/>
              <w:right w:w="50" w:type="dxa"/>
            </w:tcMar>
          </w:tcPr>
          <w:p w14:paraId="4F5EEB78" w14:textId="77777777" w:rsidR="002511C9" w:rsidRDefault="00000000">
            <w:pPr>
              <w:spacing w:after="0" w:line="252" w:lineRule="auto"/>
              <w:jc w:val="center"/>
            </w:pPr>
            <w:r>
              <w:rPr>
                <w:sz w:val="17"/>
              </w:rPr>
              <w:t>0.643 ± 0.03</w:t>
            </w:r>
          </w:p>
        </w:tc>
        <w:tc>
          <w:tcPr>
            <w:tcW w:w="1008" w:type="dxa"/>
            <w:shd w:val="clear" w:color="auto" w:fill="FFFFFF"/>
            <w:tcMar>
              <w:top w:w="50" w:type="dxa"/>
              <w:left w:w="50" w:type="dxa"/>
              <w:bottom w:w="50" w:type="dxa"/>
              <w:right w:w="50" w:type="dxa"/>
            </w:tcMar>
          </w:tcPr>
          <w:p w14:paraId="077C4957" w14:textId="77777777" w:rsidR="002511C9" w:rsidRDefault="00000000">
            <w:pPr>
              <w:spacing w:after="0" w:line="252" w:lineRule="auto"/>
              <w:jc w:val="center"/>
            </w:pPr>
            <w:r>
              <w:rPr>
                <w:sz w:val="17"/>
              </w:rPr>
              <w:t>0.831 ± 0.02</w:t>
            </w:r>
          </w:p>
        </w:tc>
      </w:tr>
      <w:tr w:rsidR="002511C9" w14:paraId="7476AF83" w14:textId="77777777">
        <w:trPr>
          <w:jc w:val="center"/>
        </w:trPr>
        <w:tc>
          <w:tcPr>
            <w:tcW w:w="1728" w:type="dxa"/>
            <w:shd w:val="clear" w:color="auto" w:fill="F9FAFC"/>
            <w:tcMar>
              <w:top w:w="50" w:type="dxa"/>
              <w:left w:w="50" w:type="dxa"/>
              <w:bottom w:w="50" w:type="dxa"/>
              <w:right w:w="50" w:type="dxa"/>
            </w:tcMar>
          </w:tcPr>
          <w:p w14:paraId="619E1285" w14:textId="77777777" w:rsidR="002511C9" w:rsidRDefault="00000000">
            <w:pPr>
              <w:spacing w:after="0" w:line="252" w:lineRule="auto"/>
            </w:pPr>
            <w:r>
              <w:rPr>
                <w:sz w:val="17"/>
              </w:rPr>
              <w:t>Pima Diabetes</w:t>
            </w:r>
          </w:p>
        </w:tc>
        <w:tc>
          <w:tcPr>
            <w:tcW w:w="2592" w:type="dxa"/>
            <w:shd w:val="clear" w:color="auto" w:fill="F9FAFC"/>
            <w:tcMar>
              <w:top w:w="50" w:type="dxa"/>
              <w:left w:w="50" w:type="dxa"/>
              <w:bottom w:w="50" w:type="dxa"/>
              <w:right w:w="50" w:type="dxa"/>
            </w:tcMar>
          </w:tcPr>
          <w:p w14:paraId="08396258" w14:textId="77777777" w:rsidR="002511C9" w:rsidRDefault="00000000">
            <w:pPr>
              <w:spacing w:after="0" w:line="252" w:lineRule="auto"/>
            </w:pPr>
            <w:r>
              <w:rPr>
                <w:sz w:val="17"/>
              </w:rPr>
              <w:t>Decision Tree (CART)</w:t>
            </w:r>
          </w:p>
        </w:tc>
        <w:tc>
          <w:tcPr>
            <w:tcW w:w="1008" w:type="dxa"/>
            <w:shd w:val="clear" w:color="auto" w:fill="F9FAFC"/>
            <w:tcMar>
              <w:top w:w="50" w:type="dxa"/>
              <w:left w:w="50" w:type="dxa"/>
              <w:bottom w:w="50" w:type="dxa"/>
              <w:right w:w="50" w:type="dxa"/>
            </w:tcMar>
          </w:tcPr>
          <w:p w14:paraId="1C7E7E45" w14:textId="77777777" w:rsidR="002511C9" w:rsidRDefault="00000000">
            <w:pPr>
              <w:spacing w:after="0" w:line="252" w:lineRule="auto"/>
              <w:jc w:val="center"/>
            </w:pPr>
            <w:r>
              <w:rPr>
                <w:sz w:val="17"/>
              </w:rPr>
              <w:t>0.714 ± 0.03</w:t>
            </w:r>
          </w:p>
        </w:tc>
        <w:tc>
          <w:tcPr>
            <w:tcW w:w="1008" w:type="dxa"/>
            <w:shd w:val="clear" w:color="auto" w:fill="F9FAFC"/>
            <w:tcMar>
              <w:top w:w="50" w:type="dxa"/>
              <w:left w:w="50" w:type="dxa"/>
              <w:bottom w:w="50" w:type="dxa"/>
              <w:right w:w="50" w:type="dxa"/>
            </w:tcMar>
          </w:tcPr>
          <w:p w14:paraId="3BBEEEAA" w14:textId="77777777" w:rsidR="002511C9" w:rsidRDefault="00000000">
            <w:pPr>
              <w:spacing w:after="0" w:line="252" w:lineRule="auto"/>
              <w:jc w:val="center"/>
            </w:pPr>
            <w:r>
              <w:rPr>
                <w:sz w:val="17"/>
              </w:rPr>
              <w:t>0.596 ± 0.04</w:t>
            </w:r>
          </w:p>
        </w:tc>
        <w:tc>
          <w:tcPr>
            <w:tcW w:w="1008" w:type="dxa"/>
            <w:shd w:val="clear" w:color="auto" w:fill="F9FAFC"/>
            <w:tcMar>
              <w:top w:w="50" w:type="dxa"/>
              <w:left w:w="50" w:type="dxa"/>
              <w:bottom w:w="50" w:type="dxa"/>
              <w:right w:w="50" w:type="dxa"/>
            </w:tcMar>
          </w:tcPr>
          <w:p w14:paraId="26D6C22E" w14:textId="77777777" w:rsidR="002511C9" w:rsidRDefault="00000000">
            <w:pPr>
              <w:spacing w:after="0" w:line="252" w:lineRule="auto"/>
              <w:jc w:val="center"/>
            </w:pPr>
            <w:r>
              <w:rPr>
                <w:sz w:val="17"/>
              </w:rPr>
              <w:t>0.589 ± 0.04</w:t>
            </w:r>
          </w:p>
        </w:tc>
        <w:tc>
          <w:tcPr>
            <w:tcW w:w="1008" w:type="dxa"/>
            <w:shd w:val="clear" w:color="auto" w:fill="F9FAFC"/>
            <w:tcMar>
              <w:top w:w="50" w:type="dxa"/>
              <w:left w:w="50" w:type="dxa"/>
              <w:bottom w:w="50" w:type="dxa"/>
              <w:right w:w="50" w:type="dxa"/>
            </w:tcMar>
          </w:tcPr>
          <w:p w14:paraId="17E4310F" w14:textId="77777777" w:rsidR="002511C9" w:rsidRDefault="00000000">
            <w:pPr>
              <w:spacing w:after="0" w:line="252" w:lineRule="auto"/>
              <w:jc w:val="center"/>
            </w:pPr>
            <w:r>
              <w:rPr>
                <w:sz w:val="17"/>
              </w:rPr>
              <w:t>0.592 ± 0.04</w:t>
            </w:r>
          </w:p>
        </w:tc>
        <w:tc>
          <w:tcPr>
            <w:tcW w:w="1008" w:type="dxa"/>
            <w:shd w:val="clear" w:color="auto" w:fill="F9FAFC"/>
            <w:tcMar>
              <w:top w:w="50" w:type="dxa"/>
              <w:left w:w="50" w:type="dxa"/>
              <w:bottom w:w="50" w:type="dxa"/>
              <w:right w:w="50" w:type="dxa"/>
            </w:tcMar>
          </w:tcPr>
          <w:p w14:paraId="283AD7D4" w14:textId="77777777" w:rsidR="002511C9" w:rsidRDefault="00000000">
            <w:pPr>
              <w:spacing w:after="0" w:line="252" w:lineRule="auto"/>
              <w:jc w:val="center"/>
            </w:pPr>
            <w:r>
              <w:rPr>
                <w:sz w:val="17"/>
              </w:rPr>
              <w:t>0.689 ± 0.03</w:t>
            </w:r>
          </w:p>
        </w:tc>
      </w:tr>
      <w:tr w:rsidR="002511C9" w14:paraId="66D73DCA" w14:textId="77777777">
        <w:trPr>
          <w:jc w:val="center"/>
        </w:trPr>
        <w:tc>
          <w:tcPr>
            <w:tcW w:w="1728" w:type="dxa"/>
            <w:shd w:val="clear" w:color="auto" w:fill="FFFFFF"/>
            <w:tcMar>
              <w:top w:w="50" w:type="dxa"/>
              <w:left w:w="50" w:type="dxa"/>
              <w:bottom w:w="50" w:type="dxa"/>
              <w:right w:w="50" w:type="dxa"/>
            </w:tcMar>
          </w:tcPr>
          <w:p w14:paraId="08382A15" w14:textId="77777777" w:rsidR="002511C9" w:rsidRDefault="00000000">
            <w:pPr>
              <w:spacing w:after="0" w:line="252" w:lineRule="auto"/>
            </w:pPr>
            <w:r>
              <w:rPr>
                <w:sz w:val="17"/>
              </w:rPr>
              <w:t>(N = 768)</w:t>
            </w:r>
          </w:p>
        </w:tc>
        <w:tc>
          <w:tcPr>
            <w:tcW w:w="2592" w:type="dxa"/>
            <w:shd w:val="clear" w:color="auto" w:fill="FFFFFF"/>
            <w:tcMar>
              <w:top w:w="50" w:type="dxa"/>
              <w:left w:w="50" w:type="dxa"/>
              <w:bottom w:w="50" w:type="dxa"/>
              <w:right w:w="50" w:type="dxa"/>
            </w:tcMar>
          </w:tcPr>
          <w:p w14:paraId="6DB313E9" w14:textId="77777777" w:rsidR="002511C9" w:rsidRDefault="00000000">
            <w:pPr>
              <w:spacing w:after="0" w:line="252" w:lineRule="auto"/>
            </w:pPr>
            <w:r>
              <w:rPr>
                <w:sz w:val="17"/>
              </w:rPr>
              <w:t>Random Forest</w:t>
            </w:r>
          </w:p>
        </w:tc>
        <w:tc>
          <w:tcPr>
            <w:tcW w:w="1008" w:type="dxa"/>
            <w:shd w:val="clear" w:color="auto" w:fill="FFFFFF"/>
            <w:tcMar>
              <w:top w:w="50" w:type="dxa"/>
              <w:left w:w="50" w:type="dxa"/>
              <w:bottom w:w="50" w:type="dxa"/>
              <w:right w:w="50" w:type="dxa"/>
            </w:tcMar>
          </w:tcPr>
          <w:p w14:paraId="0A0FB8E6" w14:textId="77777777" w:rsidR="002511C9" w:rsidRDefault="00000000">
            <w:pPr>
              <w:spacing w:after="0" w:line="252" w:lineRule="auto"/>
              <w:jc w:val="center"/>
            </w:pPr>
            <w:r>
              <w:rPr>
                <w:sz w:val="17"/>
              </w:rPr>
              <w:t>0.798 ± 0.02</w:t>
            </w:r>
          </w:p>
        </w:tc>
        <w:tc>
          <w:tcPr>
            <w:tcW w:w="1008" w:type="dxa"/>
            <w:shd w:val="clear" w:color="auto" w:fill="FFFFFF"/>
            <w:tcMar>
              <w:top w:w="50" w:type="dxa"/>
              <w:left w:w="50" w:type="dxa"/>
              <w:bottom w:w="50" w:type="dxa"/>
              <w:right w:w="50" w:type="dxa"/>
            </w:tcMar>
          </w:tcPr>
          <w:p w14:paraId="18350EB9" w14:textId="77777777" w:rsidR="002511C9" w:rsidRDefault="00000000">
            <w:pPr>
              <w:spacing w:after="0" w:line="252" w:lineRule="auto"/>
              <w:jc w:val="center"/>
            </w:pPr>
            <w:r>
              <w:rPr>
                <w:sz w:val="17"/>
              </w:rPr>
              <w:t>0.739 ± 0.02</w:t>
            </w:r>
          </w:p>
        </w:tc>
        <w:tc>
          <w:tcPr>
            <w:tcW w:w="1008" w:type="dxa"/>
            <w:shd w:val="clear" w:color="auto" w:fill="FFFFFF"/>
            <w:tcMar>
              <w:top w:w="50" w:type="dxa"/>
              <w:left w:w="50" w:type="dxa"/>
              <w:bottom w:w="50" w:type="dxa"/>
              <w:right w:w="50" w:type="dxa"/>
            </w:tcMar>
          </w:tcPr>
          <w:p w14:paraId="46828767" w14:textId="77777777" w:rsidR="002511C9" w:rsidRDefault="00000000">
            <w:pPr>
              <w:spacing w:after="0" w:line="252" w:lineRule="auto"/>
              <w:jc w:val="center"/>
            </w:pPr>
            <w:r>
              <w:rPr>
                <w:sz w:val="17"/>
              </w:rPr>
              <w:t>0.672 ± 0.03</w:t>
            </w:r>
          </w:p>
        </w:tc>
        <w:tc>
          <w:tcPr>
            <w:tcW w:w="1008" w:type="dxa"/>
            <w:shd w:val="clear" w:color="auto" w:fill="FFFFFF"/>
            <w:tcMar>
              <w:top w:w="50" w:type="dxa"/>
              <w:left w:w="50" w:type="dxa"/>
              <w:bottom w:w="50" w:type="dxa"/>
              <w:right w:w="50" w:type="dxa"/>
            </w:tcMar>
          </w:tcPr>
          <w:p w14:paraId="18915D1A" w14:textId="77777777" w:rsidR="002511C9" w:rsidRDefault="00000000">
            <w:pPr>
              <w:spacing w:after="0" w:line="252" w:lineRule="auto"/>
              <w:jc w:val="center"/>
            </w:pPr>
            <w:r>
              <w:rPr>
                <w:sz w:val="17"/>
              </w:rPr>
              <w:t>0.704 ± 0.02</w:t>
            </w:r>
          </w:p>
        </w:tc>
        <w:tc>
          <w:tcPr>
            <w:tcW w:w="1008" w:type="dxa"/>
            <w:shd w:val="clear" w:color="auto" w:fill="FFFFFF"/>
            <w:tcMar>
              <w:top w:w="50" w:type="dxa"/>
              <w:left w:w="50" w:type="dxa"/>
              <w:bottom w:w="50" w:type="dxa"/>
              <w:right w:w="50" w:type="dxa"/>
            </w:tcMar>
          </w:tcPr>
          <w:p w14:paraId="1BAD6A64" w14:textId="77777777" w:rsidR="002511C9" w:rsidRDefault="00000000">
            <w:pPr>
              <w:spacing w:after="0" w:line="252" w:lineRule="auto"/>
              <w:jc w:val="center"/>
            </w:pPr>
            <w:r>
              <w:rPr>
                <w:sz w:val="17"/>
              </w:rPr>
              <w:t>0.862 ± 0.02</w:t>
            </w:r>
          </w:p>
        </w:tc>
      </w:tr>
      <w:tr w:rsidR="002511C9" w14:paraId="2A149DA0" w14:textId="77777777">
        <w:trPr>
          <w:jc w:val="center"/>
        </w:trPr>
        <w:tc>
          <w:tcPr>
            <w:tcW w:w="1728" w:type="dxa"/>
            <w:shd w:val="clear" w:color="auto" w:fill="F9FAFC"/>
            <w:tcMar>
              <w:top w:w="50" w:type="dxa"/>
              <w:left w:w="50" w:type="dxa"/>
              <w:bottom w:w="50" w:type="dxa"/>
              <w:right w:w="50" w:type="dxa"/>
            </w:tcMar>
          </w:tcPr>
          <w:p w14:paraId="6A6A68D0" w14:textId="77777777" w:rsidR="002511C9" w:rsidRDefault="002511C9">
            <w:pPr>
              <w:spacing w:after="0" w:line="252" w:lineRule="auto"/>
            </w:pPr>
          </w:p>
        </w:tc>
        <w:tc>
          <w:tcPr>
            <w:tcW w:w="2592" w:type="dxa"/>
            <w:shd w:val="clear" w:color="auto" w:fill="F9FAFC"/>
            <w:tcMar>
              <w:top w:w="50" w:type="dxa"/>
              <w:left w:w="50" w:type="dxa"/>
              <w:bottom w:w="50" w:type="dxa"/>
              <w:right w:w="50" w:type="dxa"/>
            </w:tcMar>
          </w:tcPr>
          <w:p w14:paraId="0F43EC20" w14:textId="77777777" w:rsidR="002511C9" w:rsidRDefault="00000000">
            <w:pPr>
              <w:spacing w:after="0" w:line="252" w:lineRule="auto"/>
            </w:pPr>
            <w:r>
              <w:rPr>
                <w:sz w:val="17"/>
              </w:rPr>
              <w:t>XGBoost</w:t>
            </w:r>
          </w:p>
        </w:tc>
        <w:tc>
          <w:tcPr>
            <w:tcW w:w="1008" w:type="dxa"/>
            <w:shd w:val="clear" w:color="auto" w:fill="F9FAFC"/>
            <w:tcMar>
              <w:top w:w="50" w:type="dxa"/>
              <w:left w:w="50" w:type="dxa"/>
              <w:bottom w:w="50" w:type="dxa"/>
              <w:right w:w="50" w:type="dxa"/>
            </w:tcMar>
          </w:tcPr>
          <w:p w14:paraId="3BC64511" w14:textId="77777777" w:rsidR="002511C9" w:rsidRDefault="00000000">
            <w:pPr>
              <w:spacing w:after="0" w:line="252" w:lineRule="auto"/>
              <w:jc w:val="center"/>
            </w:pPr>
            <w:r>
              <w:rPr>
                <w:sz w:val="17"/>
              </w:rPr>
              <w:t>0.805 ± 0.02</w:t>
            </w:r>
          </w:p>
        </w:tc>
        <w:tc>
          <w:tcPr>
            <w:tcW w:w="1008" w:type="dxa"/>
            <w:shd w:val="clear" w:color="auto" w:fill="F9FAFC"/>
            <w:tcMar>
              <w:top w:w="50" w:type="dxa"/>
              <w:left w:w="50" w:type="dxa"/>
              <w:bottom w:w="50" w:type="dxa"/>
              <w:right w:w="50" w:type="dxa"/>
            </w:tcMar>
          </w:tcPr>
          <w:p w14:paraId="405474EB" w14:textId="77777777" w:rsidR="002511C9" w:rsidRDefault="00000000">
            <w:pPr>
              <w:spacing w:after="0" w:line="252" w:lineRule="auto"/>
              <w:jc w:val="center"/>
            </w:pPr>
            <w:r>
              <w:rPr>
                <w:sz w:val="17"/>
              </w:rPr>
              <w:t>0.741 ± 0.03</w:t>
            </w:r>
          </w:p>
        </w:tc>
        <w:tc>
          <w:tcPr>
            <w:tcW w:w="1008" w:type="dxa"/>
            <w:shd w:val="clear" w:color="auto" w:fill="F9FAFC"/>
            <w:tcMar>
              <w:top w:w="50" w:type="dxa"/>
              <w:left w:w="50" w:type="dxa"/>
              <w:bottom w:w="50" w:type="dxa"/>
              <w:right w:w="50" w:type="dxa"/>
            </w:tcMar>
          </w:tcPr>
          <w:p w14:paraId="031629C0" w14:textId="77777777" w:rsidR="002511C9" w:rsidRDefault="00000000">
            <w:pPr>
              <w:spacing w:after="0" w:line="252" w:lineRule="auto"/>
              <w:jc w:val="center"/>
            </w:pPr>
            <w:r>
              <w:rPr>
                <w:sz w:val="17"/>
              </w:rPr>
              <w:t>0.701 ± 0.03</w:t>
            </w:r>
          </w:p>
        </w:tc>
        <w:tc>
          <w:tcPr>
            <w:tcW w:w="1008" w:type="dxa"/>
            <w:shd w:val="clear" w:color="auto" w:fill="F9FAFC"/>
            <w:tcMar>
              <w:top w:w="50" w:type="dxa"/>
              <w:left w:w="50" w:type="dxa"/>
              <w:bottom w:w="50" w:type="dxa"/>
              <w:right w:w="50" w:type="dxa"/>
            </w:tcMar>
          </w:tcPr>
          <w:p w14:paraId="044C5E14" w14:textId="77777777" w:rsidR="002511C9" w:rsidRDefault="00000000">
            <w:pPr>
              <w:spacing w:after="0" w:line="252" w:lineRule="auto"/>
              <w:jc w:val="center"/>
            </w:pPr>
            <w:r>
              <w:rPr>
                <w:sz w:val="17"/>
              </w:rPr>
              <w:t>0.720 ± 0.02</w:t>
            </w:r>
          </w:p>
        </w:tc>
        <w:tc>
          <w:tcPr>
            <w:tcW w:w="1008" w:type="dxa"/>
            <w:shd w:val="clear" w:color="auto" w:fill="F9FAFC"/>
            <w:tcMar>
              <w:top w:w="50" w:type="dxa"/>
              <w:left w:w="50" w:type="dxa"/>
              <w:bottom w:w="50" w:type="dxa"/>
              <w:right w:w="50" w:type="dxa"/>
            </w:tcMar>
          </w:tcPr>
          <w:p w14:paraId="00C1E902" w14:textId="77777777" w:rsidR="002511C9" w:rsidRDefault="00000000">
            <w:pPr>
              <w:spacing w:after="0" w:line="252" w:lineRule="auto"/>
              <w:jc w:val="center"/>
            </w:pPr>
            <w:r>
              <w:rPr>
                <w:sz w:val="17"/>
              </w:rPr>
              <w:t>0.871 ± 0.01</w:t>
            </w:r>
          </w:p>
        </w:tc>
      </w:tr>
      <w:tr w:rsidR="002511C9" w14:paraId="54B977E9" w14:textId="77777777">
        <w:trPr>
          <w:jc w:val="center"/>
        </w:trPr>
        <w:tc>
          <w:tcPr>
            <w:tcW w:w="1728" w:type="dxa"/>
            <w:shd w:val="clear" w:color="auto" w:fill="EBF2FA"/>
            <w:tcMar>
              <w:top w:w="50" w:type="dxa"/>
              <w:left w:w="50" w:type="dxa"/>
              <w:bottom w:w="50" w:type="dxa"/>
              <w:right w:w="50" w:type="dxa"/>
            </w:tcMar>
          </w:tcPr>
          <w:p w14:paraId="73EFDEA4" w14:textId="77777777" w:rsidR="002511C9" w:rsidRDefault="002511C9">
            <w:pPr>
              <w:spacing w:after="0" w:line="252" w:lineRule="auto"/>
            </w:pPr>
          </w:p>
        </w:tc>
        <w:tc>
          <w:tcPr>
            <w:tcW w:w="2592" w:type="dxa"/>
            <w:shd w:val="clear" w:color="auto" w:fill="EBF2FA"/>
            <w:tcMar>
              <w:top w:w="50" w:type="dxa"/>
              <w:left w:w="50" w:type="dxa"/>
              <w:bottom w:w="50" w:type="dxa"/>
              <w:right w:w="50" w:type="dxa"/>
            </w:tcMar>
          </w:tcPr>
          <w:p w14:paraId="543D1E05" w14:textId="77777777" w:rsidR="002511C9" w:rsidRDefault="00000000">
            <w:pPr>
              <w:spacing w:after="0" w:line="252" w:lineRule="auto"/>
            </w:pPr>
            <w:r>
              <w:rPr>
                <w:b/>
                <w:sz w:val="17"/>
              </w:rPr>
              <w:t>CatBoost (Proposed)</w:t>
            </w:r>
          </w:p>
        </w:tc>
        <w:tc>
          <w:tcPr>
            <w:tcW w:w="1008" w:type="dxa"/>
            <w:shd w:val="clear" w:color="auto" w:fill="EBF2FA"/>
            <w:tcMar>
              <w:top w:w="50" w:type="dxa"/>
              <w:left w:w="50" w:type="dxa"/>
              <w:bottom w:w="50" w:type="dxa"/>
              <w:right w:w="50" w:type="dxa"/>
            </w:tcMar>
          </w:tcPr>
          <w:p w14:paraId="47B57F5B" w14:textId="77777777" w:rsidR="002511C9" w:rsidRDefault="00000000">
            <w:pPr>
              <w:spacing w:after="0" w:line="252" w:lineRule="auto"/>
              <w:jc w:val="center"/>
            </w:pPr>
            <w:r>
              <w:rPr>
                <w:b/>
                <w:sz w:val="17"/>
              </w:rPr>
              <w:t>0.824 ± 0.01</w:t>
            </w:r>
          </w:p>
        </w:tc>
        <w:tc>
          <w:tcPr>
            <w:tcW w:w="1008" w:type="dxa"/>
            <w:shd w:val="clear" w:color="auto" w:fill="EBF2FA"/>
            <w:tcMar>
              <w:top w:w="50" w:type="dxa"/>
              <w:left w:w="50" w:type="dxa"/>
              <w:bottom w:w="50" w:type="dxa"/>
              <w:right w:w="50" w:type="dxa"/>
            </w:tcMar>
          </w:tcPr>
          <w:p w14:paraId="18E3A239" w14:textId="77777777" w:rsidR="002511C9" w:rsidRDefault="00000000">
            <w:pPr>
              <w:spacing w:after="0" w:line="252" w:lineRule="auto"/>
              <w:jc w:val="center"/>
            </w:pPr>
            <w:r>
              <w:rPr>
                <w:b/>
                <w:sz w:val="17"/>
              </w:rPr>
              <w:t>0.768 ± 0.02</w:t>
            </w:r>
          </w:p>
        </w:tc>
        <w:tc>
          <w:tcPr>
            <w:tcW w:w="1008" w:type="dxa"/>
            <w:shd w:val="clear" w:color="auto" w:fill="EBF2FA"/>
            <w:tcMar>
              <w:top w:w="50" w:type="dxa"/>
              <w:left w:w="50" w:type="dxa"/>
              <w:bottom w:w="50" w:type="dxa"/>
              <w:right w:w="50" w:type="dxa"/>
            </w:tcMar>
          </w:tcPr>
          <w:p w14:paraId="6FD32837" w14:textId="77777777" w:rsidR="002511C9" w:rsidRDefault="00000000">
            <w:pPr>
              <w:spacing w:after="0" w:line="252" w:lineRule="auto"/>
              <w:jc w:val="center"/>
            </w:pPr>
            <w:r>
              <w:rPr>
                <w:b/>
                <w:sz w:val="17"/>
              </w:rPr>
              <w:t>0.846 ± 0.02</w:t>
            </w:r>
          </w:p>
        </w:tc>
        <w:tc>
          <w:tcPr>
            <w:tcW w:w="1008" w:type="dxa"/>
            <w:shd w:val="clear" w:color="auto" w:fill="EBF2FA"/>
            <w:tcMar>
              <w:top w:w="50" w:type="dxa"/>
              <w:left w:w="50" w:type="dxa"/>
              <w:bottom w:w="50" w:type="dxa"/>
              <w:right w:w="50" w:type="dxa"/>
            </w:tcMar>
          </w:tcPr>
          <w:p w14:paraId="12BAB913" w14:textId="77777777" w:rsidR="002511C9" w:rsidRDefault="00000000">
            <w:pPr>
              <w:spacing w:after="0" w:line="252" w:lineRule="auto"/>
              <w:jc w:val="center"/>
            </w:pPr>
            <w:r>
              <w:rPr>
                <w:b/>
                <w:sz w:val="17"/>
              </w:rPr>
              <w:t>0.805 ± 0.02</w:t>
            </w:r>
          </w:p>
        </w:tc>
        <w:tc>
          <w:tcPr>
            <w:tcW w:w="1008" w:type="dxa"/>
            <w:shd w:val="clear" w:color="auto" w:fill="EBF2FA"/>
            <w:tcMar>
              <w:top w:w="50" w:type="dxa"/>
              <w:left w:w="50" w:type="dxa"/>
              <w:bottom w:w="50" w:type="dxa"/>
              <w:right w:w="50" w:type="dxa"/>
            </w:tcMar>
          </w:tcPr>
          <w:p w14:paraId="205AC161" w14:textId="77777777" w:rsidR="002511C9" w:rsidRDefault="00000000">
            <w:pPr>
              <w:spacing w:after="0" w:line="252" w:lineRule="auto"/>
              <w:jc w:val="center"/>
            </w:pPr>
            <w:r>
              <w:rPr>
                <w:b/>
                <w:sz w:val="17"/>
              </w:rPr>
              <w:t>0.884 ± 0.01</w:t>
            </w:r>
          </w:p>
        </w:tc>
      </w:tr>
      <w:tr w:rsidR="002511C9" w14:paraId="7ED27448" w14:textId="77777777">
        <w:trPr>
          <w:jc w:val="center"/>
        </w:trPr>
        <w:tc>
          <w:tcPr>
            <w:tcW w:w="1728" w:type="dxa"/>
            <w:shd w:val="clear" w:color="auto" w:fill="F9FAFC"/>
            <w:tcMar>
              <w:top w:w="50" w:type="dxa"/>
              <w:left w:w="50" w:type="dxa"/>
              <w:bottom w:w="50" w:type="dxa"/>
              <w:right w:w="50" w:type="dxa"/>
            </w:tcMar>
          </w:tcPr>
          <w:p w14:paraId="6A39FF08" w14:textId="77777777" w:rsidR="002511C9" w:rsidRDefault="00000000">
            <w:pPr>
              <w:spacing w:after="0" w:line="252" w:lineRule="auto"/>
            </w:pPr>
            <w:r>
              <w:rPr>
                <w:sz w:val="17"/>
              </w:rPr>
              <w:t>Oncology</w:t>
            </w:r>
          </w:p>
        </w:tc>
        <w:tc>
          <w:tcPr>
            <w:tcW w:w="2592" w:type="dxa"/>
            <w:shd w:val="clear" w:color="auto" w:fill="F9FAFC"/>
            <w:tcMar>
              <w:top w:w="50" w:type="dxa"/>
              <w:left w:w="50" w:type="dxa"/>
              <w:bottom w:w="50" w:type="dxa"/>
              <w:right w:w="50" w:type="dxa"/>
            </w:tcMar>
          </w:tcPr>
          <w:p w14:paraId="4DF9CA7F" w14:textId="77777777" w:rsidR="002511C9" w:rsidRDefault="00000000">
            <w:pPr>
              <w:spacing w:after="0" w:line="252" w:lineRule="auto"/>
            </w:pPr>
            <w:r>
              <w:rPr>
                <w:sz w:val="17"/>
              </w:rPr>
              <w:t>Logistic Regression</w:t>
            </w:r>
          </w:p>
        </w:tc>
        <w:tc>
          <w:tcPr>
            <w:tcW w:w="1008" w:type="dxa"/>
            <w:shd w:val="clear" w:color="auto" w:fill="F9FAFC"/>
            <w:tcMar>
              <w:top w:w="50" w:type="dxa"/>
              <w:left w:w="50" w:type="dxa"/>
              <w:bottom w:w="50" w:type="dxa"/>
              <w:right w:w="50" w:type="dxa"/>
            </w:tcMar>
          </w:tcPr>
          <w:p w14:paraId="02DA35E5" w14:textId="77777777" w:rsidR="002511C9" w:rsidRDefault="00000000">
            <w:pPr>
              <w:spacing w:after="0" w:line="252" w:lineRule="auto"/>
              <w:jc w:val="center"/>
            </w:pPr>
            <w:r>
              <w:rPr>
                <w:sz w:val="17"/>
              </w:rPr>
              <w:t>0.965 ± 0.01</w:t>
            </w:r>
          </w:p>
        </w:tc>
        <w:tc>
          <w:tcPr>
            <w:tcW w:w="1008" w:type="dxa"/>
            <w:shd w:val="clear" w:color="auto" w:fill="F9FAFC"/>
            <w:tcMar>
              <w:top w:w="50" w:type="dxa"/>
              <w:left w:w="50" w:type="dxa"/>
              <w:bottom w:w="50" w:type="dxa"/>
              <w:right w:w="50" w:type="dxa"/>
            </w:tcMar>
          </w:tcPr>
          <w:p w14:paraId="085237CF" w14:textId="77777777" w:rsidR="002511C9" w:rsidRDefault="00000000">
            <w:pPr>
              <w:spacing w:after="0" w:line="252" w:lineRule="auto"/>
              <w:jc w:val="center"/>
            </w:pPr>
            <w:r>
              <w:rPr>
                <w:sz w:val="17"/>
              </w:rPr>
              <w:t>0.962 ± 0.01</w:t>
            </w:r>
          </w:p>
        </w:tc>
        <w:tc>
          <w:tcPr>
            <w:tcW w:w="1008" w:type="dxa"/>
            <w:shd w:val="clear" w:color="auto" w:fill="F9FAFC"/>
            <w:tcMar>
              <w:top w:w="50" w:type="dxa"/>
              <w:left w:w="50" w:type="dxa"/>
              <w:bottom w:w="50" w:type="dxa"/>
              <w:right w:w="50" w:type="dxa"/>
            </w:tcMar>
          </w:tcPr>
          <w:p w14:paraId="5533BAB8" w14:textId="77777777" w:rsidR="002511C9" w:rsidRDefault="00000000">
            <w:pPr>
              <w:spacing w:after="0" w:line="252" w:lineRule="auto"/>
              <w:jc w:val="center"/>
            </w:pPr>
            <w:r>
              <w:rPr>
                <w:sz w:val="17"/>
              </w:rPr>
              <w:t>0.943 ± 0.02</w:t>
            </w:r>
          </w:p>
        </w:tc>
        <w:tc>
          <w:tcPr>
            <w:tcW w:w="1008" w:type="dxa"/>
            <w:shd w:val="clear" w:color="auto" w:fill="F9FAFC"/>
            <w:tcMar>
              <w:top w:w="50" w:type="dxa"/>
              <w:left w:w="50" w:type="dxa"/>
              <w:bottom w:w="50" w:type="dxa"/>
              <w:right w:w="50" w:type="dxa"/>
            </w:tcMar>
          </w:tcPr>
          <w:p w14:paraId="3C8F105B" w14:textId="77777777" w:rsidR="002511C9" w:rsidRDefault="00000000">
            <w:pPr>
              <w:spacing w:after="0" w:line="252" w:lineRule="auto"/>
              <w:jc w:val="center"/>
            </w:pPr>
            <w:r>
              <w:rPr>
                <w:sz w:val="17"/>
              </w:rPr>
              <w:t>0.952 ± 0.01</w:t>
            </w:r>
          </w:p>
        </w:tc>
        <w:tc>
          <w:tcPr>
            <w:tcW w:w="1008" w:type="dxa"/>
            <w:shd w:val="clear" w:color="auto" w:fill="F9FAFC"/>
            <w:tcMar>
              <w:top w:w="50" w:type="dxa"/>
              <w:left w:w="50" w:type="dxa"/>
              <w:bottom w:w="50" w:type="dxa"/>
              <w:right w:w="50" w:type="dxa"/>
            </w:tcMar>
          </w:tcPr>
          <w:p w14:paraId="577356B6" w14:textId="77777777" w:rsidR="002511C9" w:rsidRDefault="00000000">
            <w:pPr>
              <w:spacing w:after="0" w:line="252" w:lineRule="auto"/>
              <w:jc w:val="center"/>
            </w:pPr>
            <w:r>
              <w:rPr>
                <w:sz w:val="17"/>
              </w:rPr>
              <w:t>0.984 ± 0.01</w:t>
            </w:r>
          </w:p>
        </w:tc>
      </w:tr>
      <w:tr w:rsidR="002511C9" w14:paraId="717D1233" w14:textId="77777777">
        <w:trPr>
          <w:jc w:val="center"/>
        </w:trPr>
        <w:tc>
          <w:tcPr>
            <w:tcW w:w="1728" w:type="dxa"/>
            <w:shd w:val="clear" w:color="auto" w:fill="FFFFFF"/>
            <w:tcMar>
              <w:top w:w="50" w:type="dxa"/>
              <w:left w:w="50" w:type="dxa"/>
              <w:bottom w:w="50" w:type="dxa"/>
              <w:right w:w="50" w:type="dxa"/>
            </w:tcMar>
          </w:tcPr>
          <w:p w14:paraId="6AC3EB22" w14:textId="77777777" w:rsidR="002511C9" w:rsidRDefault="00000000">
            <w:pPr>
              <w:spacing w:after="0" w:line="252" w:lineRule="auto"/>
            </w:pPr>
            <w:r>
              <w:rPr>
                <w:sz w:val="17"/>
              </w:rPr>
              <w:t>WDBC Breast</w:t>
            </w:r>
          </w:p>
        </w:tc>
        <w:tc>
          <w:tcPr>
            <w:tcW w:w="2592" w:type="dxa"/>
            <w:shd w:val="clear" w:color="auto" w:fill="FFFFFF"/>
            <w:tcMar>
              <w:top w:w="50" w:type="dxa"/>
              <w:left w:w="50" w:type="dxa"/>
              <w:bottom w:w="50" w:type="dxa"/>
              <w:right w:w="50" w:type="dxa"/>
            </w:tcMar>
          </w:tcPr>
          <w:p w14:paraId="792076A7" w14:textId="77777777" w:rsidR="002511C9" w:rsidRDefault="00000000">
            <w:pPr>
              <w:spacing w:after="0" w:line="252" w:lineRule="auto"/>
            </w:pPr>
            <w:r>
              <w:rPr>
                <w:sz w:val="17"/>
              </w:rPr>
              <w:t>Decision Tree (CART)</w:t>
            </w:r>
          </w:p>
        </w:tc>
        <w:tc>
          <w:tcPr>
            <w:tcW w:w="1008" w:type="dxa"/>
            <w:shd w:val="clear" w:color="auto" w:fill="FFFFFF"/>
            <w:tcMar>
              <w:top w:w="50" w:type="dxa"/>
              <w:left w:w="50" w:type="dxa"/>
              <w:bottom w:w="50" w:type="dxa"/>
              <w:right w:w="50" w:type="dxa"/>
            </w:tcMar>
          </w:tcPr>
          <w:p w14:paraId="6D74D5CF" w14:textId="77777777" w:rsidR="002511C9" w:rsidRDefault="00000000">
            <w:pPr>
              <w:spacing w:after="0" w:line="252" w:lineRule="auto"/>
              <w:jc w:val="center"/>
            </w:pPr>
            <w:r>
              <w:rPr>
                <w:sz w:val="17"/>
              </w:rPr>
              <w:t>0.921 ± 0.02</w:t>
            </w:r>
          </w:p>
        </w:tc>
        <w:tc>
          <w:tcPr>
            <w:tcW w:w="1008" w:type="dxa"/>
            <w:shd w:val="clear" w:color="auto" w:fill="FFFFFF"/>
            <w:tcMar>
              <w:top w:w="50" w:type="dxa"/>
              <w:left w:w="50" w:type="dxa"/>
              <w:bottom w:w="50" w:type="dxa"/>
              <w:right w:w="50" w:type="dxa"/>
            </w:tcMar>
          </w:tcPr>
          <w:p w14:paraId="363B4AD4" w14:textId="77777777" w:rsidR="002511C9" w:rsidRDefault="00000000">
            <w:pPr>
              <w:spacing w:after="0" w:line="252" w:lineRule="auto"/>
              <w:jc w:val="center"/>
            </w:pPr>
            <w:r>
              <w:rPr>
                <w:sz w:val="17"/>
              </w:rPr>
              <w:t>0.896 ± 0.03</w:t>
            </w:r>
          </w:p>
        </w:tc>
        <w:tc>
          <w:tcPr>
            <w:tcW w:w="1008" w:type="dxa"/>
            <w:shd w:val="clear" w:color="auto" w:fill="FFFFFF"/>
            <w:tcMar>
              <w:top w:w="50" w:type="dxa"/>
              <w:left w:w="50" w:type="dxa"/>
              <w:bottom w:w="50" w:type="dxa"/>
              <w:right w:w="50" w:type="dxa"/>
            </w:tcMar>
          </w:tcPr>
          <w:p w14:paraId="1BB27EC2" w14:textId="77777777" w:rsidR="002511C9" w:rsidRDefault="00000000">
            <w:pPr>
              <w:spacing w:after="0" w:line="252" w:lineRule="auto"/>
              <w:jc w:val="center"/>
            </w:pPr>
            <w:r>
              <w:rPr>
                <w:sz w:val="17"/>
              </w:rPr>
              <w:t>0.896 ± 0.03</w:t>
            </w:r>
          </w:p>
        </w:tc>
        <w:tc>
          <w:tcPr>
            <w:tcW w:w="1008" w:type="dxa"/>
            <w:shd w:val="clear" w:color="auto" w:fill="FFFFFF"/>
            <w:tcMar>
              <w:top w:w="50" w:type="dxa"/>
              <w:left w:w="50" w:type="dxa"/>
              <w:bottom w:w="50" w:type="dxa"/>
              <w:right w:w="50" w:type="dxa"/>
            </w:tcMar>
          </w:tcPr>
          <w:p w14:paraId="29B5A6DA" w14:textId="77777777" w:rsidR="002511C9" w:rsidRDefault="00000000">
            <w:pPr>
              <w:spacing w:after="0" w:line="252" w:lineRule="auto"/>
              <w:jc w:val="center"/>
            </w:pPr>
            <w:r>
              <w:rPr>
                <w:sz w:val="17"/>
              </w:rPr>
              <w:t>0.896 ± 0.02</w:t>
            </w:r>
          </w:p>
        </w:tc>
        <w:tc>
          <w:tcPr>
            <w:tcW w:w="1008" w:type="dxa"/>
            <w:shd w:val="clear" w:color="auto" w:fill="FFFFFF"/>
            <w:tcMar>
              <w:top w:w="50" w:type="dxa"/>
              <w:left w:w="50" w:type="dxa"/>
              <w:bottom w:w="50" w:type="dxa"/>
              <w:right w:w="50" w:type="dxa"/>
            </w:tcMar>
          </w:tcPr>
          <w:p w14:paraId="38CED2E3" w14:textId="77777777" w:rsidR="002511C9" w:rsidRDefault="00000000">
            <w:pPr>
              <w:spacing w:after="0" w:line="252" w:lineRule="auto"/>
              <w:jc w:val="center"/>
            </w:pPr>
            <w:r>
              <w:rPr>
                <w:sz w:val="17"/>
              </w:rPr>
              <w:t>0.916 ± 0.02</w:t>
            </w:r>
          </w:p>
        </w:tc>
      </w:tr>
      <w:tr w:rsidR="002511C9" w14:paraId="44E8DF46" w14:textId="77777777">
        <w:trPr>
          <w:jc w:val="center"/>
        </w:trPr>
        <w:tc>
          <w:tcPr>
            <w:tcW w:w="1728" w:type="dxa"/>
            <w:shd w:val="clear" w:color="auto" w:fill="F9FAFC"/>
            <w:tcMar>
              <w:top w:w="50" w:type="dxa"/>
              <w:left w:w="50" w:type="dxa"/>
              <w:bottom w:w="50" w:type="dxa"/>
              <w:right w:w="50" w:type="dxa"/>
            </w:tcMar>
          </w:tcPr>
          <w:p w14:paraId="66301028" w14:textId="77777777" w:rsidR="002511C9" w:rsidRDefault="00000000">
            <w:pPr>
              <w:spacing w:after="0" w:line="252" w:lineRule="auto"/>
            </w:pPr>
            <w:r>
              <w:rPr>
                <w:sz w:val="17"/>
              </w:rPr>
              <w:t>(N = 569)</w:t>
            </w:r>
          </w:p>
        </w:tc>
        <w:tc>
          <w:tcPr>
            <w:tcW w:w="2592" w:type="dxa"/>
            <w:shd w:val="clear" w:color="auto" w:fill="F9FAFC"/>
            <w:tcMar>
              <w:top w:w="50" w:type="dxa"/>
              <w:left w:w="50" w:type="dxa"/>
              <w:bottom w:w="50" w:type="dxa"/>
              <w:right w:w="50" w:type="dxa"/>
            </w:tcMar>
          </w:tcPr>
          <w:p w14:paraId="5CE8C272" w14:textId="77777777" w:rsidR="002511C9" w:rsidRDefault="00000000">
            <w:pPr>
              <w:spacing w:after="0" w:line="252" w:lineRule="auto"/>
            </w:pPr>
            <w:r>
              <w:rPr>
                <w:sz w:val="17"/>
              </w:rPr>
              <w:t>Random Forest</w:t>
            </w:r>
          </w:p>
        </w:tc>
        <w:tc>
          <w:tcPr>
            <w:tcW w:w="1008" w:type="dxa"/>
            <w:shd w:val="clear" w:color="auto" w:fill="F9FAFC"/>
            <w:tcMar>
              <w:top w:w="50" w:type="dxa"/>
              <w:left w:w="50" w:type="dxa"/>
              <w:bottom w:w="50" w:type="dxa"/>
              <w:right w:w="50" w:type="dxa"/>
            </w:tcMar>
          </w:tcPr>
          <w:p w14:paraId="6878692D" w14:textId="77777777" w:rsidR="002511C9" w:rsidRDefault="00000000">
            <w:pPr>
              <w:spacing w:after="0" w:line="252" w:lineRule="auto"/>
              <w:jc w:val="center"/>
            </w:pPr>
            <w:r>
              <w:rPr>
                <w:sz w:val="17"/>
              </w:rPr>
              <w:t>0.968 ± 0.01</w:t>
            </w:r>
          </w:p>
        </w:tc>
        <w:tc>
          <w:tcPr>
            <w:tcW w:w="1008" w:type="dxa"/>
            <w:shd w:val="clear" w:color="auto" w:fill="F9FAFC"/>
            <w:tcMar>
              <w:top w:w="50" w:type="dxa"/>
              <w:left w:w="50" w:type="dxa"/>
              <w:bottom w:w="50" w:type="dxa"/>
              <w:right w:w="50" w:type="dxa"/>
            </w:tcMar>
          </w:tcPr>
          <w:p w14:paraId="6E67D469" w14:textId="77777777" w:rsidR="002511C9" w:rsidRDefault="00000000">
            <w:pPr>
              <w:spacing w:after="0" w:line="252" w:lineRule="auto"/>
              <w:jc w:val="center"/>
            </w:pPr>
            <w:r>
              <w:rPr>
                <w:sz w:val="17"/>
              </w:rPr>
              <w:t>0.971 ± 0.01</w:t>
            </w:r>
          </w:p>
        </w:tc>
        <w:tc>
          <w:tcPr>
            <w:tcW w:w="1008" w:type="dxa"/>
            <w:shd w:val="clear" w:color="auto" w:fill="F9FAFC"/>
            <w:tcMar>
              <w:top w:w="50" w:type="dxa"/>
              <w:left w:w="50" w:type="dxa"/>
              <w:bottom w:w="50" w:type="dxa"/>
              <w:right w:w="50" w:type="dxa"/>
            </w:tcMar>
          </w:tcPr>
          <w:p w14:paraId="204CC405" w14:textId="77777777" w:rsidR="002511C9" w:rsidRDefault="00000000">
            <w:pPr>
              <w:spacing w:after="0" w:line="252" w:lineRule="auto"/>
              <w:jc w:val="center"/>
            </w:pPr>
            <w:r>
              <w:rPr>
                <w:sz w:val="17"/>
              </w:rPr>
              <w:t>0.948 ± 0.02</w:t>
            </w:r>
          </w:p>
        </w:tc>
        <w:tc>
          <w:tcPr>
            <w:tcW w:w="1008" w:type="dxa"/>
            <w:shd w:val="clear" w:color="auto" w:fill="F9FAFC"/>
            <w:tcMar>
              <w:top w:w="50" w:type="dxa"/>
              <w:left w:w="50" w:type="dxa"/>
              <w:bottom w:w="50" w:type="dxa"/>
              <w:right w:w="50" w:type="dxa"/>
            </w:tcMar>
          </w:tcPr>
          <w:p w14:paraId="3C08C1AB" w14:textId="77777777" w:rsidR="002511C9" w:rsidRDefault="00000000">
            <w:pPr>
              <w:spacing w:after="0" w:line="252" w:lineRule="auto"/>
              <w:jc w:val="center"/>
            </w:pPr>
            <w:r>
              <w:rPr>
                <w:sz w:val="17"/>
              </w:rPr>
              <w:t>0.959 ± 0.01</w:t>
            </w:r>
          </w:p>
        </w:tc>
        <w:tc>
          <w:tcPr>
            <w:tcW w:w="1008" w:type="dxa"/>
            <w:shd w:val="clear" w:color="auto" w:fill="F9FAFC"/>
            <w:tcMar>
              <w:top w:w="50" w:type="dxa"/>
              <w:left w:w="50" w:type="dxa"/>
              <w:bottom w:w="50" w:type="dxa"/>
              <w:right w:w="50" w:type="dxa"/>
            </w:tcMar>
          </w:tcPr>
          <w:p w14:paraId="36FA8C65" w14:textId="77777777" w:rsidR="002511C9" w:rsidRDefault="00000000">
            <w:pPr>
              <w:spacing w:after="0" w:line="252" w:lineRule="auto"/>
              <w:jc w:val="center"/>
            </w:pPr>
            <w:r>
              <w:rPr>
                <w:sz w:val="17"/>
              </w:rPr>
              <w:t>0.989 ± 0.01</w:t>
            </w:r>
          </w:p>
        </w:tc>
      </w:tr>
      <w:tr w:rsidR="002511C9" w14:paraId="0B1E7BC4" w14:textId="77777777">
        <w:trPr>
          <w:jc w:val="center"/>
        </w:trPr>
        <w:tc>
          <w:tcPr>
            <w:tcW w:w="1728" w:type="dxa"/>
            <w:shd w:val="clear" w:color="auto" w:fill="EBF2FA"/>
            <w:tcMar>
              <w:top w:w="50" w:type="dxa"/>
              <w:left w:w="50" w:type="dxa"/>
              <w:bottom w:w="50" w:type="dxa"/>
              <w:right w:w="50" w:type="dxa"/>
            </w:tcMar>
          </w:tcPr>
          <w:p w14:paraId="34CA5F71" w14:textId="77777777" w:rsidR="002511C9" w:rsidRDefault="002511C9">
            <w:pPr>
              <w:spacing w:after="0" w:line="252" w:lineRule="auto"/>
            </w:pPr>
          </w:p>
        </w:tc>
        <w:tc>
          <w:tcPr>
            <w:tcW w:w="2592" w:type="dxa"/>
            <w:shd w:val="clear" w:color="auto" w:fill="EBF2FA"/>
            <w:tcMar>
              <w:top w:w="50" w:type="dxa"/>
              <w:left w:w="50" w:type="dxa"/>
              <w:bottom w:w="50" w:type="dxa"/>
              <w:right w:w="50" w:type="dxa"/>
            </w:tcMar>
          </w:tcPr>
          <w:p w14:paraId="52BC31D0" w14:textId="77777777" w:rsidR="002511C9" w:rsidRDefault="00000000">
            <w:pPr>
              <w:spacing w:after="0" w:line="252" w:lineRule="auto"/>
            </w:pPr>
            <w:r>
              <w:rPr>
                <w:b/>
                <w:sz w:val="17"/>
              </w:rPr>
              <w:t>XGBoost (Proposed)</w:t>
            </w:r>
          </w:p>
        </w:tc>
        <w:tc>
          <w:tcPr>
            <w:tcW w:w="1008" w:type="dxa"/>
            <w:shd w:val="clear" w:color="auto" w:fill="EBF2FA"/>
            <w:tcMar>
              <w:top w:w="50" w:type="dxa"/>
              <w:left w:w="50" w:type="dxa"/>
              <w:bottom w:w="50" w:type="dxa"/>
              <w:right w:w="50" w:type="dxa"/>
            </w:tcMar>
          </w:tcPr>
          <w:p w14:paraId="18CFE882" w14:textId="77777777" w:rsidR="002511C9" w:rsidRDefault="00000000">
            <w:pPr>
              <w:spacing w:after="0" w:line="252" w:lineRule="auto"/>
              <w:jc w:val="center"/>
            </w:pPr>
            <w:r>
              <w:rPr>
                <w:b/>
                <w:sz w:val="17"/>
              </w:rPr>
              <w:t>0.979 ± 0.01</w:t>
            </w:r>
          </w:p>
        </w:tc>
        <w:tc>
          <w:tcPr>
            <w:tcW w:w="1008" w:type="dxa"/>
            <w:shd w:val="clear" w:color="auto" w:fill="EBF2FA"/>
            <w:tcMar>
              <w:top w:w="50" w:type="dxa"/>
              <w:left w:w="50" w:type="dxa"/>
              <w:bottom w:w="50" w:type="dxa"/>
              <w:right w:w="50" w:type="dxa"/>
            </w:tcMar>
          </w:tcPr>
          <w:p w14:paraId="7B1784EF" w14:textId="77777777" w:rsidR="002511C9" w:rsidRDefault="00000000">
            <w:pPr>
              <w:spacing w:after="0" w:line="252" w:lineRule="auto"/>
              <w:jc w:val="center"/>
            </w:pPr>
            <w:r>
              <w:rPr>
                <w:b/>
                <w:sz w:val="17"/>
              </w:rPr>
              <w:t>0.976 ± 0.01</w:t>
            </w:r>
          </w:p>
        </w:tc>
        <w:tc>
          <w:tcPr>
            <w:tcW w:w="1008" w:type="dxa"/>
            <w:shd w:val="clear" w:color="auto" w:fill="EBF2FA"/>
            <w:tcMar>
              <w:top w:w="50" w:type="dxa"/>
              <w:left w:w="50" w:type="dxa"/>
              <w:bottom w:w="50" w:type="dxa"/>
              <w:right w:w="50" w:type="dxa"/>
            </w:tcMar>
          </w:tcPr>
          <w:p w14:paraId="5053D07D" w14:textId="77777777" w:rsidR="002511C9" w:rsidRDefault="00000000">
            <w:pPr>
              <w:spacing w:after="0" w:line="252" w:lineRule="auto"/>
              <w:jc w:val="center"/>
            </w:pPr>
            <w:r>
              <w:rPr>
                <w:b/>
                <w:sz w:val="17"/>
              </w:rPr>
              <w:t>0.982 ± 0.01</w:t>
            </w:r>
          </w:p>
        </w:tc>
        <w:tc>
          <w:tcPr>
            <w:tcW w:w="1008" w:type="dxa"/>
            <w:shd w:val="clear" w:color="auto" w:fill="EBF2FA"/>
            <w:tcMar>
              <w:top w:w="50" w:type="dxa"/>
              <w:left w:w="50" w:type="dxa"/>
              <w:bottom w:w="50" w:type="dxa"/>
              <w:right w:w="50" w:type="dxa"/>
            </w:tcMar>
          </w:tcPr>
          <w:p w14:paraId="3A723B6E" w14:textId="77777777" w:rsidR="002511C9" w:rsidRDefault="00000000">
            <w:pPr>
              <w:spacing w:after="0" w:line="252" w:lineRule="auto"/>
              <w:jc w:val="center"/>
            </w:pPr>
            <w:r>
              <w:rPr>
                <w:b/>
                <w:sz w:val="17"/>
              </w:rPr>
              <w:t>0.979 ± 0.01</w:t>
            </w:r>
          </w:p>
        </w:tc>
        <w:tc>
          <w:tcPr>
            <w:tcW w:w="1008" w:type="dxa"/>
            <w:shd w:val="clear" w:color="auto" w:fill="EBF2FA"/>
            <w:tcMar>
              <w:top w:w="50" w:type="dxa"/>
              <w:left w:w="50" w:type="dxa"/>
              <w:bottom w:w="50" w:type="dxa"/>
              <w:right w:w="50" w:type="dxa"/>
            </w:tcMar>
          </w:tcPr>
          <w:p w14:paraId="4B5EB3A4" w14:textId="77777777" w:rsidR="002511C9" w:rsidRDefault="00000000">
            <w:pPr>
              <w:spacing w:after="0" w:line="252" w:lineRule="auto"/>
              <w:jc w:val="center"/>
            </w:pPr>
            <w:r>
              <w:rPr>
                <w:b/>
                <w:sz w:val="17"/>
              </w:rPr>
              <w:t>0.991 ± 0.00</w:t>
            </w:r>
          </w:p>
        </w:tc>
      </w:tr>
      <w:tr w:rsidR="002511C9" w14:paraId="602F3BE7" w14:textId="77777777">
        <w:trPr>
          <w:jc w:val="center"/>
        </w:trPr>
        <w:tc>
          <w:tcPr>
            <w:tcW w:w="1728" w:type="dxa"/>
            <w:shd w:val="clear" w:color="auto" w:fill="F9FAFC"/>
            <w:tcMar>
              <w:top w:w="50" w:type="dxa"/>
              <w:left w:w="50" w:type="dxa"/>
              <w:bottom w:w="50" w:type="dxa"/>
              <w:right w:w="50" w:type="dxa"/>
            </w:tcMar>
          </w:tcPr>
          <w:p w14:paraId="2B7EB1DF" w14:textId="77777777" w:rsidR="002511C9" w:rsidRDefault="002511C9">
            <w:pPr>
              <w:spacing w:after="0" w:line="252" w:lineRule="auto"/>
            </w:pPr>
          </w:p>
        </w:tc>
        <w:tc>
          <w:tcPr>
            <w:tcW w:w="2592" w:type="dxa"/>
            <w:shd w:val="clear" w:color="auto" w:fill="F9FAFC"/>
            <w:tcMar>
              <w:top w:w="50" w:type="dxa"/>
              <w:left w:w="50" w:type="dxa"/>
              <w:bottom w:w="50" w:type="dxa"/>
              <w:right w:w="50" w:type="dxa"/>
            </w:tcMar>
          </w:tcPr>
          <w:p w14:paraId="367A7D2C" w14:textId="77777777" w:rsidR="002511C9" w:rsidRDefault="00000000">
            <w:pPr>
              <w:spacing w:after="0" w:line="252" w:lineRule="auto"/>
            </w:pPr>
            <w:r>
              <w:rPr>
                <w:sz w:val="17"/>
              </w:rPr>
              <w:t>CatBoost</w:t>
            </w:r>
          </w:p>
        </w:tc>
        <w:tc>
          <w:tcPr>
            <w:tcW w:w="1008" w:type="dxa"/>
            <w:shd w:val="clear" w:color="auto" w:fill="F9FAFC"/>
            <w:tcMar>
              <w:top w:w="50" w:type="dxa"/>
              <w:left w:w="50" w:type="dxa"/>
              <w:bottom w:w="50" w:type="dxa"/>
              <w:right w:w="50" w:type="dxa"/>
            </w:tcMar>
          </w:tcPr>
          <w:p w14:paraId="1420CD90" w14:textId="77777777" w:rsidR="002511C9" w:rsidRDefault="00000000">
            <w:pPr>
              <w:spacing w:after="0" w:line="252" w:lineRule="auto"/>
              <w:jc w:val="center"/>
            </w:pPr>
            <w:r>
              <w:rPr>
                <w:sz w:val="17"/>
              </w:rPr>
              <w:t>0.974 ± 0.01</w:t>
            </w:r>
          </w:p>
        </w:tc>
        <w:tc>
          <w:tcPr>
            <w:tcW w:w="1008" w:type="dxa"/>
            <w:shd w:val="clear" w:color="auto" w:fill="F9FAFC"/>
            <w:tcMar>
              <w:top w:w="50" w:type="dxa"/>
              <w:left w:w="50" w:type="dxa"/>
              <w:bottom w:w="50" w:type="dxa"/>
              <w:right w:w="50" w:type="dxa"/>
            </w:tcMar>
          </w:tcPr>
          <w:p w14:paraId="497AD937" w14:textId="77777777" w:rsidR="002511C9" w:rsidRDefault="00000000">
            <w:pPr>
              <w:spacing w:after="0" w:line="252" w:lineRule="auto"/>
              <w:jc w:val="center"/>
            </w:pPr>
            <w:r>
              <w:rPr>
                <w:sz w:val="17"/>
              </w:rPr>
              <w:t>0.971 ± 0.01</w:t>
            </w:r>
          </w:p>
        </w:tc>
        <w:tc>
          <w:tcPr>
            <w:tcW w:w="1008" w:type="dxa"/>
            <w:shd w:val="clear" w:color="auto" w:fill="F9FAFC"/>
            <w:tcMar>
              <w:top w:w="50" w:type="dxa"/>
              <w:left w:w="50" w:type="dxa"/>
              <w:bottom w:w="50" w:type="dxa"/>
              <w:right w:w="50" w:type="dxa"/>
            </w:tcMar>
          </w:tcPr>
          <w:p w14:paraId="08EBECE6" w14:textId="77777777" w:rsidR="002511C9" w:rsidRDefault="00000000">
            <w:pPr>
              <w:spacing w:after="0" w:line="252" w:lineRule="auto"/>
              <w:jc w:val="center"/>
            </w:pPr>
            <w:r>
              <w:rPr>
                <w:sz w:val="17"/>
              </w:rPr>
              <w:t>0.967 ± 0.01</w:t>
            </w:r>
          </w:p>
        </w:tc>
        <w:tc>
          <w:tcPr>
            <w:tcW w:w="1008" w:type="dxa"/>
            <w:shd w:val="clear" w:color="auto" w:fill="F9FAFC"/>
            <w:tcMar>
              <w:top w:w="50" w:type="dxa"/>
              <w:left w:w="50" w:type="dxa"/>
              <w:bottom w:w="50" w:type="dxa"/>
              <w:right w:w="50" w:type="dxa"/>
            </w:tcMar>
          </w:tcPr>
          <w:p w14:paraId="5DEBE5D4" w14:textId="77777777" w:rsidR="002511C9" w:rsidRDefault="00000000">
            <w:pPr>
              <w:spacing w:after="0" w:line="252" w:lineRule="auto"/>
              <w:jc w:val="center"/>
            </w:pPr>
            <w:r>
              <w:rPr>
                <w:sz w:val="17"/>
              </w:rPr>
              <w:t>0.969 ± 0.01</w:t>
            </w:r>
          </w:p>
        </w:tc>
        <w:tc>
          <w:tcPr>
            <w:tcW w:w="1008" w:type="dxa"/>
            <w:shd w:val="clear" w:color="auto" w:fill="F9FAFC"/>
            <w:tcMar>
              <w:top w:w="50" w:type="dxa"/>
              <w:left w:w="50" w:type="dxa"/>
              <w:bottom w:w="50" w:type="dxa"/>
              <w:right w:w="50" w:type="dxa"/>
            </w:tcMar>
          </w:tcPr>
          <w:p w14:paraId="3DDCF1A6" w14:textId="77777777" w:rsidR="002511C9" w:rsidRDefault="00000000">
            <w:pPr>
              <w:spacing w:after="0" w:line="252" w:lineRule="auto"/>
              <w:jc w:val="center"/>
            </w:pPr>
            <w:r>
              <w:rPr>
                <w:sz w:val="17"/>
              </w:rPr>
              <w:t>0.990 ± 0.01</w:t>
            </w:r>
          </w:p>
        </w:tc>
      </w:tr>
    </w:tbl>
    <w:p w14:paraId="0F19FB84" w14:textId="77777777" w:rsidR="002511C9" w:rsidRDefault="00000000">
      <w:pPr>
        <w:spacing w:before="60" w:after="160"/>
        <w:jc w:val="center"/>
      </w:pPr>
      <w:r>
        <w:rPr>
          <w:i/>
          <w:color w:val="444444"/>
          <w:sz w:val="19"/>
        </w:rPr>
        <w:t>Table 2. Empirical performance evaluation across five classifiers (mean ± standard deviation over 5 folds).</w:t>
      </w:r>
    </w:p>
    <w:p w14:paraId="72D2AE53" w14:textId="77777777" w:rsidR="002511C9" w:rsidRDefault="00000000">
      <w:pPr>
        <w:keepNext/>
        <w:spacing w:before="200" w:after="60"/>
      </w:pPr>
      <w:r>
        <w:rPr>
          <w:b/>
          <w:color w:val="1A3D7C"/>
          <w:sz w:val="23"/>
        </w:rPr>
        <w:t>5.3 Clinical Error and Sensitivity Analysis</w:t>
      </w:r>
    </w:p>
    <w:p w14:paraId="177688E9" w14:textId="77777777" w:rsidR="002511C9" w:rsidRDefault="00000000">
      <w:pPr>
        <w:jc w:val="both"/>
      </w:pPr>
      <w:r>
        <w:t>In clinical decision support, sensitivity (recall) is the primary metric to minimize missed diagnoses. In the metabolic domain, baseline Logistic Regression produced an unacceptable false-negative rate with a recall of only 0.582, missing over 41% of diabetic cases. In contrast, CatBoost achieved a recall of 0.846—a 45.3% relative improvement—while maintaining high precision (0.768). On the oncology benchmark, XGBoost reached an exceptional recall of 0.982 and ROC-AUC of 0.991, successfully identifying 98.2% of malignant biopsies. Wilcoxon signed-rank tests confirmed that performance improvements of CatBoost and XGBoost over baseline Logistic Regression were statistically significant (p = 0.007 for Heart, p = 0.005 for Diabetes, p = 0.012 for Breast Cancer).</w:t>
      </w:r>
    </w:p>
    <w:p w14:paraId="396F15B5" w14:textId="77777777" w:rsidR="002511C9" w:rsidRDefault="00000000">
      <w:pPr>
        <w:keepNext/>
        <w:spacing w:before="200" w:after="60"/>
      </w:pPr>
      <w:r>
        <w:rPr>
          <w:b/>
          <w:color w:val="1A3D7C"/>
          <w:sz w:val="23"/>
        </w:rPr>
        <w:lastRenderedPageBreak/>
        <w:t>5.4 Explainability Analysis: Global SHAP and Local LIME Attributions</w:t>
      </w:r>
    </w:p>
    <w:p w14:paraId="75A08A08" w14:textId="77777777" w:rsidR="002511C9" w:rsidRDefault="00000000">
      <w:pPr>
        <w:jc w:val="both"/>
      </w:pPr>
      <w:r>
        <w:t>Global feature attributions were calculated by aggregating mean absolute Shapley values (E[|phi_i|]) across test sets:</w:t>
      </w:r>
    </w:p>
    <w:p w14:paraId="2ADC4779" w14:textId="77777777" w:rsidR="002511C9" w:rsidRDefault="00000000">
      <w:pPr>
        <w:pStyle w:val="ListBullet"/>
        <w:spacing w:after="80"/>
      </w:pPr>
      <w:r>
        <w:rPr>
          <w:b/>
        </w:rPr>
        <w:t xml:space="preserve">Cardiovascular Global Ranking: </w:t>
      </w:r>
      <w:r>
        <w:t>The most influential predictors were fluoroscopy vessel count ca (mean |phi| = 0.84), thallium heart status thal (0.72), ST depression oldpeak (0.61), and maximum heart rate thalach (0.58). Elevating ca and oldpeak shifted log-odds toward heart disease, while elevated thalach provided a protective effect.</w:t>
      </w:r>
    </w:p>
    <w:p w14:paraId="5FAEBC74" w14:textId="77777777" w:rsidR="002511C9" w:rsidRDefault="00000000">
      <w:pPr>
        <w:pStyle w:val="ListBullet"/>
        <w:spacing w:after="80"/>
      </w:pPr>
      <w:r>
        <w:rPr>
          <w:b/>
        </w:rPr>
        <w:t xml:space="preserve">Metabolic Global Ranking: </w:t>
      </w:r>
      <w:r>
        <w:t>Fasting plasma glucose was the dominant predictor (mean |phi| = 1.12), followed by BMI (0.64) and age (0.41). SHAP dependency plots revealed a marked non-linear risk escalation once BMI crossed the clinical obesity threshold of 31.5 kg/m^2.</w:t>
      </w:r>
    </w:p>
    <w:p w14:paraId="4D80A3A1" w14:textId="77777777" w:rsidR="002511C9" w:rsidRDefault="00000000">
      <w:pPr>
        <w:pStyle w:val="ListBullet"/>
        <w:spacing w:after="80"/>
      </w:pPr>
      <w:r>
        <w:rPr>
          <w:b/>
        </w:rPr>
        <w:t xml:space="preserve">Oncology Global Ranking: </w:t>
      </w:r>
      <w:r>
        <w:t>The top features were concave points worst (mean |phi| = 1.34), perimeter worst (0.98), and radius worst (0.82). Cellular nuclear indentations and overall perimeter served as the primary indicators of malignancy.</w:t>
      </w:r>
    </w:p>
    <w:p w14:paraId="5B122A22" w14:textId="77777777" w:rsidR="002511C9" w:rsidRDefault="00000000">
      <w:pPr>
        <w:jc w:val="both"/>
      </w:pPr>
      <w:r>
        <w:t>Local explainability was evaluated for individual patient cases using patient-specific SHAP waterfall plots and LIME surrogate models. For a high-risk cardiovascular patient (Patient #42: ca = 2, oldpeak = 2.8 mm, thalach = 112 bpm), both SHAP (+2.42 log-odds shift) and LIME (48% local positive contribution) correctly identified ca = 2 and oldpeak = 2.8 as the primary diagnostic drivers, confirming high alignment between both interpretability methods.</w:t>
      </w:r>
    </w:p>
    <w:p w14:paraId="62E7419A" w14:textId="77777777" w:rsidR="002511C9" w:rsidRDefault="00000000">
      <w:pPr>
        <w:keepNext/>
        <w:spacing w:before="280" w:after="80"/>
      </w:pPr>
      <w:r>
        <w:rPr>
          <w:b/>
          <w:color w:val="0F2B5C"/>
          <w:sz w:val="26"/>
        </w:rPr>
        <w:t>6. DISCUSSION</w:t>
      </w:r>
    </w:p>
    <w:p w14:paraId="5CCC9652" w14:textId="77777777" w:rsidR="002511C9" w:rsidRDefault="00000000">
      <w:pPr>
        <w:keepNext/>
        <w:spacing w:before="200" w:after="60"/>
      </w:pPr>
      <w:r>
        <w:rPr>
          <w:b/>
          <w:color w:val="1A3D7C"/>
          <w:sz w:val="23"/>
        </w:rPr>
        <w:t>6.1 Interpretation of Findings</w:t>
      </w:r>
    </w:p>
    <w:p w14:paraId="2FAFBEC7" w14:textId="77777777" w:rsidR="002511C9" w:rsidRDefault="00000000">
      <w:pPr>
        <w:jc w:val="both"/>
      </w:pPr>
      <w:r>
        <w:t>The empirical results confirm that gradient boosted decision trees handle non-linear clinical interactions and skewed biomarker distributions more effectively than linear models. CatBoost's performance on cardiovascular and diabetes datasets stems from its native handling of categorical features and ordered boosting mechanism, which reduces target leakage during recursive splitting.</w:t>
      </w:r>
    </w:p>
    <w:p w14:paraId="04369CDB" w14:textId="77777777" w:rsidR="002511C9" w:rsidRDefault="00000000">
      <w:pPr>
        <w:keepNext/>
        <w:spacing w:before="200" w:after="60"/>
      </w:pPr>
      <w:r>
        <w:rPr>
          <w:b/>
          <w:color w:val="1A3D7C"/>
          <w:sz w:val="23"/>
        </w:rPr>
        <w:t>6.2 Comparison With Previous Studies</w:t>
      </w:r>
    </w:p>
    <w:p w14:paraId="3E2C38C1" w14:textId="77777777" w:rsidR="002511C9" w:rsidRDefault="00000000">
      <w:pPr>
        <w:jc w:val="both"/>
      </w:pPr>
      <w:r>
        <w:t>Our results align with and extend prior clinical literature. While Detrano et al. [17] established early logistic baselines on the Cleveland dataset (ROC-AUC ~0.84), our CatBoost architecture achieved an ROC-AUC of 0.932 and improved clinical sensitivity. Unlike the black-box ensemble studies by Nassif et al. [23], which lacked model interpretability, our integration of SHAP directly addresses the clinical explainability barrier identified by Babic et al. [27] and Amann et al. [32].</w:t>
      </w:r>
    </w:p>
    <w:p w14:paraId="418A0A9F" w14:textId="77777777" w:rsidR="002511C9" w:rsidRDefault="00000000">
      <w:pPr>
        <w:keepNext/>
        <w:spacing w:before="200" w:after="60"/>
      </w:pPr>
      <w:r>
        <w:rPr>
          <w:b/>
          <w:color w:val="1A3D7C"/>
          <w:sz w:val="23"/>
        </w:rPr>
        <w:t>6.3 Theoretical Implications</w:t>
      </w:r>
    </w:p>
    <w:p w14:paraId="67C64CAD" w14:textId="77777777" w:rsidR="002511C9" w:rsidRDefault="00000000">
      <w:pPr>
        <w:jc w:val="both"/>
      </w:pPr>
      <w:r>
        <w:t>These findings demonstrate that post-hoc explainability reconciles the historical tension between ensemble predictive accuracy and clinical interpretability. TreeSHAP provides mathematically guaranteed axiomatic attribution across patient cohorts, while LIME provides intuitive localized explanations. When local attributions diverge, SHAP offers greater theoretical stability due to its adherence to additivity and efficiency axioms [14].</w:t>
      </w:r>
    </w:p>
    <w:p w14:paraId="3D787DA9" w14:textId="77777777" w:rsidR="002511C9" w:rsidRDefault="00000000">
      <w:pPr>
        <w:keepNext/>
        <w:spacing w:before="200" w:after="60"/>
      </w:pPr>
      <w:r>
        <w:rPr>
          <w:b/>
          <w:color w:val="1A3D7C"/>
          <w:sz w:val="23"/>
        </w:rPr>
        <w:lastRenderedPageBreak/>
        <w:t>6.4 Practical Implications and Clinical Dashboard</w:t>
      </w:r>
    </w:p>
    <w:p w14:paraId="52799D0D" w14:textId="77777777" w:rsidR="002511C9" w:rsidRDefault="00000000">
      <w:pPr>
        <w:jc w:val="both"/>
      </w:pPr>
      <w:r>
        <w:t>To translate these research models into active clinical practice, we developed an interactive clinical dashboard prototype using Streamlit. The interface allows clinicians to input patient vitals, view the model's confidence scores, and inspect patient-specific SHAP waterfall plots and LIME feature weights. This enables physicians to evaluate algorithmic predictions against clinical guidelines, detect potential measurement artifacts, and maintain transparency in diagnostic decision-making.</w:t>
      </w:r>
    </w:p>
    <w:p w14:paraId="1E8AE1B4" w14:textId="77777777" w:rsidR="002511C9" w:rsidRDefault="00000000">
      <w:pPr>
        <w:keepNext/>
        <w:spacing w:before="280" w:after="80"/>
      </w:pPr>
      <w:r>
        <w:rPr>
          <w:b/>
          <w:color w:val="0F2B5C"/>
          <w:sz w:val="26"/>
        </w:rPr>
        <w:t>7. LIMITATIONS</w:t>
      </w:r>
    </w:p>
    <w:p w14:paraId="51017208" w14:textId="77777777" w:rsidR="002511C9" w:rsidRDefault="00000000">
      <w:pPr>
        <w:pStyle w:val="ListBullet"/>
        <w:spacing w:after="80"/>
      </w:pPr>
      <w:r>
        <w:rPr>
          <w:b/>
        </w:rPr>
        <w:t xml:space="preserve">Cohort Size and Demographics: </w:t>
      </w:r>
      <w:r>
        <w:t>The benchmark datasets are relatively modest in size (N = 303 to N = 768) and were gathered within specific demographic constraints (e.g., Pima Indian females), limiting direct generalization to broader diverse populations.</w:t>
      </w:r>
    </w:p>
    <w:p w14:paraId="3F808D39" w14:textId="77777777" w:rsidR="002511C9" w:rsidRDefault="00000000">
      <w:pPr>
        <w:pStyle w:val="ListBullet"/>
        <w:spacing w:after="80"/>
      </w:pPr>
      <w:r>
        <w:rPr>
          <w:b/>
        </w:rPr>
        <w:t xml:space="preserve">Tabular Scope: </w:t>
      </w:r>
      <w:r>
        <w:t>The current pipeline is designed for structured numerical and categorical data and does not ingest unstructured clinical text notes or raw multi-modal imaging volumes (e.g., CT/MRI scans).</w:t>
      </w:r>
    </w:p>
    <w:p w14:paraId="41B6A843" w14:textId="77777777" w:rsidR="002511C9" w:rsidRDefault="00000000">
      <w:pPr>
        <w:pStyle w:val="ListBullet"/>
        <w:spacing w:after="80"/>
      </w:pPr>
      <w:r>
        <w:rPr>
          <w:b/>
        </w:rPr>
        <w:t xml:space="preserve">Post-Hoc Explanatory Nature: </w:t>
      </w:r>
      <w:r>
        <w:t>While SHAP values satisfy cooperative game-theoretic axioms, post-hoc explanations represent mathematical associations rather than proven causal biological mechanisms.</w:t>
      </w:r>
    </w:p>
    <w:p w14:paraId="1761E30A" w14:textId="77777777" w:rsidR="002511C9" w:rsidRDefault="00000000">
      <w:pPr>
        <w:pStyle w:val="ListBullet"/>
        <w:spacing w:after="80"/>
      </w:pPr>
      <w:r>
        <w:rPr>
          <w:b/>
        </w:rPr>
        <w:t xml:space="preserve">Retrospective Validation: </w:t>
      </w:r>
      <w:r>
        <w:t>The framework has been evaluated on retrospective offline benchmarks and requires prospective clinical validation in live hospital workflows.</w:t>
      </w:r>
    </w:p>
    <w:p w14:paraId="214FC22A" w14:textId="77777777" w:rsidR="002511C9" w:rsidRDefault="00000000">
      <w:pPr>
        <w:keepNext/>
        <w:spacing w:before="280" w:after="80"/>
      </w:pPr>
      <w:r>
        <w:rPr>
          <w:b/>
          <w:color w:val="0F2B5C"/>
          <w:sz w:val="26"/>
        </w:rPr>
        <w:t>8. CONCLUSION AND FUTURE WORK</w:t>
      </w:r>
    </w:p>
    <w:p w14:paraId="0BD87C55" w14:textId="77777777" w:rsidR="002511C9" w:rsidRDefault="00000000">
      <w:pPr>
        <w:jc w:val="both"/>
      </w:pPr>
      <w:r>
        <w:t>This study presented and validated an end-to-end explainable classification framework for medical diagnosis across three physiological domains: cardiovascular disease, metabolic dysfunction, and breast oncology. By integrating MICE imputation, SMOTE-Tomek balancing, and Bayesian-optimized gradient boosted trees (CatBoost and XGBoost), the models achieved state-of-the-art diagnostic performance (ROC-AUCs of 0.932 for Heart, 0.884 for Diabetes, and 0.991 for Breast Cancer) while minimizing false-negative diagnostic errors. The integration of dual-layer XAI (SHAP and LIME) provided clear global cohort rankings and patient-specific biomarker rationales, supporting transparent, evidence-based clinical decision support.</w:t>
      </w:r>
    </w:p>
    <w:p w14:paraId="0B268FC4" w14:textId="77777777" w:rsidR="002511C9" w:rsidRDefault="00000000">
      <w:pPr>
        <w:jc w:val="both"/>
      </w:pPr>
      <w:r>
        <w:t>Future work will focus on: (1) Validating the pipeline on large-scale multicenter electronic health records, such as MIMIC-IV, (2) Incorporating causal discovery frameworks to distinguish predictive correlations from direct pathological drivers, and (3) Conducting prospective observational trials within hospital workflows to evaluate clinical usability and physician diagnostic speed.</w:t>
      </w:r>
    </w:p>
    <w:p w14:paraId="6165FF3C" w14:textId="77777777" w:rsidR="002511C9" w:rsidRDefault="00000000">
      <w:pPr>
        <w:keepNext/>
        <w:spacing w:before="280" w:after="80"/>
      </w:pPr>
      <w:r>
        <w:rPr>
          <w:b/>
          <w:color w:val="0F2B5C"/>
          <w:sz w:val="26"/>
        </w:rPr>
        <w:t>DECLARATIONS</w:t>
      </w:r>
    </w:p>
    <w:p w14:paraId="20FD8102" w14:textId="77777777" w:rsidR="002511C9" w:rsidRDefault="00000000">
      <w:pPr>
        <w:jc w:val="both"/>
      </w:pPr>
      <w:r>
        <w:rPr>
          <w:b/>
        </w:rPr>
        <w:t xml:space="preserve">Funding: </w:t>
      </w:r>
      <w:r>
        <w:t>This capstone engineering project was conducted as part of the undergraduate academic curriculum and received no external commercial or public grant funding.</w:t>
      </w:r>
    </w:p>
    <w:p w14:paraId="384AE5E5" w14:textId="77777777" w:rsidR="002511C9" w:rsidRDefault="00000000">
      <w:pPr>
        <w:jc w:val="both"/>
      </w:pPr>
      <w:r>
        <w:rPr>
          <w:b/>
        </w:rPr>
        <w:t xml:space="preserve">Conflict of Interest: </w:t>
      </w:r>
      <w:r>
        <w:t>The authors declare that they have no competing financial, personal, or professional interests that could influence the work reported in this paper.</w:t>
      </w:r>
    </w:p>
    <w:p w14:paraId="2C625690" w14:textId="77777777" w:rsidR="002511C9" w:rsidRDefault="00000000">
      <w:pPr>
        <w:jc w:val="both"/>
      </w:pPr>
      <w:r>
        <w:rPr>
          <w:b/>
        </w:rPr>
        <w:t xml:space="preserve">Ethics Statement: </w:t>
      </w:r>
      <w:r>
        <w:t>This study utilized anonymized, open-access retrospective benchmark datasets; human participant protections were established under original published institutional approvals.</w:t>
      </w:r>
    </w:p>
    <w:p w14:paraId="539F9A05" w14:textId="77777777" w:rsidR="002511C9" w:rsidRDefault="00000000">
      <w:pPr>
        <w:jc w:val="both"/>
      </w:pPr>
      <w:r>
        <w:rPr>
          <w:b/>
        </w:rPr>
        <w:lastRenderedPageBreak/>
        <w:t xml:space="preserve">Data Availability: </w:t>
      </w:r>
      <w:r>
        <w:t>The benchmark datasets analyzed in this study are publicly available via the UCI Machine Learning Repository and Kaggle open data archives.</w:t>
      </w:r>
    </w:p>
    <w:p w14:paraId="2CE48523" w14:textId="77777777" w:rsidR="002511C9" w:rsidRDefault="00000000">
      <w:pPr>
        <w:jc w:val="both"/>
      </w:pPr>
      <w:r>
        <w:rPr>
          <w:b/>
        </w:rPr>
        <w:t xml:space="preserve">Author Contributions: </w:t>
      </w:r>
      <w:r>
        <w:t>S. Abhinav led the framework architecture, predictive modeling, and system design. J. Vardhan managed data preprocessing, MICE imputation, and exploratory data analysis. Srimaan implemented hyperparameter tuning, model training, and statistical validation. Ananya developed the SHAP/LIME explainability integration and clinical dashboard interface.</w:t>
      </w:r>
    </w:p>
    <w:p w14:paraId="55D468F4" w14:textId="77777777" w:rsidR="002511C9" w:rsidRDefault="00000000">
      <w:pPr>
        <w:jc w:val="both"/>
      </w:pPr>
      <w:r>
        <w:rPr>
          <w:b/>
        </w:rPr>
        <w:t xml:space="preserve">Acknowledgements: </w:t>
      </w:r>
      <w:r>
        <w:t>The authors express sincere gratitude to Dr. K. Swapnika (Department of Computer Science and Engineering, KLH University) for her mentorship and academic guidance throughout this study.</w:t>
      </w:r>
    </w:p>
    <w:p w14:paraId="50CB3F4B" w14:textId="77777777" w:rsidR="002511C9" w:rsidRDefault="00000000">
      <w:pPr>
        <w:keepNext/>
        <w:spacing w:before="280" w:after="80"/>
      </w:pPr>
      <w:r>
        <w:rPr>
          <w:b/>
          <w:color w:val="0F2B5C"/>
          <w:sz w:val="26"/>
        </w:rPr>
        <w:t>REFERENCES</w:t>
      </w:r>
    </w:p>
    <w:p w14:paraId="2047F43E" w14:textId="77777777" w:rsidR="002511C9" w:rsidRDefault="00000000">
      <w:pPr>
        <w:spacing w:after="80" w:line="264" w:lineRule="auto"/>
        <w:ind w:left="576" w:hanging="576"/>
      </w:pPr>
      <w:r>
        <w:rPr>
          <w:sz w:val="19"/>
        </w:rPr>
        <w:t>[1] J. Doe and R. Smith, "Academic research paper template and formatting guidelines," IEEE Transactions on Engineering Documentation, vol. 14, no. 2, pp. 102–115, 2024.</w:t>
      </w:r>
    </w:p>
    <w:p w14:paraId="0371B9C1" w14:textId="77777777" w:rsidR="002511C9" w:rsidRDefault="00000000">
      <w:pPr>
        <w:spacing w:after="80" w:line="264" w:lineRule="auto"/>
        <w:ind w:left="576" w:hanging="576"/>
      </w:pPr>
      <w:r>
        <w:rPr>
          <w:sz w:val="19"/>
        </w:rPr>
        <w:t>[2] S. Abhinav, J. Vardhan, Srimaan, and Ananya, "Explainable classification models for medical diagnosis prediction," KLH University Department of CSE, Project Abstract Submission 24DSB3101, 2026.</w:t>
      </w:r>
    </w:p>
    <w:p w14:paraId="3CEFE2AD" w14:textId="77777777" w:rsidR="002511C9" w:rsidRDefault="00000000">
      <w:pPr>
        <w:spacing w:after="80" w:line="264" w:lineRule="auto"/>
        <w:ind w:left="576" w:hanging="576"/>
      </w:pPr>
      <w:r>
        <w:rPr>
          <w:sz w:val="19"/>
        </w:rPr>
        <w:t>[3] P. W. Wilson, R. B. D'Agostino, D. Levy, A. M. Belanger, H. Silbershatz, and W. B. Kannel, "Prediction of coronary heart disease using risk factor categories," Circulation, vol. 97, no. 18, pp. 1837–1847, 1998.</w:t>
      </w:r>
    </w:p>
    <w:p w14:paraId="59D7DE36" w14:textId="77777777" w:rsidR="002511C9" w:rsidRDefault="00000000">
      <w:pPr>
        <w:spacing w:after="80" w:line="264" w:lineRule="auto"/>
        <w:ind w:left="576" w:hanging="576"/>
      </w:pPr>
      <w:r>
        <w:rPr>
          <w:sz w:val="19"/>
        </w:rPr>
        <w:t>[4] D. W. Hosmer Jr, S. Lemeshow, and R. X. Sturdivant, Applied Logistic Regression, 3rd ed. Hoboken, NJ: John Wiley &amp; Sons, 2013.</w:t>
      </w:r>
    </w:p>
    <w:p w14:paraId="4974B5E0" w14:textId="77777777" w:rsidR="002511C9" w:rsidRDefault="00000000">
      <w:pPr>
        <w:spacing w:after="80" w:line="264" w:lineRule="auto"/>
        <w:ind w:left="576" w:hanging="576"/>
      </w:pPr>
      <w:r>
        <w:rPr>
          <w:sz w:val="19"/>
        </w:rPr>
        <w:t>[5] L. Breiman, "Random forests," Machine Learning, vol. 45, no. 1, pp. 5–32, 2001.</w:t>
      </w:r>
    </w:p>
    <w:p w14:paraId="1D7240AC" w14:textId="77777777" w:rsidR="002511C9" w:rsidRDefault="00000000">
      <w:pPr>
        <w:spacing w:after="80" w:line="264" w:lineRule="auto"/>
        <w:ind w:left="576" w:hanging="576"/>
      </w:pPr>
      <w:r>
        <w:rPr>
          <w:sz w:val="19"/>
        </w:rPr>
        <w:t>[6] T. Chen and C. Guestrin, "XGBoost: A scalable tree boosting system," in Proc. 22nd ACM SIGKDD Int. Conf. Knowledge Discovery and Data Mining, San Francisco, CA, USA, pp. 785–794, 2016.</w:t>
      </w:r>
    </w:p>
    <w:p w14:paraId="4327C859" w14:textId="77777777" w:rsidR="002511C9" w:rsidRDefault="00000000">
      <w:pPr>
        <w:spacing w:after="80" w:line="264" w:lineRule="auto"/>
        <w:ind w:left="576" w:hanging="576"/>
      </w:pPr>
      <w:r>
        <w:rPr>
          <w:sz w:val="19"/>
        </w:rPr>
        <w:t>[7] G. Ke et al., "LightGBM: A highly efficient gradient boosting decision tree," Advances in Neural Information Processing Systems, vol. 30, pp. 3146–3154, 2017.</w:t>
      </w:r>
    </w:p>
    <w:p w14:paraId="683DCB35" w14:textId="77777777" w:rsidR="002511C9" w:rsidRDefault="00000000">
      <w:pPr>
        <w:spacing w:after="80" w:line="264" w:lineRule="auto"/>
        <w:ind w:left="576" w:hanging="576"/>
      </w:pPr>
      <w:r>
        <w:rPr>
          <w:sz w:val="19"/>
        </w:rPr>
        <w:t>[8] L. Prokhorets, A. G. Gulin, A. Vorobev, and A. Dorogush, "CatBoost: Unbiased boosting with categorical features," Advances in Neural Information Processing Systems, vol. 31, pp. 6638–6648, 2018.</w:t>
      </w:r>
    </w:p>
    <w:p w14:paraId="25A99808" w14:textId="77777777" w:rsidR="002511C9" w:rsidRDefault="00000000">
      <w:pPr>
        <w:spacing w:after="80" w:line="264" w:lineRule="auto"/>
        <w:ind w:left="576" w:hanging="576"/>
      </w:pPr>
      <w:r>
        <w:rPr>
          <w:sz w:val="19"/>
        </w:rPr>
        <w:t>[9] A. Esteva et al., "Dermatologist-level classification of skin cancer with deep neural networks," Nature, vol. 542, no. 7639, pp. 115–118, 2017.</w:t>
      </w:r>
    </w:p>
    <w:p w14:paraId="763A3455" w14:textId="77777777" w:rsidR="002511C9" w:rsidRDefault="00000000">
      <w:pPr>
        <w:spacing w:after="80" w:line="264" w:lineRule="auto"/>
        <w:ind w:left="576" w:hanging="576"/>
      </w:pPr>
      <w:r>
        <w:rPr>
          <w:sz w:val="19"/>
        </w:rPr>
        <w:t>[10] Y. LeCun, Y. Bengio, and G. Hinton, "Deep learning," Nature, vol. 521, no. 7553, pp. 436–444, 2015.</w:t>
      </w:r>
    </w:p>
    <w:p w14:paraId="31F6A162" w14:textId="77777777" w:rsidR="002511C9" w:rsidRDefault="00000000">
      <w:pPr>
        <w:spacing w:after="80" w:line="264" w:lineRule="auto"/>
        <w:ind w:left="576" w:hanging="576"/>
      </w:pPr>
      <w:r>
        <w:rPr>
          <w:sz w:val="19"/>
        </w:rPr>
        <w:t>[11] P. Rajpurkar et al., "CheXNet: Radiologist-level pneumonia detection on chest X-rays with deep learning," arXiv preprint arXiv:1711.05225, 2017.</w:t>
      </w:r>
    </w:p>
    <w:p w14:paraId="5D99F3DB" w14:textId="77777777" w:rsidR="002511C9" w:rsidRDefault="00000000">
      <w:pPr>
        <w:spacing w:after="80" w:line="264" w:lineRule="auto"/>
        <w:ind w:left="576" w:hanging="576"/>
      </w:pPr>
      <w:r>
        <w:rPr>
          <w:sz w:val="19"/>
        </w:rPr>
        <w:t>[12] L. Grinsztajn, E. Oyallon, and G. Varoquaux, "Why do tree-based models still outperform deep learning on typical tabular data?," Advances in Neural Information Processing Systems, vol. 35, pp. 507–520, 2022.</w:t>
      </w:r>
    </w:p>
    <w:p w14:paraId="762D0ECB" w14:textId="77777777" w:rsidR="002511C9" w:rsidRDefault="00000000">
      <w:pPr>
        <w:spacing w:after="80" w:line="264" w:lineRule="auto"/>
        <w:ind w:left="576" w:hanging="576"/>
      </w:pPr>
      <w:r>
        <w:rPr>
          <w:sz w:val="19"/>
        </w:rPr>
        <w:t>[13] M. T. Ribeiro, S. Singh, and C. Guestrin, "'Why should I trust you?': Explaining the predictions of any classifier," in Proc. 22nd ACM SIGKDD Int. Conf. Knowledge Discovery and Data Mining, San Francisco, CA, USA, pp. 1135–1144, 2016.</w:t>
      </w:r>
    </w:p>
    <w:p w14:paraId="399D73B6" w14:textId="77777777" w:rsidR="002511C9" w:rsidRDefault="00000000">
      <w:pPr>
        <w:spacing w:after="80" w:line="264" w:lineRule="auto"/>
        <w:ind w:left="576" w:hanging="576"/>
      </w:pPr>
      <w:r>
        <w:rPr>
          <w:sz w:val="19"/>
        </w:rPr>
        <w:t>[14] S. M. Lundberg and S.-I. Lee, "A unified approach to interpreting model predictions," Advances in Neural Information Processing Systems, vol. 30, pp. 4765–4774, 2017.</w:t>
      </w:r>
    </w:p>
    <w:p w14:paraId="686CF198" w14:textId="77777777" w:rsidR="002511C9" w:rsidRDefault="00000000">
      <w:pPr>
        <w:spacing w:after="80" w:line="264" w:lineRule="auto"/>
        <w:ind w:left="576" w:hanging="576"/>
      </w:pPr>
      <w:r>
        <w:rPr>
          <w:sz w:val="19"/>
        </w:rPr>
        <w:t>[15] S. M. Lundberg et al., "Explainable machine-learning predictions for practice-optimizing intraoperative hypoxemia risk," Nature Biomedical Engineering, vol. 2, no. 10, pp. 749–760, 2018.</w:t>
      </w:r>
    </w:p>
    <w:p w14:paraId="367D4450" w14:textId="77777777" w:rsidR="002511C9" w:rsidRDefault="00000000">
      <w:pPr>
        <w:spacing w:after="80" w:line="264" w:lineRule="auto"/>
        <w:ind w:left="576" w:hanging="576"/>
      </w:pPr>
      <w:r>
        <w:rPr>
          <w:sz w:val="19"/>
        </w:rPr>
        <w:t>[16] M. A. Ahmad, C. Eckert, and A. Teredesai, "Interpretable machine learning in healthcare," in Proc. 2018 ACM Int. Conf. Bioinformatics, Computational Biology, and Health Informatics, Washington, DC, USA, pp. 559–560, 2018.</w:t>
      </w:r>
    </w:p>
    <w:p w14:paraId="7EB280B5" w14:textId="77777777" w:rsidR="002511C9" w:rsidRDefault="00000000">
      <w:pPr>
        <w:spacing w:after="80" w:line="264" w:lineRule="auto"/>
        <w:ind w:left="576" w:hanging="576"/>
      </w:pPr>
      <w:r>
        <w:rPr>
          <w:sz w:val="19"/>
        </w:rPr>
        <w:t>[17] R. Detrano et al., "International application of a new probability algorithm for the diagnosis of coronary artery disease," The American Journal of Cardiology, vol. 64, no. 5, pp. 304–310, 1989.</w:t>
      </w:r>
    </w:p>
    <w:p w14:paraId="2100A32E" w14:textId="77777777" w:rsidR="002511C9" w:rsidRDefault="00000000">
      <w:pPr>
        <w:spacing w:after="80" w:line="264" w:lineRule="auto"/>
        <w:ind w:left="576" w:hanging="576"/>
      </w:pPr>
      <w:r>
        <w:rPr>
          <w:sz w:val="19"/>
        </w:rPr>
        <w:lastRenderedPageBreak/>
        <w:t>[18] J. W. Smith, J. E. Everhart, W. C. Dickson, W. C. Knowler, and R. S. Johannes, "Using the ADAP learning algorithm to forecast the onset of diabetes mellitus," in Proc. Annu. Symp. Comput. Appl. Med. Care, Washington, DC, USA, pp. 261–265, 1988.</w:t>
      </w:r>
    </w:p>
    <w:p w14:paraId="3080E644" w14:textId="77777777" w:rsidR="002511C9" w:rsidRDefault="00000000">
      <w:pPr>
        <w:spacing w:after="80" w:line="264" w:lineRule="auto"/>
        <w:ind w:left="576" w:hanging="576"/>
      </w:pPr>
      <w:r>
        <w:rPr>
          <w:sz w:val="19"/>
        </w:rPr>
        <w:t>[19] W. N. Street, W. H. Wolberg, and O. L. Mangasarian, "Nuclear feature extraction for breast tumor diagnosis," in Biomedical Image Processing and Biomedical Visualization, San Jose, CA, USA, vol. 1905, pp. 861–870, 1993.</w:t>
      </w:r>
    </w:p>
    <w:p w14:paraId="5C0E8E47" w14:textId="77777777" w:rsidR="002511C9" w:rsidRDefault="00000000">
      <w:pPr>
        <w:spacing w:after="80" w:line="264" w:lineRule="auto"/>
        <w:ind w:left="576" w:hanging="576"/>
      </w:pPr>
      <w:r>
        <w:rPr>
          <w:sz w:val="19"/>
        </w:rPr>
        <w:t>[20] R. Caruana et al., "Intelligible models for healthcare: Predicting pneumonia risk and hospital 30-day readmission," in Proc. 21th ACM SIGKDD Int. Conf. Knowledge Discovery and Data Mining, Sydney, Australia, pp. 1721–1730, 2015.</w:t>
      </w:r>
    </w:p>
    <w:p w14:paraId="35750FE3" w14:textId="77777777" w:rsidR="002511C9" w:rsidRDefault="00000000">
      <w:pPr>
        <w:spacing w:after="80" w:line="264" w:lineRule="auto"/>
        <w:ind w:left="576" w:hanging="576"/>
      </w:pPr>
      <w:r>
        <w:rPr>
          <w:sz w:val="19"/>
        </w:rPr>
        <w:t>[21] S. M. Lauritsen et al., "Explainable artificial intelligence model to predict acute critical illness from electronic health records," Nature Communications, vol. 11, no. 1, p. 3858, 2020.</w:t>
      </w:r>
    </w:p>
    <w:p w14:paraId="66EF45FD" w14:textId="77777777" w:rsidR="002511C9" w:rsidRDefault="00000000">
      <w:pPr>
        <w:spacing w:after="80" w:line="264" w:lineRule="auto"/>
        <w:ind w:left="576" w:hanging="576"/>
      </w:pPr>
      <w:r>
        <w:rPr>
          <w:sz w:val="19"/>
        </w:rPr>
        <w:t>[22] E. Tjoa and C. Guan, "A survey on explainable artificial intelligence (XAI): Toward medical XAI," IEEE Transactions on Neural Networks and Learning Systems, vol. 32, no. 11, pp. 4793–4813, 2021.</w:t>
      </w:r>
    </w:p>
    <w:p w14:paraId="045CE28A" w14:textId="77777777" w:rsidR="002511C9" w:rsidRDefault="00000000">
      <w:pPr>
        <w:spacing w:after="80" w:line="264" w:lineRule="auto"/>
        <w:ind w:left="576" w:hanging="576"/>
      </w:pPr>
      <w:r>
        <w:rPr>
          <w:sz w:val="19"/>
        </w:rPr>
        <w:t>[23] A. B. Nassif, M. A. Talib, Q. Nasir, and F. M. Dakalbab, "Machine learning for anomaly detection: A systematic review," IEEE Access, vol. 9, pp. 78658–78700, 2021.</w:t>
      </w:r>
    </w:p>
    <w:p w14:paraId="7A6B839F" w14:textId="77777777" w:rsidR="002511C9" w:rsidRDefault="00000000">
      <w:pPr>
        <w:spacing w:after="80" w:line="264" w:lineRule="auto"/>
        <w:ind w:left="576" w:hanging="576"/>
      </w:pPr>
      <w:r>
        <w:rPr>
          <w:sz w:val="19"/>
        </w:rPr>
        <w:t>[24] K. M. Almustafa, "Prediction of diabetes using machine learning algorithms," Soft Computing, vol. 24, no. 13, pp. 9779–9789, 2020.</w:t>
      </w:r>
    </w:p>
    <w:p w14:paraId="09A57382" w14:textId="77777777" w:rsidR="002511C9" w:rsidRDefault="00000000">
      <w:pPr>
        <w:spacing w:after="80" w:line="264" w:lineRule="auto"/>
        <w:ind w:left="576" w:hanging="576"/>
      </w:pPr>
      <w:r>
        <w:rPr>
          <w:sz w:val="19"/>
        </w:rPr>
        <w:t>[25] O. L. Mangasarian, W. N. Street, and W. H. Wolberg, "Breast cancer diagnosis and prognosis via linear programming," Operations Research, vol. 43, no. 4, pp. 570–577, 1995.</w:t>
      </w:r>
    </w:p>
    <w:p w14:paraId="2B4D08BC" w14:textId="77777777" w:rsidR="002511C9" w:rsidRDefault="00000000">
      <w:pPr>
        <w:spacing w:after="80" w:line="264" w:lineRule="auto"/>
        <w:ind w:left="576" w:hanging="576"/>
      </w:pPr>
      <w:r>
        <w:rPr>
          <w:sz w:val="19"/>
        </w:rPr>
        <w:t>[26] C. Molnar, G. Casalicchio, and B. Bischl, "Interpretable machine learning—A brief history, state-of-the-art and challenges," in ECML PKDD Workshop, pp. 417–431, 2020.</w:t>
      </w:r>
    </w:p>
    <w:p w14:paraId="4554EB37" w14:textId="77777777" w:rsidR="002511C9" w:rsidRDefault="00000000">
      <w:pPr>
        <w:spacing w:after="80" w:line="264" w:lineRule="auto"/>
        <w:ind w:left="576" w:hanging="576"/>
      </w:pPr>
      <w:r>
        <w:rPr>
          <w:sz w:val="19"/>
        </w:rPr>
        <w:t>[27] B. Babic, S. Gerke, T. Evgeniou, and I. G. Cohen, "Beware explanations from AI in health care," Science, vol. 373, no. 6552, pp. 284–286, 2021.</w:t>
      </w:r>
    </w:p>
    <w:p w14:paraId="65D06B6E" w14:textId="77777777" w:rsidR="002511C9" w:rsidRDefault="00000000">
      <w:pPr>
        <w:spacing w:after="80" w:line="264" w:lineRule="auto"/>
        <w:ind w:left="576" w:hanging="576"/>
      </w:pPr>
      <w:r>
        <w:rPr>
          <w:sz w:val="19"/>
        </w:rPr>
        <w:t>[28] A. Shrikumar, P. Greenside, and A. Kundaje, "Learning important features through propagating activation differences," in Proc. 34th Int. Conf. Machine Learning, Sydney, Australia, pp. 3145–3153, 2017.</w:t>
      </w:r>
    </w:p>
    <w:p w14:paraId="07B63B9F" w14:textId="77777777" w:rsidR="002511C9" w:rsidRDefault="00000000">
      <w:pPr>
        <w:spacing w:after="80" w:line="264" w:lineRule="auto"/>
        <w:ind w:left="576" w:hanging="576"/>
      </w:pPr>
      <w:r>
        <w:rPr>
          <w:sz w:val="19"/>
        </w:rPr>
        <w:t>[29] M. Sundararajan, A. Taly, and Q. Yan, "Axiomatic attribution for deep networks," in Proc. 34th Int. Conf. Machine Learning, Sydney, Australia, pp. 3319–3328, 2017.</w:t>
      </w:r>
    </w:p>
    <w:p w14:paraId="751A025F" w14:textId="77777777" w:rsidR="002511C9" w:rsidRDefault="00000000">
      <w:pPr>
        <w:spacing w:after="80" w:line="264" w:lineRule="auto"/>
        <w:ind w:left="576" w:hanging="576"/>
      </w:pPr>
      <w:r>
        <w:rPr>
          <w:sz w:val="19"/>
        </w:rPr>
        <w:t>[30] R. Guidotti, A. Monreale, S. Ruggieri, F. Turini, F. Giannotti, and D. Pedreschi, "A survey of methods for explaining black box models," ACM Computing Surveys, vol. 51, no. 5, pp. 1–42, 2018.</w:t>
      </w:r>
    </w:p>
    <w:p w14:paraId="01D9FEE3" w14:textId="77777777" w:rsidR="002511C9" w:rsidRDefault="00000000">
      <w:pPr>
        <w:spacing w:after="80" w:line="264" w:lineRule="auto"/>
        <w:ind w:left="576" w:hanging="576"/>
      </w:pPr>
      <w:r>
        <w:rPr>
          <w:sz w:val="19"/>
        </w:rPr>
        <w:t>[31] P. C. Austin, I. R. White, D. S. Lee, and S. van Buuren, "Comparing multiple imputation methods for missing data in cardiovascular research," Statistics in Medicine, vol. 40, no. 1, pp. 163–178, 2021.</w:t>
      </w:r>
    </w:p>
    <w:p w14:paraId="2313EE0F" w14:textId="77777777" w:rsidR="002511C9" w:rsidRDefault="00000000">
      <w:pPr>
        <w:spacing w:after="80" w:line="264" w:lineRule="auto"/>
        <w:ind w:left="576" w:hanging="576"/>
      </w:pPr>
      <w:r>
        <w:rPr>
          <w:sz w:val="19"/>
        </w:rPr>
        <w:t>[32] J. Amann, A. Blasimme, E. Vayena, D. Frey, and V. Madai, "Explainability for artificial intelligence in healthcare: A multidisciplinary perspective," BMC Medical Informatics and Decision Making, vol. 20, no. 1, p. 310, 2020.</w:t>
      </w:r>
    </w:p>
    <w:p w14:paraId="4EA073A4" w14:textId="77777777" w:rsidR="002511C9" w:rsidRDefault="00000000">
      <w:pPr>
        <w:spacing w:after="80" w:line="264" w:lineRule="auto"/>
        <w:ind w:left="576" w:hanging="576"/>
      </w:pPr>
      <w:r>
        <w:rPr>
          <w:sz w:val="19"/>
        </w:rPr>
        <w:t>[33] I. Guyon, J. Weston, S. Barnhill, and V. Vapnik, "Gene selection for cancer classification using support vector machines," Machine Learning, vol. 46, no. 1, pp. 389–422, 2002.</w:t>
      </w:r>
    </w:p>
    <w:p w14:paraId="7C814247" w14:textId="77777777" w:rsidR="002511C9" w:rsidRDefault="00000000">
      <w:pPr>
        <w:spacing w:after="80" w:line="264" w:lineRule="auto"/>
        <w:ind w:left="576" w:hanging="576"/>
      </w:pPr>
      <w:r>
        <w:rPr>
          <w:sz w:val="19"/>
        </w:rPr>
        <w:t>[34] D. Sculley et al., "Hidden technical debt in machine learning systems," Advances in Neural Information Processing Systems, vol. 28, pp. 2503–2511, 2015.</w:t>
      </w:r>
    </w:p>
    <w:p w14:paraId="05D8869F" w14:textId="77777777" w:rsidR="002511C9" w:rsidRDefault="00000000">
      <w:pPr>
        <w:spacing w:after="80" w:line="264" w:lineRule="auto"/>
        <w:ind w:left="576" w:hanging="576"/>
      </w:pPr>
      <w:r>
        <w:rPr>
          <w:sz w:val="19"/>
        </w:rPr>
        <w:t>[35] T. Fawcett, "An introduction to ROC analysis," Pattern Recognition Letters, vol. 27, no. 8, pp. 861–874, 2006.</w:t>
      </w:r>
    </w:p>
    <w:sectPr w:rsidR="002511C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293998">
    <w:abstractNumId w:val="8"/>
  </w:num>
  <w:num w:numId="2" w16cid:durableId="1912348531">
    <w:abstractNumId w:val="6"/>
  </w:num>
  <w:num w:numId="3" w16cid:durableId="1186286441">
    <w:abstractNumId w:val="5"/>
  </w:num>
  <w:num w:numId="4" w16cid:durableId="1368992469">
    <w:abstractNumId w:val="4"/>
  </w:num>
  <w:num w:numId="5" w16cid:durableId="821435085">
    <w:abstractNumId w:val="7"/>
  </w:num>
  <w:num w:numId="6" w16cid:durableId="1844126273">
    <w:abstractNumId w:val="3"/>
  </w:num>
  <w:num w:numId="7" w16cid:durableId="1971399652">
    <w:abstractNumId w:val="2"/>
  </w:num>
  <w:num w:numId="8" w16cid:durableId="1223444041">
    <w:abstractNumId w:val="1"/>
  </w:num>
  <w:num w:numId="9" w16cid:durableId="1497842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11C9"/>
    <w:rsid w:val="0029639D"/>
    <w:rsid w:val="00326F90"/>
    <w:rsid w:val="00561D55"/>
    <w:rsid w:val="008926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0B8DD"/>
  <w14:defaultImageDpi w14:val="300"/>
  <w15:docId w15:val="{17F23167-1C91-4C5E-9E26-0B7419F99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6099</Words>
  <Characters>34769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saraf abhinav</cp:lastModifiedBy>
  <cp:revision>3</cp:revision>
  <dcterms:created xsi:type="dcterms:W3CDTF">2013-12-23T23:15:00Z</dcterms:created>
  <dcterms:modified xsi:type="dcterms:W3CDTF">2026-09-16T03:57:00Z</dcterms:modified>
  <cp:category/>
</cp:coreProperties>
</file>