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Itemized Summary of Changes &amp; Reviewer Response Letter</w:t>
      </w:r>
    </w:p>
    <w:p>
      <w:r>
        <w:rPr>
          <w:b/>
        </w:rPr>
        <w:t xml:space="preserve">Manuscript Title: </w:t>
      </w:r>
      <w:r>
        <w:t>An Interpretable Deterministic Framework for Cross-Language Educational Code Similarity Using Code Property Graphs</w:t>
        <w:br/>
      </w:r>
      <w:r>
        <w:rPr>
          <w:b/>
        </w:rPr>
        <w:t xml:space="preserve">Target Journal: </w:t>
      </w:r>
      <w:r>
        <w:t>IEEE Access</w:t>
        <w:br/>
      </w:r>
    </w:p>
    <w:p>
      <w:pPr>
        <w:pStyle w:val="Heading2"/>
      </w:pPr>
      <w:r>
        <w:t>Executive Summary of Remediation Strategy</w:t>
      </w:r>
    </w:p>
    <w:p>
      <w:r>
        <w:t>In accordance with the editorial decision and strict post-acceptance constraints ("Do not make any changes to the author list, and do not make any changes to references"), all requested methodological clarifications, statistical sensitivity analyses, and table remediations have been executed purely through text, table, and LaTeX source updates. No references were modified, added, or deleted.</w:t>
      </w:r>
    </w:p>
    <w:p>
      <w:pPr>
        <w:pStyle w:val="Heading2"/>
      </w:pPr>
      <w:r>
        <w:t>Itemized Response Matrix</w:t>
      </w:r>
    </w:p>
    <w:p>
      <w:pPr>
        <w:pStyle w:val="Heading3"/>
      </w:pPr>
      <w:r>
        <w:t>1. Reconciling Table 10 Aggregate Accuracy &amp; Directional Disclosures</w:t>
      </w:r>
    </w:p>
    <w:p>
      <w:r>
        <w:t>Full-Corpus Aggregate (N=400): 349/400 = 87.25% [95% Wilson CI: 83.60%, 90.20%].</w:t>
        <w:br/>
        <w:t>Core-Direction Aggregate (n=386): 342/386 = 88.60% [95% Wilson CI: 85.04%, 91.46%].</w:t>
        <w:br/>
        <w:t>Table 10 (now tab:directional_results) relabeled with full mathematical honesty. All text references updated to report both side-by-side.</w:t>
      </w:r>
    </w:p>
    <w:p>
      <w:pPr>
        <w:pStyle w:val="Heading3"/>
      </w:pPr>
      <w:r>
        <w:t>2. Single-View Ablation Study</w:t>
      </w:r>
    </w:p>
    <w:p>
      <w:r>
        <w:t>Added dedicated Single-View Ablation Study table (tab:single_view_ablation) in Section VI-B:</w:t>
        <w:br/>
        <w:t>- BL-only (w_BL=1.0): 79.50% [75.35%, 83.11%]</w:t>
        <w:br/>
        <w:t>- WL-only (w_WL=1.0): 71.68% [67.07%, 75.88%]</w:t>
        <w:br/>
        <w:t>- CES-only (w_CES=1.0): 72.68% [68.11%, 76.82%]</w:t>
        <w:br/>
        <w:t>- Fused Framework (0.35, 0.40, 0.25): 87.25% [83.60%, 90.20%]</w:t>
        <w:br/>
        <w:t>Demonstrates a +7.75 pp gain over strongest isolated view.</w:t>
      </w:r>
    </w:p>
    <w:p>
      <w:pPr>
        <w:pStyle w:val="Heading3"/>
      </w:pPr>
      <w:r>
        <w:t>3. Reframing TF-IDF Baseline as Internal View Ablation</w:t>
      </w:r>
    </w:p>
    <w:p>
      <w:r>
        <w:t>Relabeled TF-IDF baseline in Table 2 to Framework BL-View Ablation (w_BL=1). Added table row separator demarcating external baselines from internal component ablations. Reframed McNemar test paragraph (p &lt; 0.0001, OR=4.875).</w:t>
      </w:r>
    </w:p>
    <w:p>
      <w:pPr>
        <w:pStyle w:val="Heading3"/>
      </w:pPr>
      <w:r>
        <w:t>4. Adversarial Floor Bug Fix (n=60 IRR Grounding)</w:t>
      </w:r>
    </w:p>
    <w:p>
      <w:r>
        <w:t>Withdrew invalid (349-93)/400 = 64.0% formula. Replaced with mathematically grounded annotation-uncertainty floor based on n=60 sample (kappa=0.86, 11.67% disagreement rate), yielding conservative floor of ~75.58%.</w:t>
      </w:r>
    </w:p>
    <w:p>
      <w:pPr>
        <w:pStyle w:val="Heading3"/>
      </w:pPr>
      <w:r>
        <w:t>5. Selection Bias &amp; Construct Validity Threat Disclosure</w:t>
      </w:r>
    </w:p>
    <w:p>
      <w:r>
        <w:t>Added named Selection Bias threat disclosure in Threat Group 2 (Section VII-E), contrasting 23.25% zero-CES rate in uncurated data vs 0.25% in curated data, and 90.3% WL fallback.</w:t>
      </w:r>
    </w:p>
    <w:p>
      <w:pPr>
        <w:pStyle w:val="Heading3"/>
      </w:pPr>
      <w:r>
        <w:t>6. Phase 1 Methodological Self-Containment</w:t>
      </w:r>
    </w:p>
    <w:p>
      <w:r>
        <w:t>Refactored Section III-A to explicitly detail 104-program C dataset, grid search (in 0.05 increments), WL depth h=2, and cross-reference to Table tab:ces_taxonomy (no references altered).</w:t>
      </w:r>
    </w:p>
    <w:p>
      <w:pPr>
        <w:pStyle w:val="Heading3"/>
      </w:pPr>
      <w:r>
        <w:t>7. Formatting &amp; Math Compliance</w:t>
      </w:r>
    </w:p>
    <w:p>
      <w:r>
        <w:t>Converted all multi-letter math subscripts (w_BL, w_WL, w_CES, s_BL, s_WL, s_CES) to upright (roman) font per IEEE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