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" cy="6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-5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/>
          <w:i w:val="0"/>
          <w:color w:val="1B294A"/>
          <w:sz w:val="40"/>
        </w:rPr>
        <w:t>VAYUNETRA</w:t>
      </w:r>
    </w:p>
    <w:p>
      <w:pPr>
        <w:spacing w:after="120"/>
        <w:jc w:val="center"/>
      </w:pPr>
      <w:r>
        <w:rPr>
          <w:b/>
          <w:i w:val="0"/>
          <w:color w:val="059669"/>
          <w:sz w:val="26"/>
        </w:rPr>
        <w:t>Independent Domain Expert Review</w:t>
      </w:r>
    </w:p>
    <w:p>
      <w:pPr>
        <w:spacing w:after="160"/>
        <w:jc w:val="center"/>
      </w:pPr>
      <w:r>
        <w:rPr>
          <w:b w:val="0"/>
          <w:i w:val="0"/>
          <w:color w:val="64748B"/>
          <w:sz w:val="19"/>
        </w:rPr>
        <w:t>AI-powered urban air quality intelligence — Delhi · Bengaluru · Mumbai   |   Live app: vayunetra-aqi.vercel.app  →  Open console</w:t>
      </w:r>
    </w:p>
    <w:p>
      <w:pPr>
        <w:spacing w:after="160"/>
      </w:pPr>
      <w:r>
        <w:rPr>
          <w:b w:val="0"/>
          <w:i w:val="0"/>
          <w:color w:val="475569"/>
          <w:sz w:val="19"/>
        </w:rPr>
        <w:t>The system under review traces PM2.5 to its sources per square kilometre, forecasts 72 hours ahead, generates evidence-backed enforcement recommendations for officers, and delivers citizen health advisories in four languages. This form records a structured, independent assessment of those outputs by a qualified domain expert (~20 minutes). Printed excerpts below were generated verbatim by the production system on 20 July 2026; every item can also be pulled up live in the app.</w:t>
      </w:r>
    </w:p>
    <w:p>
      <w:pPr>
        <w:keepNext/>
        <w:spacing w:before="80" w:after="60"/>
      </w:pPr>
      <w:r>
        <w:rPr>
          <w:b/>
          <w:color w:val="1B294A"/>
          <w:sz w:val="26"/>
        </w:rPr>
        <w:t>Reviewer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463"/>
      </w:tblGrid>
      <w:tr>
        <w:trPr>
          <w:trHeight w:val="454" w:hRule="atLeast"/>
        </w:trPr>
        <w:tc>
          <w:tcPr>
            <w:tcW w:type="dxa" w:w="3402"/>
            <w:shd w:val="clear" w:fill="F1F5F9"/>
          </w:tcPr>
          <w:p>
            <w:pPr>
              <w:spacing w:after="0"/>
            </w:pPr>
            <w:r>
              <w:rPr>
                <w:b/>
                <w:color w:val="0F172A"/>
                <w:sz w:val="20"/>
              </w:rPr>
              <w:t>Name</w:t>
            </w:r>
          </w:p>
        </w:tc>
        <w:tc>
          <w:tcPr>
            <w:tcW w:type="dxa" w:w="6463"/>
          </w:tcPr>
          <w:p/>
        </w:tc>
      </w:tr>
      <w:tr>
        <w:trPr>
          <w:trHeight w:val="454" w:hRule="atLeast"/>
        </w:trPr>
        <w:tc>
          <w:tcPr>
            <w:tcW w:type="dxa" w:w="3402"/>
            <w:shd w:val="clear" w:fill="F1F5F9"/>
          </w:tcPr>
          <w:p>
            <w:pPr>
              <w:spacing w:after="0"/>
            </w:pPr>
            <w:r>
              <w:rPr>
                <w:b/>
                <w:color w:val="0F172A"/>
                <w:sz w:val="20"/>
              </w:rPr>
              <w:t>Designation / organisation</w:t>
            </w:r>
          </w:p>
        </w:tc>
        <w:tc>
          <w:tcPr>
            <w:tcW w:type="dxa" w:w="6463"/>
          </w:tcPr>
          <w:p/>
        </w:tc>
      </w:tr>
      <w:tr>
        <w:trPr>
          <w:trHeight w:val="454" w:hRule="atLeast"/>
        </w:trPr>
        <w:tc>
          <w:tcPr>
            <w:tcW w:type="dxa" w:w="3402"/>
            <w:shd w:val="clear" w:fill="F1F5F9"/>
          </w:tcPr>
          <w:p>
            <w:pPr>
              <w:spacing w:after="0"/>
            </w:pPr>
            <w:r>
              <w:rPr>
                <w:b/>
                <w:color w:val="0F172A"/>
                <w:sz w:val="20"/>
              </w:rPr>
              <w:t>Domain expertise</w:t>
            </w:r>
          </w:p>
        </w:tc>
        <w:tc>
          <w:tcPr>
            <w:tcW w:type="dxa" w:w="6463"/>
          </w:tcPr>
          <w:p/>
        </w:tc>
      </w:tr>
      <w:tr>
        <w:trPr>
          <w:trHeight w:val="454" w:hRule="atLeast"/>
        </w:trPr>
        <w:tc>
          <w:tcPr>
            <w:tcW w:type="dxa" w:w="3402"/>
            <w:shd w:val="clear" w:fill="F1F5F9"/>
          </w:tcPr>
          <w:p>
            <w:pPr>
              <w:spacing w:after="0"/>
            </w:pPr>
            <w:r>
              <w:rPr>
                <w:b/>
                <w:color w:val="0F172A"/>
                <w:sz w:val="20"/>
              </w:rPr>
              <w:t>Years of experience</w:t>
            </w:r>
          </w:p>
        </w:tc>
        <w:tc>
          <w:tcPr>
            <w:tcW w:type="dxa" w:w="6463"/>
          </w:tcPr>
          <w:p/>
        </w:tc>
      </w:tr>
      <w:tr>
        <w:trPr>
          <w:trHeight w:val="454" w:hRule="atLeast"/>
        </w:trPr>
        <w:tc>
          <w:tcPr>
            <w:tcW w:type="dxa" w:w="3402"/>
            <w:shd w:val="clear" w:fill="F1F5F9"/>
          </w:tcPr>
          <w:p>
            <w:pPr>
              <w:spacing w:after="0"/>
            </w:pPr>
            <w:r>
              <w:rPr>
                <w:b/>
                <w:color w:val="0F172A"/>
                <w:sz w:val="20"/>
              </w:rPr>
              <w:t>Date of review</w:t>
            </w:r>
          </w:p>
        </w:tc>
        <w:tc>
          <w:tcPr>
            <w:tcW w:type="dxa" w:w="6463"/>
          </w:tcPr>
          <w:p/>
        </w:tc>
      </w:tr>
    </w:tbl>
    <w:p>
      <w:pPr>
        <w:spacing w:after="0"/>
      </w:pPr>
    </w:p>
    <w:p>
      <w:pPr>
        <w:spacing w:after="160"/>
      </w:pPr>
      <w:r>
        <w:rPr>
          <w:b w:val="0"/>
          <w:i w:val="0"/>
          <w:color w:val="0F172A"/>
          <w:sz w:val="20"/>
        </w:rPr>
        <w:t>Reviewed via:   ☐ live app        ☐ guided walkthrough        ☐ printed excerpts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ECFDF5"/>
          </w:tcPr>
          <w:p>
            <w:pPr>
              <w:spacing w:after="0"/>
            </w:pPr>
            <w:r>
              <w:rPr>
                <w:b w:val="0"/>
                <w:color w:val="0F172A"/>
                <w:sz w:val="19"/>
              </w:rPr>
              <w:t>Scoring scale used throughout:   1 — Not credible / would not act    ·    2 — Weak, major gaps    ·    3 — Adequate    ·    4 — Good, minor changes needed    ·    5 — Excellent, would act as-is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b/>
          <w:color w:val="1B294A"/>
          <w:sz w:val="26"/>
        </w:rPr>
        <w:t>Part A — Source attribution (the blame map) · ~5 min</w:t>
      </w:r>
    </w:p>
    <w:p>
      <w:pPr>
        <w:spacing w:after="80"/>
      </w:pPr>
      <w:r>
        <w:rPr>
          <w:b w:val="0"/>
          <w:i/>
          <w:color w:val="64748B"/>
          <w:sz w:val="18"/>
        </w:rPr>
        <w:t>In the app: pick a city and click 2–3 coloured hexagons. Each opens a "Cell Story": source shares, model evidence (SHAP drivers and the model's own out-of-sample R²), and — where the model lacks skill — an explicit, labelled fallback to chemical-signature priors.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482" w:hRule="atLeast"/>
        </w:trPr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color w:val="0F172A"/>
                <w:sz w:val="19"/>
              </w:rPr>
              <w:t>A1 · Is the source mix shown for this city plausible against your field understanding?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20"/>
              </w:rPr>
              <w:t>1        2        3        4        5</w:t>
            </w:r>
          </w:p>
        </w:tc>
      </w:tr>
      <w:tr>
        <w:trPr>
          <w:trHeight w:val="482" w:hRule="atLeast"/>
        </w:trPr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color w:val="0F172A"/>
                <w:sz w:val="19"/>
              </w:rPr>
              <w:t>A2 · Is the evidence presentation (drivers, confidence, honest abstention) appropriate for official use?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20"/>
              </w:rPr>
              <w:t>1        2        3        4        5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i w:val="0"/>
          <w:color w:val="0F172A"/>
          <w:sz w:val="19"/>
        </w:rPr>
        <w:t>Comments (what looks right / wrong, per city if applicable):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trHeight w:val="482" w:hRule="atLeast"/>
        </w:trPr>
        <w:tc>
          <w:tcPr>
            <w:tcW w:type="dxa" w:w="9866"/>
          </w:tcPr>
          <w:p/>
        </w:tc>
      </w:tr>
      <w:tr>
        <w:trPr>
          <w:trHeight w:val="482" w:hRule="atLeast"/>
        </w:trPr>
        <w:tc>
          <w:tcPr>
            <w:tcW w:type="dxa" w:w="9866"/>
          </w:tcPr>
          <w:p/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b/>
          <w:color w:val="1B294A"/>
          <w:sz w:val="26"/>
        </w:rPr>
        <w:t>Part B — Enforcement recommendations · ~8 min  (the core of this review)</w:t>
      </w:r>
    </w:p>
    <w:p>
      <w:pPr>
        <w:spacing w:after="120"/>
      </w:pPr>
      <w:r>
        <w:rPr>
          <w:b w:val="0"/>
          <w:i/>
          <w:color w:val="64748B"/>
          <w:sz w:val="18"/>
        </w:rPr>
        <w:t>Rate each recommendation 1–5 on:  B1 Actionability — could a field inspector act on this tomorrow?   B2 Evidence quality — do the attribution %, population exposure and satellite patch justify the visit?   B3 Regulatory grounding — is the cited basis (GRAP / CPCB dust norms) the right instrument?   B4 Prioritisation — genuinely worth the inspector-hours vs alternatives?</w:t>
      </w:r>
    </w:p>
    <w:p>
      <w:pPr>
        <w:keepNext/>
        <w:spacing w:before="120" w:after="60"/>
      </w:pPr>
      <w:r>
        <w:rPr>
          <w:b/>
          <w:color w:val="0F172A"/>
          <w:sz w:val="21"/>
        </w:rPr>
        <w:t>R1 · Mumbai — rec #494</w:t>
      </w:r>
    </w:p>
    <w:p>
      <w:pPr>
        <w:spacing w:after="60"/>
      </w:pPr>
      <w:r>
        <w:rPr>
          <w:b w:val="0"/>
          <w:i w:val="0"/>
          <w:color w:val="475569"/>
          <w:sz w:val="19"/>
        </w:rPr>
        <w:t>Construction dust ≈ 67.4% of PM2.5 in the cell, 26,884 residents exposed; EE-heuristic-detected construction source. Inspection: verify dust suppression (anti-smog gun, water sprinkling, green-net coverage). Basis: GRAP + CPCB dust-control norms.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F1F5F9"/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7"/>
              </w:rPr>
              <w:t>B1 Actionability</w:t>
            </w:r>
          </w:p>
        </w:tc>
        <w:tc>
          <w:tcPr>
            <w:tcW w:type="dxa" w:w="2466"/>
            <w:shd w:val="clear" w:fill="F1F5F9"/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7"/>
              </w:rPr>
              <w:t>B2 Evidence</w:t>
            </w:r>
          </w:p>
        </w:tc>
        <w:tc>
          <w:tcPr>
            <w:tcW w:type="dxa" w:w="2466"/>
            <w:shd w:val="clear" w:fill="F1F5F9"/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7"/>
              </w:rPr>
              <w:t>B3 Regulatory</w:t>
            </w:r>
          </w:p>
        </w:tc>
        <w:tc>
          <w:tcPr>
            <w:tcW w:type="dxa" w:w="2466"/>
            <w:shd w:val="clear" w:fill="F1F5F9"/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7"/>
              </w:rPr>
              <w:t>B4 Prioritisation</w:t>
            </w:r>
          </w:p>
        </w:tc>
      </w:tr>
      <w:tr>
        <w:trPr>
          <w:trHeight w:val="397" w:hRule="atLeast"/>
        </w:trPr>
        <w:tc>
          <w:tcPr>
            <w:tcW w:type="dxa" w:w="2466"/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9"/>
              </w:rPr>
              <w:t>1        2        3        4        5</w:t>
            </w:r>
          </w:p>
        </w:tc>
        <w:tc>
          <w:tcPr>
            <w:tcW w:type="dxa" w:w="2466"/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9"/>
              </w:rPr>
              <w:t>1        2        3        4        5</w:t>
            </w:r>
          </w:p>
        </w:tc>
        <w:tc>
          <w:tcPr>
            <w:tcW w:type="dxa" w:w="2466"/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9"/>
              </w:rPr>
              <w:t>1        2        3        4        5</w:t>
            </w:r>
          </w:p>
        </w:tc>
        <w:tc>
          <w:tcPr>
            <w:tcW w:type="dxa" w:w="2466"/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9"/>
              </w:rPr>
              <w:t>1        2        3        4        5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 w:val="0"/>
          <w:i w:val="0"/>
          <w:color w:val="0F172A"/>
          <w:sz w:val="19"/>
        </w:rPr>
        <w:t>Comment: ______________________________________________________________________________</w:t>
      </w:r>
    </w:p>
    <w:p>
      <w:pPr>
        <w:keepNext/>
        <w:spacing w:before="120" w:after="60"/>
      </w:pPr>
      <w:r>
        <w:rPr>
          <w:b/>
          <w:color w:val="0F172A"/>
          <w:sz w:val="21"/>
        </w:rPr>
        <w:t>R2 · Mumbai — rec #495</w:t>
      </w:r>
    </w:p>
    <w:p>
      <w:pPr>
        <w:spacing w:after="60"/>
      </w:pPr>
      <w:r>
        <w:rPr>
          <w:b w:val="0"/>
          <w:i w:val="0"/>
          <w:color w:val="475569"/>
          <w:sz w:val="19"/>
        </w:rPr>
        <w:t>Construction dust ≈ 66.4%, 18,786 residents exposed; Marathon Millenia is the registered construction source at the location. Same inspection protocol; the dossier carries a Sentinel-2 satellite patch and the draft notice PDF includes a projected-impact chart.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F1F5F9"/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7"/>
              </w:rPr>
              <w:t>B1 Actionability</w:t>
            </w:r>
          </w:p>
        </w:tc>
        <w:tc>
          <w:tcPr>
            <w:tcW w:type="dxa" w:w="2466"/>
            <w:shd w:val="clear" w:fill="F1F5F9"/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7"/>
              </w:rPr>
              <w:t>B2 Evidence</w:t>
            </w:r>
          </w:p>
        </w:tc>
        <w:tc>
          <w:tcPr>
            <w:tcW w:type="dxa" w:w="2466"/>
            <w:shd w:val="clear" w:fill="F1F5F9"/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7"/>
              </w:rPr>
              <w:t>B3 Regulatory</w:t>
            </w:r>
          </w:p>
        </w:tc>
        <w:tc>
          <w:tcPr>
            <w:tcW w:type="dxa" w:w="2466"/>
            <w:shd w:val="clear" w:fill="F1F5F9"/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7"/>
              </w:rPr>
              <w:t>B4 Prioritisation</w:t>
            </w:r>
          </w:p>
        </w:tc>
      </w:tr>
      <w:tr>
        <w:trPr>
          <w:trHeight w:val="397" w:hRule="atLeast"/>
        </w:trPr>
        <w:tc>
          <w:tcPr>
            <w:tcW w:type="dxa" w:w="2466"/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9"/>
              </w:rPr>
              <w:t>1        2        3        4        5</w:t>
            </w:r>
          </w:p>
        </w:tc>
        <w:tc>
          <w:tcPr>
            <w:tcW w:type="dxa" w:w="2466"/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9"/>
              </w:rPr>
              <w:t>1        2        3        4        5</w:t>
            </w:r>
          </w:p>
        </w:tc>
        <w:tc>
          <w:tcPr>
            <w:tcW w:type="dxa" w:w="2466"/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9"/>
              </w:rPr>
              <w:t>1        2        3        4        5</w:t>
            </w:r>
          </w:p>
        </w:tc>
        <w:tc>
          <w:tcPr>
            <w:tcW w:type="dxa" w:w="2466"/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9"/>
              </w:rPr>
              <w:t>1        2        3        4        5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 w:val="0"/>
          <w:i w:val="0"/>
          <w:color w:val="0F172A"/>
          <w:sz w:val="19"/>
        </w:rPr>
        <w:t>Comment: ______________________________________________________________________________</w:t>
      </w:r>
    </w:p>
    <w:p>
      <w:pPr>
        <w:keepNext/>
        <w:spacing w:before="120" w:after="60"/>
      </w:pPr>
      <w:r>
        <w:rPr>
          <w:b/>
          <w:color w:val="0F172A"/>
          <w:sz w:val="21"/>
        </w:rPr>
        <w:t>R3 · Delhi — rec #334</w:t>
      </w:r>
    </w:p>
    <w:p>
      <w:pPr>
        <w:spacing w:after="60"/>
      </w:pPr>
      <w:r>
        <w:rPr>
          <w:b w:val="0"/>
          <w:i w:val="0"/>
          <w:color w:val="475569"/>
          <w:sz w:val="19"/>
        </w:rPr>
        <w:t>Construction dust ≈ 43.6%, ~15,000 residents exposed; satellite-detected (Earth-Engine heuristic #43) construction source. Site inspection: dust-suppression norms compliance. Basis: GRAP.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F1F5F9"/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7"/>
              </w:rPr>
              <w:t>B1 Actionability</w:t>
            </w:r>
          </w:p>
        </w:tc>
        <w:tc>
          <w:tcPr>
            <w:tcW w:type="dxa" w:w="2466"/>
            <w:shd w:val="clear" w:fill="F1F5F9"/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7"/>
              </w:rPr>
              <w:t>B2 Evidence</w:t>
            </w:r>
          </w:p>
        </w:tc>
        <w:tc>
          <w:tcPr>
            <w:tcW w:type="dxa" w:w="2466"/>
            <w:shd w:val="clear" w:fill="F1F5F9"/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7"/>
              </w:rPr>
              <w:t>B3 Regulatory</w:t>
            </w:r>
          </w:p>
        </w:tc>
        <w:tc>
          <w:tcPr>
            <w:tcW w:type="dxa" w:w="2466"/>
            <w:shd w:val="clear" w:fill="F1F5F9"/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7"/>
              </w:rPr>
              <w:t>B4 Prioritisation</w:t>
            </w:r>
          </w:p>
        </w:tc>
      </w:tr>
      <w:tr>
        <w:trPr>
          <w:trHeight w:val="397" w:hRule="atLeast"/>
        </w:trPr>
        <w:tc>
          <w:tcPr>
            <w:tcW w:type="dxa" w:w="2466"/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9"/>
              </w:rPr>
              <w:t>1        2        3        4        5</w:t>
            </w:r>
          </w:p>
        </w:tc>
        <w:tc>
          <w:tcPr>
            <w:tcW w:type="dxa" w:w="2466"/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9"/>
              </w:rPr>
              <w:t>1        2        3        4        5</w:t>
            </w:r>
          </w:p>
        </w:tc>
        <w:tc>
          <w:tcPr>
            <w:tcW w:type="dxa" w:w="2466"/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9"/>
              </w:rPr>
              <w:t>1        2        3        4        5</w:t>
            </w:r>
          </w:p>
        </w:tc>
        <w:tc>
          <w:tcPr>
            <w:tcW w:type="dxa" w:w="2466"/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9"/>
              </w:rPr>
              <w:t>1        2        3        4        5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 w:val="0"/>
          <w:i w:val="0"/>
          <w:color w:val="0F172A"/>
          <w:sz w:val="19"/>
        </w:rPr>
        <w:t>Comment: ______________________________________________________________________________</w:t>
      </w:r>
    </w:p>
    <w:p>
      <w:pPr>
        <w:keepNext/>
        <w:spacing w:before="120" w:after="60"/>
      </w:pPr>
      <w:r>
        <w:rPr>
          <w:b/>
          <w:color w:val="0F172A"/>
          <w:sz w:val="21"/>
        </w:rPr>
        <w:t>R4 · Bengaluru — rec #433</w:t>
      </w:r>
    </w:p>
    <w:p>
      <w:pPr>
        <w:spacing w:after="60"/>
      </w:pPr>
      <w:r>
        <w:rPr>
          <w:b w:val="0"/>
          <w:i w:val="0"/>
          <w:color w:val="475569"/>
          <w:sz w:val="19"/>
        </w:rPr>
        <w:t>Construction dust ≈ 25.7%, ~15,000 residents exposed; satellite-detected (Earth-Engine heuristic #52) construction source; same inspection protocol.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F1F5F9"/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7"/>
              </w:rPr>
              <w:t>B1 Actionability</w:t>
            </w:r>
          </w:p>
        </w:tc>
        <w:tc>
          <w:tcPr>
            <w:tcW w:type="dxa" w:w="2466"/>
            <w:shd w:val="clear" w:fill="F1F5F9"/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7"/>
              </w:rPr>
              <w:t>B2 Evidence</w:t>
            </w:r>
          </w:p>
        </w:tc>
        <w:tc>
          <w:tcPr>
            <w:tcW w:type="dxa" w:w="2466"/>
            <w:shd w:val="clear" w:fill="F1F5F9"/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7"/>
              </w:rPr>
              <w:t>B3 Regulatory</w:t>
            </w:r>
          </w:p>
        </w:tc>
        <w:tc>
          <w:tcPr>
            <w:tcW w:type="dxa" w:w="2466"/>
            <w:shd w:val="clear" w:fill="F1F5F9"/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7"/>
              </w:rPr>
              <w:t>B4 Prioritisation</w:t>
            </w:r>
          </w:p>
        </w:tc>
      </w:tr>
      <w:tr>
        <w:trPr>
          <w:trHeight w:val="397" w:hRule="atLeast"/>
        </w:trPr>
        <w:tc>
          <w:tcPr>
            <w:tcW w:type="dxa" w:w="2466"/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9"/>
              </w:rPr>
              <w:t>1        2        3        4        5</w:t>
            </w:r>
          </w:p>
        </w:tc>
        <w:tc>
          <w:tcPr>
            <w:tcW w:type="dxa" w:w="2466"/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9"/>
              </w:rPr>
              <w:t>1        2        3        4        5</w:t>
            </w:r>
          </w:p>
        </w:tc>
        <w:tc>
          <w:tcPr>
            <w:tcW w:type="dxa" w:w="2466"/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9"/>
              </w:rPr>
              <w:t>1        2        3        4        5</w:t>
            </w:r>
          </w:p>
        </w:tc>
        <w:tc>
          <w:tcPr>
            <w:tcW w:type="dxa" w:w="2466"/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9"/>
              </w:rPr>
              <w:t>1        2        3        4        5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 w:val="0"/>
          <w:i w:val="0"/>
          <w:color w:val="0F172A"/>
          <w:sz w:val="19"/>
        </w:rPr>
        <w:t>Comment: ______________________________________________________________________________</w:t>
      </w:r>
    </w:p>
    <w:p>
      <w:pPr>
        <w:keepNext/>
        <w:spacing w:before="120" w:after="60"/>
      </w:pPr>
      <w:r>
        <w:rPr>
          <w:b/>
          <w:color w:val="0F172A"/>
          <w:sz w:val="21"/>
        </w:rPr>
        <w:t>R5 · Reviewer's pick — any live recommendation</w:t>
      </w:r>
    </w:p>
    <w:p>
      <w:pPr>
        <w:spacing w:after="60"/>
      </w:pPr>
      <w:r>
        <w:rPr>
          <w:b w:val="0"/>
          <w:i w:val="0"/>
          <w:color w:val="475569"/>
          <w:sz w:val="19"/>
        </w:rPr>
        <w:t>Open any city's Enforcement worklist, pick a card (ideally a type not covered above, e.g. industrial), open its Evidence dossier and Notice PDF.        Rec ID: ____________      City: 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F1F5F9"/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7"/>
              </w:rPr>
              <w:t>B1 Actionability</w:t>
            </w:r>
          </w:p>
        </w:tc>
        <w:tc>
          <w:tcPr>
            <w:tcW w:type="dxa" w:w="2466"/>
            <w:shd w:val="clear" w:fill="F1F5F9"/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7"/>
              </w:rPr>
              <w:t>B2 Evidence</w:t>
            </w:r>
          </w:p>
        </w:tc>
        <w:tc>
          <w:tcPr>
            <w:tcW w:type="dxa" w:w="2466"/>
            <w:shd w:val="clear" w:fill="F1F5F9"/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7"/>
              </w:rPr>
              <w:t>B3 Regulatory</w:t>
            </w:r>
          </w:p>
        </w:tc>
        <w:tc>
          <w:tcPr>
            <w:tcW w:type="dxa" w:w="2466"/>
            <w:shd w:val="clear" w:fill="F1F5F9"/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7"/>
              </w:rPr>
              <w:t>B4 Prioritisation</w:t>
            </w:r>
          </w:p>
        </w:tc>
      </w:tr>
      <w:tr>
        <w:trPr>
          <w:trHeight w:val="397" w:hRule="atLeast"/>
        </w:trPr>
        <w:tc>
          <w:tcPr>
            <w:tcW w:type="dxa" w:w="2466"/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9"/>
              </w:rPr>
              <w:t>1        2        3        4        5</w:t>
            </w:r>
          </w:p>
        </w:tc>
        <w:tc>
          <w:tcPr>
            <w:tcW w:type="dxa" w:w="2466"/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9"/>
              </w:rPr>
              <w:t>1        2        3        4        5</w:t>
            </w:r>
          </w:p>
        </w:tc>
        <w:tc>
          <w:tcPr>
            <w:tcW w:type="dxa" w:w="2466"/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9"/>
              </w:rPr>
              <w:t>1        2        3        4        5</w:t>
            </w:r>
          </w:p>
        </w:tc>
        <w:tc>
          <w:tcPr>
            <w:tcW w:type="dxa" w:w="2466"/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19"/>
              </w:rPr>
              <w:t>1        2        3        4        5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 w:val="0"/>
          <w:i w:val="0"/>
          <w:color w:val="0F172A"/>
          <w:sz w:val="19"/>
        </w:rPr>
        <w:t>Comment: ______________________________________________________________________________</w:t>
      </w:r>
    </w:p>
    <w:p>
      <w:pPr>
        <w:keepNext/>
        <w:spacing w:before="200" w:after="60"/>
      </w:pPr>
      <w:r>
        <w:rPr>
          <w:b/>
          <w:color w:val="1B294A"/>
          <w:sz w:val="26"/>
        </w:rPr>
        <w:t>Part C — Citizen advisories · ~5 min</w:t>
      </w:r>
    </w:p>
    <w:p>
      <w:pPr>
        <w:spacing w:after="80"/>
      </w:pPr>
      <w:r>
        <w:rPr>
          <w:b w:val="0"/>
          <w:i/>
          <w:color w:val="64748B"/>
          <w:sz w:val="18"/>
        </w:rPr>
        <w:t>In the app: Advisories section. Switch the language dropdown (English / Hindi / Kannada / Marathi) and the channel tabs (App / Telegram / IVR call / Big screen). Advisories are template-generated (no LLM, so health guidance cannot be hallucinated) and targeted using 2,624 vulnerability-scored zones.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482" w:hRule="atLeast"/>
        </w:trPr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color w:val="0F172A"/>
                <w:sz w:val="19"/>
              </w:rPr>
              <w:t>C1 · Relevance and actionability of the advisory content for a lay citizen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20"/>
              </w:rPr>
              <w:t>1        2        3        4        5</w:t>
            </w:r>
          </w:p>
        </w:tc>
      </w:tr>
      <w:tr>
        <w:trPr>
          <w:trHeight w:val="482" w:hRule="atLeast"/>
        </w:trPr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color w:val="0F172A"/>
                <w:sz w:val="19"/>
              </w:rPr>
              <w:t>C2 · Channel fit — would app + Telegram + IVR + public displays reach the people who need it?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20"/>
              </w:rPr>
              <w:t>1        2        3        4        5</w:t>
            </w:r>
          </w:p>
        </w:tc>
      </w:tr>
      <w:tr>
        <w:trPr>
          <w:trHeight w:val="482" w:hRule="atLeast"/>
        </w:trPr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color w:val="0F172A"/>
                <w:sz w:val="19"/>
              </w:rPr>
              <w:t>C3 · Is vulnerability-based targeting (hospitals, schools, outdoor workers) the right escalation logic?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>
              <w:rPr>
                <w:b w:val="0"/>
                <w:color w:val="0F172A"/>
                <w:sz w:val="20"/>
              </w:rPr>
              <w:t>1        2        3        4        5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i w:val="0"/>
          <w:color w:val="0F172A"/>
          <w:sz w:val="19"/>
        </w:rPr>
        <w:t>Language quality — rate only the languages you can read (leave others blank):</w:t>
      </w:r>
    </w:p>
    <w:p>
      <w:pPr>
        <w:spacing w:after="80"/>
      </w:pPr>
      <w:r>
        <w:rPr>
          <w:b w:val="0"/>
          <w:i w:val="0"/>
          <w:color w:val="0F172A"/>
          <w:sz w:val="20"/>
        </w:rPr>
        <w:t>English  ______        Hindi  ______        Kannada  ______        Marathi  ______</w:t>
      </w:r>
    </w:p>
    <w:p>
      <w:pPr>
        <w:spacing w:after="40"/>
      </w:pPr>
      <w:r>
        <w:rPr>
          <w:b/>
          <w:i w:val="0"/>
          <w:color w:val="0F172A"/>
          <w:sz w:val="19"/>
        </w:rPr>
        <w:t>Comments: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trHeight w:val="482" w:hRule="atLeast"/>
        </w:trPr>
        <w:tc>
          <w:tcPr>
            <w:tcW w:type="dxa" w:w="9866"/>
          </w:tcPr>
          <w:p/>
        </w:tc>
      </w:tr>
      <w:tr>
        <w:trPr>
          <w:trHeight w:val="482" w:hRule="atLeast"/>
        </w:trPr>
        <w:tc>
          <w:tcPr>
            <w:tcW w:type="dxa" w:w="9866"/>
          </w:tcPr>
          <w:p/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b/>
          <w:color w:val="1B294A"/>
          <w:sz w:val="26"/>
        </w:rPr>
        <w:t>Part D — Overall assessment · ~2 min</w:t>
      </w:r>
    </w:p>
    <w:p>
      <w:pPr>
        <w:spacing w:after="40"/>
      </w:pPr>
      <w:r>
        <w:rPr>
          <w:b w:val="0"/>
          <w:i w:val="0"/>
          <w:color w:val="0F172A"/>
          <w:sz w:val="20"/>
        </w:rPr>
        <w:t>D1 ·  Would you act on the top recommendation this week?      ☐ Yes        ☐ With changes        ☐ No</w:t>
      </w:r>
    </w:p>
    <w:p>
      <w:pPr>
        <w:spacing w:after="80"/>
      </w:pPr>
      <w:r>
        <w:rPr>
          <w:b w:val="0"/>
          <w:i w:val="0"/>
          <w:color w:val="475569"/>
          <w:sz w:val="19"/>
        </w:rPr>
        <w:t xml:space="preserve">      If "with changes": _____________________________________________________________________________</w:t>
      </w:r>
    </w:p>
    <w:p>
      <w:pPr>
        <w:spacing w:after="40"/>
      </w:pPr>
      <w:r>
        <w:rPr>
          <w:b w:val="0"/>
          <w:i w:val="0"/>
          <w:color w:val="0F172A"/>
          <w:sz w:val="20"/>
        </w:rPr>
        <w:t>D2 ·  In your experience, would this platform reduce the time from pollution signal to field intervention, compared with current practice?      ☐ Yes        ☐ No        ☐ Unsure</w:t>
      </w:r>
    </w:p>
    <w:p>
      <w:pPr>
        <w:spacing w:after="80"/>
      </w:pPr>
      <w:r>
        <w:rPr>
          <w:b w:val="0"/>
          <w:i w:val="0"/>
          <w:color w:val="475569"/>
          <w:sz w:val="19"/>
        </w:rPr>
        <w:t xml:space="preserve">      Comment: ____________________________________________________________________________________</w:t>
      </w:r>
    </w:p>
    <w:p>
      <w:pPr>
        <w:spacing w:after="40"/>
      </w:pPr>
      <w:r>
        <w:rPr>
          <w:b w:val="0"/>
          <w:i w:val="0"/>
          <w:color w:val="0F172A"/>
          <w:sz w:val="20"/>
        </w:rPr>
        <w:t>D3 ·  The strongest aspect of the system: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trHeight w:val="482" w:hRule="atLeast"/>
        </w:trPr>
        <w:tc>
          <w:tcPr>
            <w:tcW w:type="dxa" w:w="9866"/>
          </w:tcPr>
          <w:p/>
        </w:tc>
      </w:tr>
    </w:tbl>
    <w:p>
      <w:pPr>
        <w:spacing w:after="40"/>
      </w:pPr>
    </w:p>
    <w:p>
      <w:pPr>
        <w:spacing w:after="40"/>
      </w:pPr>
      <w:r>
        <w:rPr>
          <w:b w:val="0"/>
          <w:i w:val="0"/>
          <w:color w:val="0F172A"/>
          <w:sz w:val="20"/>
        </w:rPr>
        <w:t>D4 ·  What must change before a PCB / municipal deployment: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trHeight w:val="482" w:hRule="atLeast"/>
        </w:trPr>
        <w:tc>
          <w:tcPr>
            <w:tcW w:type="dxa" w:w="9866"/>
          </w:tcPr>
          <w:p/>
        </w:tc>
      </w:tr>
      <w:tr>
        <w:trPr>
          <w:trHeight w:val="482" w:hRule="atLeast"/>
        </w:trPr>
        <w:tc>
          <w:tcPr>
            <w:tcW w:type="dxa" w:w="9866"/>
          </w:tcPr>
          <w:p/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0F172A"/>
          <w:sz w:val="21"/>
        </w:rPr>
        <w:t>D5 ·  Overall platform rating (circle one):        1      2      3      4      5      6      7      8      9      10</w:t>
      </w:r>
    </w:p>
    <w:p>
      <w:pPr>
        <w:keepNext/>
        <w:spacing w:before="80" w:after="60"/>
      </w:pPr>
      <w:r>
        <w:rPr>
          <w:b/>
          <w:color w:val="1B294A"/>
          <w:sz w:val="26"/>
        </w:rPr>
        <w:t>Sign-off</w:t>
      </w:r>
    </w:p>
    <w:p>
      <w:pPr>
        <w:spacing w:after="40"/>
      </w:pPr>
      <w:r>
        <w:rPr>
          <w:b w:val="0"/>
          <w:i w:val="0"/>
          <w:color w:val="0F172A"/>
          <w:sz w:val="20"/>
        </w:rPr>
        <w:t>☐  I consent to this review being included in the team's hackathon submission and quoted with my name and designation.</w:t>
      </w:r>
    </w:p>
    <w:p>
      <w:pPr>
        <w:spacing w:after="160"/>
      </w:pPr>
      <w:r>
        <w:rPr>
          <w:b w:val="0"/>
          <w:i w:val="0"/>
          <w:color w:val="0F172A"/>
          <w:sz w:val="20"/>
        </w:rPr>
        <w:t>☐  Include my review anonymously (role only).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680" w:hRule="atLeast"/>
        </w:trPr>
        <w:tc>
          <w:tcPr>
            <w:tcW w:type="dxa" w:w="4933"/>
          </w:tcPr>
          <w:p>
            <w:pPr>
              <w:spacing w:after="0"/>
            </w:pPr>
            <w:r>
              <w:rPr>
                <w:b/>
                <w:color w:val="64748B"/>
                <w:sz w:val="18"/>
              </w:rPr>
              <w:t>Signature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b/>
                <w:color w:val="64748B"/>
                <w:sz w:val="18"/>
              </w:rPr>
              <w:t>Date</w:t>
            </w:r>
          </w:p>
        </w:tc>
      </w:tr>
    </w:tbl>
    <w:p>
      <w:pPr>
        <w:spacing w:after="40"/>
      </w:pPr>
    </w:p>
    <w:p>
      <w:pPr>
        <w:spacing w:after="0"/>
      </w:pPr>
      <w:r>
        <w:rPr>
          <w:b w:val="0"/>
          <w:i w:val="0"/>
          <w:color w:val="64748B"/>
          <w:sz w:val="16"/>
        </w:rPr>
        <w:t>Context: recommendations are generated by scoring every registered + satellite-detected emission source against per-km² source attribution (contribution × population exposed × actionability × model confidence), with RAG-retrieved regulatory citations and a draft notice PDF — always officer-in-the-loop; nothing is auto-sent. This review replaces the system's own CPCB/GRAP-derived rubric proxy (7–8/10 "would-act") with real expert judgment.   ·   Team: Omkar Kadam · Sejal Kumbhar · Abhinav Prasad — ET AI Hackathon 2026, PS-5.</w:t>
      </w:r>
    </w:p>
    <w:sectPr w:rsidR="00FC693F" w:rsidRPr="0006063C" w:rsidSect="00034616">
      <w:pgSz w:w="11906" w:h="16838"/>
      <w:pgMar w:top="765" w:right="1020" w:bottom="76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